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167" w:rsidRDefault="00393167">
      <w:pPr>
        <w:spacing w:after="480" w:line="240" w:lineRule="auto"/>
      </w:pPr>
      <w:bookmarkStart w:id="0" w:name="_GoBack"/>
      <w:bookmarkEnd w:id="0"/>
    </w:p>
    <w:p w:rsidR="00393167" w:rsidRDefault="00EE71EA">
      <w:pPr>
        <w:jc w:val="center"/>
      </w:pPr>
      <w:r>
        <w:rPr>
          <w:rFonts w:cs="Times New Roman"/>
          <w:b/>
          <w:sz w:val="36"/>
        </w:rPr>
        <w:t>FASHION DEMAND FORECASTING USING MACHINE LEARNING AND DOMAIN ADAPTATION</w:t>
      </w:r>
    </w:p>
    <w:p w:rsidR="00393167" w:rsidRDefault="00EE71EA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393167" w:rsidRDefault="00EE71EA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393167" w:rsidRDefault="00EE71EA">
      <w:pPr>
        <w:spacing w:after="240"/>
        <w:jc w:val="center"/>
      </w:pPr>
      <w:r>
        <w:rPr>
          <w:rFonts w:cs="Times New Roman"/>
        </w:rPr>
        <w:t>Batch A17 (CSE-A)  ·  Academic year [ACADEMIC YEAR]</w:t>
      </w:r>
    </w:p>
    <w:p w:rsidR="00393167" w:rsidRDefault="00EE71EA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393167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393167">
        <w:trPr>
          <w:cantSplit/>
          <w:jc w:val="center"/>
        </w:trPr>
        <w:tc>
          <w:tcPr>
            <w:tcW w:w="1008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Shilpa</w:t>
            </w:r>
          </w:p>
        </w:tc>
        <w:tc>
          <w:tcPr>
            <w:tcW w:w="2592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23K91A0547</w:t>
            </w:r>
          </w:p>
        </w:tc>
      </w:tr>
      <w:tr w:rsidR="00393167">
        <w:trPr>
          <w:cantSplit/>
          <w:jc w:val="center"/>
        </w:trPr>
        <w:tc>
          <w:tcPr>
            <w:tcW w:w="1008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Hari Narayana</w:t>
            </w:r>
          </w:p>
        </w:tc>
        <w:tc>
          <w:tcPr>
            <w:tcW w:w="2592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23K91A0544</w:t>
            </w:r>
          </w:p>
        </w:tc>
      </w:tr>
      <w:tr w:rsidR="00393167">
        <w:trPr>
          <w:cantSplit/>
          <w:jc w:val="center"/>
        </w:trPr>
        <w:tc>
          <w:tcPr>
            <w:tcW w:w="1008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Rani Thejaswini</w:t>
            </w:r>
          </w:p>
        </w:tc>
        <w:tc>
          <w:tcPr>
            <w:tcW w:w="2592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23K91A0516</w:t>
            </w:r>
          </w:p>
        </w:tc>
      </w:tr>
      <w:tr w:rsidR="00393167">
        <w:trPr>
          <w:cantSplit/>
          <w:jc w:val="center"/>
        </w:trPr>
        <w:tc>
          <w:tcPr>
            <w:tcW w:w="1008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Sanjana</w:t>
            </w:r>
          </w:p>
        </w:tc>
        <w:tc>
          <w:tcPr>
            <w:tcW w:w="2592" w:type="dxa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23K91A0511</w:t>
            </w:r>
          </w:p>
        </w:tc>
      </w:tr>
    </w:tbl>
    <w:p w:rsidR="00393167" w:rsidRDefault="00393167">
      <w:pPr>
        <w:spacing w:line="192" w:lineRule="auto"/>
      </w:pPr>
    </w:p>
    <w:p w:rsidR="00393167" w:rsidRDefault="00EE71EA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Deepthi</w:t>
      </w:r>
    </w:p>
    <w:p w:rsidR="00393167" w:rsidRDefault="00EE71EA">
      <w:r>
        <w:rPr>
          <w:rFonts w:cs="Times New Roman"/>
          <w:i/>
          <w:sz w:val="21"/>
        </w:rPr>
        <w:t xml:space="preserve">Chapter and section numbers quoted in the </w:t>
      </w:r>
      <w:r>
        <w:rPr>
          <w:rFonts w:cs="Times New Roman"/>
          <w:i/>
          <w:sz w:val="21"/>
        </w:rPr>
        <w:t>text (for example Chapter 8 or Section 6.2) refer to the full project report, 17.Final Document. Figures and tables in this document are numbered from 1.</w:t>
      </w:r>
    </w:p>
    <w:p w:rsidR="00393167" w:rsidRDefault="00EE71EA">
      <w:pPr>
        <w:pStyle w:val="Heading1"/>
      </w:pPr>
      <w:r>
        <w:t>1. CONCLUSION</w:t>
      </w:r>
    </w:p>
    <w:p w:rsidR="00393167" w:rsidRDefault="00EE71EA">
      <w:pPr>
        <w:pStyle w:val="Heading2"/>
      </w:pPr>
      <w:r>
        <w:t>1.1 Summary</w:t>
      </w:r>
    </w:p>
    <w:p w:rsidR="00393167" w:rsidRDefault="00EE71EA">
      <w:r>
        <w:rPr>
          <w:rFonts w:cs="Times New Roman"/>
        </w:rPr>
        <w:t xml:space="preserve">TrendCast is a working forecasting product: it turns H&amp;M-style transactions </w:t>
      </w:r>
      <w:r>
        <w:rPr>
          <w:rFonts w:cs="Times New Roman"/>
        </w:rPr>
        <w:t>into daily demand per article, forecasts it with XGBoost and offers an importance-weighted domain-adaptation workflow, behind a gated 22-route API and a 13-page console. Measured on 684,392 real transactions of 300 articles over 107 days, the honest outcom</w:t>
      </w:r>
      <w:r>
        <w:rPr>
          <w:rFonts w:cs="Times New Roman"/>
        </w:rPr>
        <w:t>e is mixed, and the documents say so.</w:t>
      </w:r>
    </w:p>
    <w:p w:rsidR="00393167" w:rsidRDefault="00EE71EA">
      <w:pPr>
        <w:pStyle w:val="Heading2"/>
      </w:pPr>
      <w:r>
        <w:t>1.2 Objectives against outcomes</w:t>
      </w:r>
    </w:p>
    <w:p w:rsidR="00393167" w:rsidRDefault="00EE71EA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against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7"/>
        <w:gridCol w:w="1939"/>
        <w:gridCol w:w="3736"/>
      </w:tblGrid>
      <w:tr w:rsidR="00393167">
        <w:trPr>
          <w:cantSplit/>
          <w:tblHeader/>
          <w:jc w:val="center"/>
        </w:trPr>
        <w:tc>
          <w:tcPr>
            <w:tcW w:w="3456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Objective</w:t>
            </w:r>
          </w:p>
        </w:tc>
        <w:tc>
          <w:tcPr>
            <w:tcW w:w="2016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Outcome</w:t>
            </w:r>
          </w:p>
        </w:tc>
        <w:tc>
          <w:tcPr>
            <w:tcW w:w="4032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Evidence</w:t>
            </w:r>
          </w:p>
        </w:tc>
      </w:tr>
      <w:tr w:rsidR="00393167">
        <w:trPr>
          <w:cantSplit/>
          <w:jc w:val="center"/>
        </w:trPr>
        <w:tc>
          <w:tcPr>
            <w:tcW w:w="345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lastRenderedPageBreak/>
              <w:t>1 Collect real data, engineer seasonal, price and category features</w:t>
            </w:r>
          </w:p>
        </w:tc>
        <w:tc>
          <w:tcPr>
            <w:tcW w:w="201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Achieved</w:t>
            </w:r>
          </w:p>
        </w:tc>
        <w:tc>
          <w:tcPr>
            <w:tcW w:w="4032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H&amp;M subset, 31 </w:t>
            </w:r>
            <w:r>
              <w:rPr>
                <w:rFonts w:cs="Times New Roman"/>
                <w:sz w:val="20"/>
              </w:rPr>
              <w:t>inputs, shifted lags, no promotions or fabric in the data</w:t>
            </w:r>
          </w:p>
        </w:tc>
      </w:tr>
      <w:tr w:rsidR="00393167">
        <w:trPr>
          <w:cantSplit/>
          <w:jc w:val="center"/>
        </w:trPr>
        <w:tc>
          <w:tcPr>
            <w:tcW w:w="345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 Train XGBoost at product and category level</w:t>
            </w:r>
          </w:p>
        </w:tc>
        <w:tc>
          <w:tcPr>
            <w:tcW w:w="201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Product level achieved</w:t>
            </w:r>
          </w:p>
        </w:tc>
        <w:tc>
          <w:tcPr>
            <w:tcW w:w="4032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Article-level model; category enters as features only</w:t>
            </w:r>
          </w:p>
        </w:tc>
      </w:tr>
      <w:tr w:rsidR="00393167">
        <w:trPr>
          <w:cantSplit/>
          <w:jc w:val="center"/>
        </w:trPr>
        <w:tc>
          <w:tcPr>
            <w:tcW w:w="345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3 Apply domain adaptation across markets and categories</w:t>
            </w:r>
          </w:p>
        </w:tc>
        <w:tc>
          <w:tcPr>
            <w:tcW w:w="201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Implemented</w:t>
            </w:r>
          </w:p>
        </w:tc>
        <w:tc>
          <w:tcPr>
            <w:tcW w:w="4032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Importance weighting on channel, group and department; no regional markets in the data</w:t>
            </w:r>
          </w:p>
        </w:tc>
      </w:tr>
      <w:tr w:rsidR="00393167">
        <w:trPr>
          <w:cantSplit/>
          <w:jc w:val="center"/>
        </w:trPr>
        <w:tc>
          <w:tcPr>
            <w:tcW w:w="345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4 Compare adapted and non-adapted on a shifted target</w:t>
            </w:r>
          </w:p>
        </w:tc>
        <w:tc>
          <w:tcPr>
            <w:tcW w:w="201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Done; result negative or mixed</w:t>
            </w:r>
          </w:p>
        </w:tc>
        <w:tc>
          <w:tcPr>
            <w:tcW w:w="4032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 of 6 pairs improved; mean -14.6 percent</w:t>
            </w:r>
          </w:p>
        </w:tc>
      </w:tr>
      <w:tr w:rsidR="00393167">
        <w:trPr>
          <w:cantSplit/>
          <w:jc w:val="center"/>
        </w:trPr>
        <w:tc>
          <w:tcPr>
            <w:tcW w:w="345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5 Explain forecast drivers</w:t>
            </w:r>
          </w:p>
        </w:tc>
        <w:tc>
          <w:tcPr>
            <w:tcW w:w="201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Partly</w:t>
            </w:r>
          </w:p>
        </w:tc>
        <w:tc>
          <w:tcPr>
            <w:tcW w:w="4032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Gain i</w:t>
            </w:r>
            <w:r>
              <w:rPr>
                <w:rFonts w:cs="Times New Roman"/>
                <w:sz w:val="20"/>
              </w:rPr>
              <w:t>mportance in the app; offline SHAP agrees only moderately (Spearman 0.40)</w:t>
            </w:r>
          </w:p>
        </w:tc>
      </w:tr>
      <w:tr w:rsidR="00393167">
        <w:trPr>
          <w:cantSplit/>
          <w:jc w:val="center"/>
        </w:trPr>
        <w:tc>
          <w:tcPr>
            <w:tcW w:w="345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6 Evaluate with MAE, RMSE, MAPE and inventory impact</w:t>
            </w:r>
          </w:p>
        </w:tc>
        <w:tc>
          <w:tcPr>
            <w:tcW w:w="2016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Metrics yes; inventory offline</w:t>
            </w:r>
          </w:p>
        </w:tc>
        <w:tc>
          <w:tcPr>
            <w:tcW w:w="4032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XGBoost under-forecasts 16.4 percent and over-forecasts 39.9 percent of test demand</w:t>
            </w:r>
          </w:p>
        </w:tc>
      </w:tr>
    </w:tbl>
    <w:p w:rsidR="00393167" w:rsidRDefault="00393167">
      <w:pPr>
        <w:spacing w:line="192" w:lineRule="auto"/>
      </w:pPr>
    </w:p>
    <w:p w:rsidR="00393167" w:rsidRDefault="00EE71EA">
      <w:pPr>
        <w:pStyle w:val="Heading2"/>
      </w:pPr>
      <w:r>
        <w:t xml:space="preserve">1.3 Key </w:t>
      </w:r>
      <w:r>
        <w:t>findings</w:t>
      </w:r>
    </w:p>
    <w:p w:rsidR="00393167" w:rsidRDefault="00EE71EA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The model is useful but not unbeatable.</w:t>
      </w:r>
      <w:r>
        <w:rPr>
          <w:rFonts w:cs="Times New Roman"/>
        </w:rPr>
        <w:t xml:space="preserve"> On the real test window XGBoost (RMSE 11.09, R2 0.33) beats the moving average (12.89) and random forest (13.26); LightGBM (10.06) and the tuned model (10.34) come closer to naive lag-1 (9.22), which sti</w:t>
      </w:r>
      <w:r>
        <w:rPr>
          <w:rFonts w:cs="Times New Roman"/>
        </w:rPr>
        <w:t>ll wins.</w:t>
      </w:r>
    </w:p>
    <w:p w:rsidR="00393167" w:rsidRDefault="00EE71EA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Recent demand does the work.</w:t>
      </w:r>
      <w:r>
        <w:rPr>
          <w:rFonts w:cs="Times New Roman"/>
        </w:rPr>
        <w:t xml:space="preserve"> Without lag and rolling features R2 falls to -0.41; with only those features RMSE is 9.40, better than the shipped all-feature model. This agrees with the base paper's own ablation on different data.</w:t>
      </w:r>
    </w:p>
    <w:p w:rsidR="00393167" w:rsidRDefault="00EE71EA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Domain ada</w:t>
      </w:r>
      <w:r>
        <w:rPr>
          <w:rFonts w:cs="Times New Roman"/>
          <w:b/>
        </w:rPr>
        <w:t>ptation, as shipped, is not a reliable gain.</w:t>
      </w:r>
      <w:r>
        <w:rPr>
          <w:rFonts w:cs="Times New Roman"/>
        </w:rPr>
        <w:t xml:space="preserve"> It improved 2 of 6 pairs; the one clear gain disappears when source rows may not overlap the target test dates (-7.1 percent on average in that protocol).</w:t>
      </w:r>
    </w:p>
    <w:p w:rsidR="00393167" w:rsidRDefault="00EE71EA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Weights must be normalised.</w:t>
      </w:r>
      <w:r>
        <w:rPr>
          <w:rFonts w:cs="Times New Roman"/>
        </w:rPr>
        <w:t xml:space="preserve"> Perfectly separable doma</w:t>
      </w:r>
      <w:r>
        <w:rPr>
          <w:rFonts w:cs="Times New Roman"/>
        </w:rPr>
        <w:t>ins produce weights near 1e-5 and XGBoost predicts a constant; rescaling the same weights to mean 1 removes the collapse.</w:t>
      </w:r>
    </w:p>
    <w:p w:rsidR="00393167" w:rsidRDefault="00EE71EA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Multi-day forecasts are weak.</w:t>
      </w:r>
      <w:r>
        <w:rPr>
          <w:rFonts w:cs="Times New Roman"/>
        </w:rPr>
        <w:t xml:space="preserve"> WAPE grows from 41 to 124 percent over the horizon, worse than a flat seven-day mean at every horizo</w:t>
      </w:r>
      <w:r>
        <w:rPr>
          <w:rFonts w:cs="Times New Roman"/>
        </w:rPr>
        <w:t>n.</w:t>
      </w:r>
    </w:p>
    <w:p w:rsidR="00393167" w:rsidRDefault="00EE71EA">
      <w:r>
        <w:rPr>
          <w:rFonts w:cs="Times New Roman"/>
        </w:rPr>
        <w:t>The abstract's claim that the system reduces shortages and overstock is not demonstrated: on the test window XGBoost over-forecasts total demand by 23.6 percent while losing fewer sales than the moving average (16.4 against 29.4 percent of demand).</w:t>
      </w:r>
    </w:p>
    <w:p w:rsidR="00393167" w:rsidRDefault="00EE71EA">
      <w:pPr>
        <w:pStyle w:val="Heading2"/>
      </w:pPr>
      <w:r>
        <w:lastRenderedPageBreak/>
        <w:t xml:space="preserve">1.4 </w:t>
      </w:r>
      <w:r>
        <w:t>Closing remark</w:t>
      </w:r>
    </w:p>
    <w:p w:rsidR="00393167" w:rsidRDefault="00EE71EA">
      <w:r>
        <w:rPr>
          <w:rFonts w:cs="Times New Roman"/>
        </w:rPr>
        <w:t>The project's value is the measured, reproducible pipeline and the controls that expose where adaptation and recursive forecasting fail. With normalised weights, a time-clean protocol and refreshed calendar features, the same code is a sound</w:t>
      </w:r>
      <w:r>
        <w:rPr>
          <w:rFonts w:cs="Times New Roman"/>
        </w:rPr>
        <w:t xml:space="preserve"> base for a real study.</w:t>
      </w:r>
    </w:p>
    <w:p w:rsidR="00393167" w:rsidRDefault="00EE71EA">
      <w:r>
        <w:rPr>
          <w:rFonts w:cs="Times New Roman"/>
        </w:rPr>
        <w:t>The measurements behind the key findings are shown below: how the models compare on the held-out window, and how the relative results sit next to those reported in the base paper (different data, so indicative only).</w:t>
      </w:r>
    </w:p>
    <w:p w:rsidR="00393167" w:rsidRDefault="00EE71EA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486400" cy="3113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67" w:rsidRDefault="00EE71EA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</w:instrText>
      </w:r>
      <w:r>
        <w:rPr>
          <w:rFonts w:cs="Times New Roman"/>
        </w:rPr>
        <w:instrText xml:space="preserve">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Test RMSE of the baselines and of XGBoost on the real H&amp;M subset (chronological 80/20 split).</w:t>
      </w:r>
    </w:p>
    <w:p w:rsidR="00393167" w:rsidRDefault="00EE71EA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31241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_base_pape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67" w:rsidRDefault="00EE71EA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Relative RMSE against the moving average and the naive forecast in the base paper and in TrendCast: dif</w:t>
      </w:r>
      <w:r>
        <w:rPr>
          <w:rFonts w:cs="Times New Roman"/>
        </w:rPr>
        <w:t>ferent datasets, indicative only.</w:t>
      </w:r>
    </w:p>
    <w:p w:rsidR="00393167" w:rsidRDefault="00EE71EA">
      <w:pPr>
        <w:pStyle w:val="Heading1"/>
        <w:pageBreakBefore/>
      </w:pPr>
      <w:r>
        <w:lastRenderedPageBreak/>
        <w:t>2. FUTURE SCOPE</w:t>
      </w:r>
    </w:p>
    <w:p w:rsidR="00393167" w:rsidRDefault="00EE71EA">
      <w:pPr>
        <w:pStyle w:val="Heading2"/>
      </w:pPr>
      <w:r>
        <w:t>2.1 Repair the weaknesses found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Normalise the weights</w:t>
      </w:r>
      <w:r>
        <w:rPr>
          <w:rFonts w:cs="Times New Roman"/>
        </w:rPr>
        <w:t xml:space="preserve"> to mean 1 and floor them, and report the effective sample size on screen; the offline study shows this removes the collapse on perfectly separable do</w:t>
      </w:r>
      <w:r>
        <w:rPr>
          <w:rFonts w:cs="Times New Roman"/>
        </w:rPr>
        <w:t>mains.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Make the time-clean protocol the default</w:t>
      </w:r>
      <w:r>
        <w:rPr>
          <w:rFonts w:cs="Times New Roman"/>
        </w:rPr>
        <w:t>: train the source model only on dates before the target test window, so the before-and-after comparison cannot gain from the future.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Refresh every calendar feature in the recursive loop</w:t>
      </w:r>
      <w:r>
        <w:rPr>
          <w:rFonts w:cs="Times New Roman"/>
        </w:rPr>
        <w:t>, update price an</w:t>
      </w:r>
      <w:r>
        <w:rPr>
          <w:rFonts w:cs="Times New Roman"/>
        </w:rPr>
        <w:t>d channel from a plan, and compare against a flat seven-day mean automatically.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Drop or regularise absolute-time features</w:t>
      </w:r>
      <w:r>
        <w:rPr>
          <w:rFonts w:cs="Times New Roman"/>
        </w:rPr>
        <w:t xml:space="preserve"> (year, quarter, day of year) and keep duplicate rows, which are repeat purchases.</w:t>
      </w:r>
    </w:p>
    <w:p w:rsidR="00393167" w:rsidRDefault="00EE71EA">
      <w:pPr>
        <w:pStyle w:val="Heading2"/>
      </w:pPr>
      <w:r>
        <w:t>2.2 Add features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A </w:t>
      </w:r>
      <w:r>
        <w:rPr>
          <w:rFonts w:cs="Times New Roman"/>
          <w:b/>
        </w:rPr>
        <w:t>cold-start mode</w:t>
      </w:r>
      <w:r>
        <w:rPr>
          <w:rFonts w:cs="Times New Roman"/>
        </w:rPr>
        <w:t xml:space="preserve"> that foreca</w:t>
      </w:r>
      <w:r>
        <w:rPr>
          <w:rFonts w:cs="Times New Roman"/>
        </w:rPr>
        <w:t>sts a new article from attributes, calendar and similar products, in the spirit of the new-product models in the literature [18], [22].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SHAP in the app</w:t>
      </w:r>
      <w:r>
        <w:rPr>
          <w:rFonts w:cs="Times New Roman"/>
        </w:rPr>
        <w:t xml:space="preserve"> for global and per-forecast attribution, as in the base paper [1], plus an inventory view that turns </w:t>
      </w:r>
      <w:r>
        <w:rPr>
          <w:rFonts w:cs="Times New Roman"/>
        </w:rPr>
        <w:t>error into under- and over-stock units.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Direct multi-horizon models and probabilistic forecasts</w:t>
      </w:r>
      <w:r>
        <w:rPr>
          <w:rFonts w:cs="Times New Roman"/>
        </w:rPr>
        <w:t xml:space="preserve"> (quantiles) instead of recursion.</w:t>
      </w:r>
    </w:p>
    <w:p w:rsidR="00393167" w:rsidRDefault="00EE71EA">
      <w:pPr>
        <w:pStyle w:val="Heading2"/>
      </w:pPr>
      <w:r>
        <w:t>2.3 Data, methods and deployment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Run on the </w:t>
      </w:r>
      <w:r>
        <w:rPr>
          <w:rFonts w:cs="Times New Roman"/>
          <w:b/>
        </w:rPr>
        <w:t>full H&amp;M dataset</w:t>
      </w:r>
      <w:r>
        <w:rPr>
          <w:rFonts w:cs="Times New Roman"/>
        </w:rPr>
        <w:t xml:space="preserve"> and add promotion, regional and weather data where they exist; test transfer to a genuinely new market.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Compare importance weighting with </w:t>
      </w:r>
      <w:r>
        <w:rPr>
          <w:rFonts w:cs="Times New Roman"/>
          <w:b/>
        </w:rPr>
        <w:t>CORAL and adversarial adaptation</w:t>
      </w:r>
      <w:r>
        <w:rPr>
          <w:rFonts w:cs="Times New Roman"/>
        </w:rPr>
        <w:t xml:space="preserve"> [16], [15] and with simple pooling.</w:t>
      </w:r>
    </w:p>
    <w:p w:rsidR="00393167" w:rsidRDefault="00EE71EA">
      <w:pPr>
        <w:spacing w:after="60"/>
        <w:ind w:left="720" w:hanging="360"/>
      </w:pPr>
      <w:r>
        <w:rPr>
          <w:rFonts w:cs="Times New Roman"/>
        </w:rPr>
        <w:t xml:space="preserve">•  Add </w:t>
      </w:r>
      <w:r>
        <w:rPr>
          <w:rFonts w:cs="Times New Roman"/>
          <w:b/>
        </w:rPr>
        <w:t>authentication, a database, multi-user</w:t>
      </w:r>
      <w:r>
        <w:rPr>
          <w:rFonts w:cs="Times New Roman"/>
          <w:b/>
        </w:rPr>
        <w:t xml:space="preserve"> sessions, scheduled retraining and drift monitoring</w:t>
      </w:r>
      <w:r>
        <w:rPr>
          <w:rFonts w:cs="Times New Roman"/>
        </w:rPr>
        <w:t>, and measure load on the full dataset.</w:t>
      </w:r>
    </w:p>
    <w:p w:rsidR="00393167" w:rsidRDefault="00EE71EA">
      <w:r>
        <w:rPr>
          <w:rFonts w:cs="Times New Roman"/>
        </w:rPr>
        <w:t>The order matters: the repairs in the first stage are small, testable and should be done before any new feature is added, because the other stages build on a foreca</w:t>
      </w:r>
      <w:r>
        <w:rPr>
          <w:rFonts w:cs="Times New Roman"/>
        </w:rPr>
        <w:t>st that must at least match a flat seven-day mean.</w:t>
      </w:r>
    </w:p>
    <w:p w:rsidR="00393167" w:rsidRDefault="00EE71EA">
      <w:pPr>
        <w:pStyle w:val="Caption"/>
        <w:keepNext/>
        <w:spacing w:after="80"/>
      </w:pPr>
      <w:r>
        <w:rPr>
          <w:rFonts w:cs="Times New Roman"/>
        </w:rPr>
        <w:lastRenderedPageBreak/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157"/>
        <w:gridCol w:w="2684"/>
      </w:tblGrid>
      <w:tr w:rsidR="00393167">
        <w:trPr>
          <w:cantSplit/>
          <w:tblHeader/>
          <w:jc w:val="center"/>
        </w:trPr>
        <w:tc>
          <w:tcPr>
            <w:tcW w:w="2160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Stage</w:t>
            </w:r>
          </w:p>
        </w:tc>
        <w:tc>
          <w:tcPr>
            <w:tcW w:w="4464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Work</w:t>
            </w:r>
          </w:p>
        </w:tc>
        <w:tc>
          <w:tcPr>
            <w:tcW w:w="2880" w:type="dxa"/>
            <w:shd w:val="clear" w:color="auto" w:fill="1B2A41"/>
          </w:tcPr>
          <w:p w:rsidR="00393167" w:rsidRDefault="00EE71EA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Done when</w:t>
            </w:r>
          </w:p>
        </w:tc>
      </w:tr>
      <w:tr w:rsidR="00393167">
        <w:trPr>
          <w:cantSplit/>
          <w:jc w:val="center"/>
        </w:trPr>
        <w:tc>
          <w:tcPr>
            <w:tcW w:w="216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1. Repair what was measured</w:t>
            </w:r>
          </w:p>
        </w:tc>
        <w:tc>
          <w:tcPr>
            <w:tcW w:w="4464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Normalise weights, time-clean protocol as default, refresh all calendar features in recursion, keep duplicate </w:t>
            </w:r>
            <w:r>
              <w:rPr>
                <w:rFonts w:cs="Times New Roman"/>
                <w:sz w:val="20"/>
              </w:rPr>
              <w:t>rows, drop absolute-time features</w:t>
            </w:r>
          </w:p>
        </w:tc>
        <w:tc>
          <w:tcPr>
            <w:tcW w:w="288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The six-pair study improves or is neutral, and the recursive forecast beats a flat seven-day mean</w:t>
            </w:r>
          </w:p>
        </w:tc>
      </w:tr>
      <w:tr w:rsidR="00393167">
        <w:trPr>
          <w:cantSplit/>
          <w:jc w:val="center"/>
        </w:trPr>
        <w:tc>
          <w:tcPr>
            <w:tcW w:w="216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2. Explain and plan</w:t>
            </w:r>
          </w:p>
        </w:tc>
        <w:tc>
          <w:tcPr>
            <w:tcW w:w="4464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SHAP per forecast, WAPE and under/over-stock units in the app, a naive lag-1 row in the comparison </w:t>
            </w:r>
            <w:r>
              <w:rPr>
                <w:rFonts w:cs="Times New Roman"/>
                <w:sz w:val="20"/>
              </w:rPr>
              <w:t>table</w:t>
            </w:r>
          </w:p>
        </w:tc>
        <w:tc>
          <w:tcPr>
            <w:tcW w:w="288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Planners see why a number moved and how much stock it risks</w:t>
            </w:r>
          </w:p>
        </w:tc>
      </w:tr>
      <w:tr w:rsidR="00393167">
        <w:trPr>
          <w:cantSplit/>
          <w:jc w:val="center"/>
        </w:trPr>
        <w:tc>
          <w:tcPr>
            <w:tcW w:w="216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3. Widen the data</w:t>
            </w:r>
          </w:p>
        </w:tc>
        <w:tc>
          <w:tcPr>
            <w:tcW w:w="4464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Full H&amp;M, regions and promotions where available, a second retailer</w:t>
            </w:r>
          </w:p>
        </w:tc>
        <w:tc>
          <w:tcPr>
            <w:tcW w:w="288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Results repeat on a window with a previous year</w:t>
            </w:r>
          </w:p>
        </w:tc>
      </w:tr>
      <w:tr w:rsidR="00393167">
        <w:trPr>
          <w:cantSplit/>
          <w:jc w:val="center"/>
        </w:trPr>
        <w:tc>
          <w:tcPr>
            <w:tcW w:w="216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4. Deploy</w:t>
            </w:r>
          </w:p>
        </w:tc>
        <w:tc>
          <w:tcPr>
            <w:tcW w:w="4464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Authentication, a database, scheduled retrai</w:t>
            </w:r>
            <w:r>
              <w:rPr>
                <w:rFonts w:cs="Times New Roman"/>
                <w:sz w:val="20"/>
              </w:rPr>
              <w:t>ning and monitoring</w:t>
            </w:r>
          </w:p>
        </w:tc>
        <w:tc>
          <w:tcPr>
            <w:tcW w:w="2880" w:type="dxa"/>
          </w:tcPr>
          <w:p w:rsidR="00393167" w:rsidRDefault="00EE71EA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Several users can work on separate datasets</w:t>
            </w:r>
          </w:p>
        </w:tc>
      </w:tr>
    </w:tbl>
    <w:p w:rsidR="00393167" w:rsidRDefault="00393167">
      <w:pPr>
        <w:spacing w:line="192" w:lineRule="auto"/>
      </w:pPr>
    </w:p>
    <w:p w:rsidR="00393167" w:rsidRDefault="00EE71EA">
      <w:pPr>
        <w:pStyle w:val="Heading1"/>
        <w:pageBreakBefore/>
      </w:pPr>
      <w:r>
        <w:lastRenderedPageBreak/>
        <w:t>3. REFERENCES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L. N. Mishra, B. Senapati, S. K. Nayak and A. J. Rangari, "Explainable retail demand forecasting: A hybrid LightGBM-SHAP framework for inventory optimization," IEEE Access</w:t>
      </w:r>
      <w:r>
        <w:rPr>
          <w:rFonts w:cs="Times New Roman"/>
          <w:sz w:val="20"/>
        </w:rPr>
        <w:t>, vol. 14, pp. 43613-43633, 2026, doi: 10.1109/ACCESS.2026.3675540.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T. Chen and C. Guestrin, "XGBoost: A scalable tree boosting system," in Proc. 22nd ACM SIGKDD Int. Conf. Knowledge Discovery and Data Mining, Aug. 2016, pp. 785-794.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G. Ke, Q. Me</w:t>
      </w:r>
      <w:r>
        <w:rPr>
          <w:rFonts w:cs="Times New Roman"/>
          <w:sz w:val="20"/>
        </w:rPr>
        <w:t>ng, T. Finley, T. Wang, W. Chen, W. Ma, Q. Ye and T.-Y. Liu, "LightGBM: A highly efficient gradient boosting decision tree," in Proc. Advances in Neural Information Processing Systems (NIPS), 2017, pp. 3146-3154.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S. M. Lundberg and S.-I. Lee, "A unifi</w:t>
      </w:r>
      <w:r>
        <w:rPr>
          <w:rFonts w:cs="Times New Roman"/>
          <w:sz w:val="20"/>
        </w:rPr>
        <w:t>ed approach to interpreting model predictions," in Proc. Advances in Neural Information Processing Systems (NIPS), 2017, pp. 4765-4774.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[5]  S. M. Lundberg et al., "From local explanations to global understanding with explainable AI for trees," Nature </w:t>
      </w:r>
      <w:r>
        <w:rPr>
          <w:rFonts w:cs="Times New Roman"/>
          <w:sz w:val="20"/>
        </w:rPr>
        <w:t>Machine Intelligence, vol. 2, no. 1, pp. 56-67, Jan. 2020.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S. Makridakis, E. Spiliotis and V. Assimakopoulos, "M5 accuracy competition: Results, findings, and conclusions," International Journal of Forecasting, vol. 38, no. 4, pp. 1346-1364, Oct. 2022</w:t>
      </w:r>
      <w:r>
        <w:rPr>
          <w:rFonts w:cs="Times New Roman"/>
          <w:sz w:val="20"/>
        </w:rPr>
        <w:t>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L. Breiman, "Random forests," Machine Learning, vol. 45, no. 1, pp. 5-32, 2001.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J. H. Friedman, "Greedy function approximation: A gradient boosting machine," The Annals of Statistics, vol. 29, no. 5, pp. 1189-1232, 2001.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[9]  R. J. Hyndman and </w:t>
      </w:r>
      <w:r>
        <w:rPr>
          <w:rFonts w:cs="Times New Roman"/>
          <w:sz w:val="20"/>
        </w:rPr>
        <w:t>A. B. Koehler, "Another look at measures of forecast accuracy," International Journal of Forecasting, vol. 22, no. 4, pp. 679-688, 2006.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H. Shimodaira, "Improving predictive inference under covariate shift by weighting the log-likelihood function," J</w:t>
      </w:r>
      <w:r>
        <w:rPr>
          <w:rFonts w:cs="Times New Roman"/>
          <w:sz w:val="20"/>
        </w:rPr>
        <w:t>ournal of Statistical Planning and Inference, vol. 90, no. 2, pp. 227-244, 2000.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M. Sugiyama, M. Krauledat and K.-R. Mueller, "Covariate shift adaptation by importance weighted cross validation," Journal of Machine Learning Research, vol. 8, pp. 985-</w:t>
      </w:r>
      <w:r>
        <w:rPr>
          <w:rFonts w:cs="Times New Roman"/>
          <w:sz w:val="20"/>
        </w:rPr>
        <w:t>1005, 2007.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S. Bickel, M. Brueckner and T. Scheffer, "Discriminative learning under covariate shift," Journal of Machine Learning Research, vol. 10, pp. 2137-2155, 2009.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[13]  S. J. Pan and Q. Yang, "A survey on transfer learning," IEEE Transactions </w:t>
      </w:r>
      <w:r>
        <w:rPr>
          <w:rFonts w:cs="Times New Roman"/>
          <w:sz w:val="20"/>
        </w:rPr>
        <w:t>on Knowledge and Data Engineering, vol. 22, no. 10, pp. 1345-1359, Oct. 2010.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S. Ben-David, J. Blitzer, K. Crammer, A. Kulesza, F. Pereira and J. W. Vaughan, "A theory of learning from different domains," Machine Learning, vol. 79, no. 1-2, pp. 151-1</w:t>
      </w:r>
      <w:r>
        <w:rPr>
          <w:rFonts w:cs="Times New Roman"/>
          <w:sz w:val="20"/>
        </w:rPr>
        <w:t>75, 2010.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Y. Ganin et al., "Domain-adversarial training of neural networks," Journal of Machine Learning Research, vol. 17, no. 59, pp. 1-35, 2016.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B. Sun and K. Saenko, "Deep CORAL: Correlation alignment for deep domain adaptation," in Proc. E</w:t>
      </w:r>
      <w:r>
        <w:rPr>
          <w:rFonts w:cs="Times New Roman"/>
          <w:sz w:val="20"/>
        </w:rPr>
        <w:t>CCV Workshops, 2016, pp. 443-450.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S. Thomassey, "Sales forecasts in clothing industry: The key success factor of the supply chain management," International Journal of Production Economics, vol. 128, no. 2, pp. 470-483, Dec. 2010.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[18]  V. Ekambaram,</w:t>
      </w:r>
      <w:r>
        <w:rPr>
          <w:rFonts w:cs="Times New Roman"/>
          <w:sz w:val="20"/>
        </w:rPr>
        <w:t xml:space="preserve"> K. Manglik, S. Mukherjee, S. S. K. Sajja, S. Dwivedi and V. Raykar, "Attention based multi-modal new product sales time-series forecasting," in Proc. 26th ACM SIGKDD Int. Conf. Knowledge Discovery and Data Mining, 2020, pp. 3110-3118, doi: 10.1145/3394486</w:t>
      </w:r>
      <w:r>
        <w:rPr>
          <w:rFonts w:cs="Times New Roman"/>
          <w:sz w:val="20"/>
        </w:rPr>
        <w:t>.3403362.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[19]  P. K. Singh, Y. Gupta, N. Jha and A. Rajan, "Fashion retail: Forecasting demand for new items," arXiv:1907.01960, 2019.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[20]  G. Skenderi, C. Joppi, M. Denitto and M. Cristani, "Well Googled is half done: Multimodal forecasting of new fashi</w:t>
      </w:r>
      <w:r>
        <w:rPr>
          <w:rFonts w:cs="Times New Roman"/>
          <w:sz w:val="20"/>
        </w:rPr>
        <w:t>on product sales with image-based Google Trends," arXiv:2109.09824, 2021 (rev. 2024).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[21]  S. I. Papadopoulos, C. Koutlis, S. Papadopoulos and I. Kompatsiaris, "Multimodal quasi-autoregression: Forecasting the visual popularity of new fashion products," a</w:t>
      </w:r>
      <w:r>
        <w:rPr>
          <w:rFonts w:cs="Times New Roman"/>
          <w:sz w:val="20"/>
        </w:rPr>
        <w:t>rXiv:2204.04014, 2022.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[22]  R. Zhou, Z. Zhang, J. Han, Y. Peng and X. Zhang, "Cold-start forecasting of new product life-cycles via conditional diffusion models," arXiv:2604.20370, Apr. 2026.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[23]  H&amp;M Group, "H&amp;M Personalized Fashion Recommendations," Ka</w:t>
      </w:r>
      <w:r>
        <w:rPr>
          <w:rFonts w:cs="Times New Roman"/>
          <w:sz w:val="20"/>
        </w:rPr>
        <w:t>ggle competition data (articles, customers, transactions), 2022. [Online]. Available: https://www.kaggle.com/competitions/h-and-m-personalized-fashion-recommendations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F. Pedregosa et al., "Scikit-learn: Machine learning in Python," Journal of Machine</w:t>
      </w:r>
      <w:r>
        <w:rPr>
          <w:rFonts w:cs="Times New Roman"/>
          <w:sz w:val="20"/>
        </w:rPr>
        <w:t xml:space="preserve"> Learning Research, vol. 12, pp. 2825-2830, 2011.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J. Bergstra and Y. Bengio, "Random search for hyper-parameter optimization," Journal of Machine Learning Research, vol. 13, pp. 281-305, 2012.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"Impact of AI-driven demand forecasting on retail i</w:t>
      </w:r>
      <w:r>
        <w:rPr>
          <w:rFonts w:cs="Times New Roman"/>
          <w:sz w:val="20"/>
        </w:rPr>
        <w:t>nventory efficiency," 2026 (title as listed in the batch literature survey; not located online and not quoted).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[27]  "Enhancing inventory planning in retail SMEs through data-driven demand forecasting," Int. J. of Innovative Inventions in Social Science a</w:t>
      </w:r>
      <w:r>
        <w:rPr>
          <w:rFonts w:cs="Times New Roman"/>
          <w:sz w:val="20"/>
        </w:rPr>
        <w:t>nd Humanities, 2026 (title as listed in the batch literature survey; not located online and not quoted).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"Does the forecaster matter? A systematic evaluation of demand forecasting and inventory control policies across retail demand regimes," 2026 (ti</w:t>
      </w:r>
      <w:r>
        <w:rPr>
          <w:rFonts w:cs="Times New Roman"/>
          <w:sz w:val="20"/>
        </w:rPr>
        <w:t>tle as listed in the batch literature survey; not located online and not quoted).</w:t>
      </w:r>
    </w:p>
    <w:p w:rsidR="00393167" w:rsidRDefault="00EE71EA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"Predictive inventory management for retail distribution networks: Reorder point optimization and machine learning demand forecasting," 2026 (title as listed in the bat</w:t>
      </w:r>
      <w:r>
        <w:rPr>
          <w:rFonts w:cs="Times New Roman"/>
          <w:sz w:val="20"/>
        </w:rPr>
        <w:t>ch literature survey; not located online and not quoted).</w:t>
      </w:r>
    </w:p>
    <w:sectPr w:rsidR="00393167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E71EA">
      <w:pPr>
        <w:spacing w:after="0" w:line="240" w:lineRule="auto"/>
      </w:pPr>
      <w:r>
        <w:separator/>
      </w:r>
    </w:p>
  </w:endnote>
  <w:endnote w:type="continuationSeparator" w:id="0">
    <w:p w:rsidR="00000000" w:rsidRDefault="00EE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67" w:rsidRDefault="00EE71EA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E71EA">
      <w:pPr>
        <w:spacing w:after="0" w:line="240" w:lineRule="auto"/>
      </w:pPr>
      <w:r>
        <w:separator/>
      </w:r>
    </w:p>
  </w:footnote>
  <w:footnote w:type="continuationSeparator" w:id="0">
    <w:p w:rsidR="00000000" w:rsidRDefault="00EE7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3167" w:rsidRDefault="00EE71EA">
    <w:pPr>
      <w:pStyle w:val="Header"/>
      <w:jc w:val="center"/>
    </w:pPr>
    <w:r>
      <w:rPr>
        <w:rFonts w:cs="Times New Roman"/>
        <w:i/>
        <w:color w:val="555555"/>
        <w:sz w:val="20"/>
      </w:rPr>
      <w:t>TrendCast  | 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167"/>
    <w:rsid w:val="00AA1D8D"/>
    <w:rsid w:val="00B47730"/>
    <w:rsid w:val="00CB0664"/>
    <w:rsid w:val="00EE7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847557-EE3B-400D-A620-CE057D58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E71EA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E71EA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E71EA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0B6E3-7652-4021-AE3E-D880C126E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1790</Words>
  <Characters>10006</Characters>
  <Application>Microsoft Office Word</Application>
  <DocSecurity>0</DocSecurity>
  <Lines>233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2026-10-26T07:33:00Z</dcterms:modified>
  <cp:category/>
</cp:coreProperties>
</file>