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line="240" w:lineRule="auto"/>
      </w:pPr>
    </w:p>
    <w:p>
      <w:pPr>
        <w:spacing w:after="120"/>
        <w:jc w:val="center"/>
      </w:pPr>
      <w:r>
        <w:rPr>
          <w:rFonts w:ascii="Times New Roman" w:hAnsi="Times New Roman" w:cs="Times New Roman" w:eastAsia="Times New Roman"/>
          <w:b/>
          <w:sz w:val="32"/>
        </w:rPr>
        <w:t>AI-BASED FINANCIAL IDENTIFICATION BASED ON DEMOGRAPHY AND FINANCIAL FORECASTING</w:t>
      </w:r>
    </w:p>
    <w:p>
      <w:pPr>
        <w:spacing w:after="280"/>
        <w:jc w:val="center"/>
      </w:pPr>
      <w:r>
        <w:rPr>
          <w:rFonts w:ascii="Times New Roman" w:hAnsi="Times New Roman" w:cs="Times New Roman" w:eastAsia="Times New Roman"/>
          <w:b/>
          <w:sz w:val="28"/>
        </w:rPr>
        <w:t>Scope and Limitations</w:t>
      </w:r>
    </w:p>
    <w:p>
      <w:pPr>
        <w:spacing w:after="40"/>
        <w:jc w:val="center"/>
      </w:pPr>
      <w:r>
        <w:rPr>
          <w:rFonts w:ascii="Times New Roman" w:hAnsi="Times New Roman" w:cs="Times New Roman" w:eastAsia="Times New Roman"/>
          <w:sz w:val="24"/>
        </w:rPr>
        <w:t>Product: FinSight AI</w:t>
      </w:r>
    </w:p>
    <w:p>
      <w:pPr>
        <w:spacing w:after="40"/>
        <w:jc w:val="center"/>
      </w:pPr>
      <w:r>
        <w:rPr>
          <w:rFonts w:ascii="Times New Roman" w:hAnsi="Times New Roman" w:cs="Times New Roman" w:eastAsia="Times New Roman"/>
          <w:sz w:val="24"/>
        </w:rPr>
        <w:t>Department of Computer Science and Engineering, TKR College of Engineering and Technology (Autonomous)</w:t>
      </w:r>
    </w:p>
    <w:p>
      <w:pPr>
        <w:spacing w:after="240"/>
        <w:jc w:val="center"/>
      </w:pPr>
      <w:r>
        <w:rPr>
          <w:rFonts w:ascii="Times New Roman" w:hAnsi="Times New Roman" w:cs="Times New Roman" w:eastAsia="Times New Roman"/>
          <w:sz w:val="24"/>
        </w:rPr>
        <w:t>Batch C9 (CSE-C)  ·  Academic year [ACADEMIC YEAR]</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Project team</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008"/>
            <w:shd w:val="clear" w:color="auto" w:fill="1B2A41"/>
          </w:tcPr>
          <w:p>
            <w:pPr>
              <w:spacing w:line="240" w:lineRule="auto" w:after="40"/>
              <w:jc w:val="center"/>
            </w:pPr>
            <w:r/>
            <w:r>
              <w:rPr>
                <w:rFonts w:ascii="Times New Roman" w:hAnsi="Times New Roman" w:cs="Times New Roman" w:eastAsia="Times New Roman"/>
                <w:b/>
                <w:color w:val="FFFFFF"/>
                <w:sz w:val="22"/>
              </w:rPr>
              <w:t>S.No.</w:t>
            </w:r>
          </w:p>
        </w:tc>
        <w:tc>
          <w:tcPr>
            <w:tcW w:type="dxa" w:w="4896"/>
            <w:shd w:val="clear" w:color="auto" w:fill="1B2A41"/>
          </w:tcPr>
          <w:p>
            <w:pPr>
              <w:spacing w:line="240" w:lineRule="auto" w:after="40"/>
              <w:jc w:val="center"/>
            </w:pPr>
            <w:r/>
            <w:r>
              <w:rPr>
                <w:rFonts w:ascii="Times New Roman" w:hAnsi="Times New Roman" w:cs="Times New Roman" w:eastAsia="Times New Roman"/>
                <w:b/>
                <w:color w:val="FFFFFF"/>
                <w:sz w:val="22"/>
              </w:rPr>
              <w:t>Student name</w:t>
            </w:r>
          </w:p>
        </w:tc>
        <w:tc>
          <w:tcPr>
            <w:tcW w:type="dxa" w:w="2592"/>
            <w:shd w:val="clear" w:color="auto" w:fill="1B2A41"/>
          </w:tcPr>
          <w:p>
            <w:pPr>
              <w:spacing w:line="240" w:lineRule="auto" w:after="40"/>
              <w:jc w:val="center"/>
            </w:pPr>
            <w:r/>
            <w:r>
              <w:rPr>
                <w:rFonts w:ascii="Times New Roman" w:hAnsi="Times New Roman" w:cs="Times New Roman" w:eastAsia="Times New Roman"/>
                <w:b/>
                <w:color w:val="FFFFFF"/>
                <w:sz w:val="22"/>
              </w:rPr>
              <w:t>Roll number</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1</w:t>
            </w:r>
          </w:p>
        </w:tc>
        <w:tc>
          <w:tcPr>
            <w:tcW w:type="dxa" w:w="4896"/>
          </w:tcPr>
          <w:p>
            <w:pPr>
              <w:spacing w:line="240" w:lineRule="auto" w:after="40"/>
              <w:jc w:val="left"/>
            </w:pPr>
            <w:r/>
            <w:r>
              <w:rPr>
                <w:rFonts w:ascii="Times New Roman" w:hAnsi="Times New Roman" w:cs="Times New Roman" w:eastAsia="Times New Roman"/>
                <w:sz w:val="22"/>
              </w:rPr>
              <w:t>MOHD AHMED</w:t>
            </w:r>
          </w:p>
        </w:tc>
        <w:tc>
          <w:tcPr>
            <w:tcW w:type="dxa" w:w="2592"/>
          </w:tcPr>
          <w:p>
            <w:pPr>
              <w:spacing w:line="240" w:lineRule="auto" w:after="40"/>
              <w:jc w:val="center"/>
            </w:pPr>
            <w:r/>
            <w:r>
              <w:rPr>
                <w:rFonts w:ascii="Times New Roman" w:hAnsi="Times New Roman" w:cs="Times New Roman" w:eastAsia="Times New Roman"/>
                <w:sz w:val="22"/>
              </w:rPr>
              <w:t>23K91A05F7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2</w:t>
            </w:r>
          </w:p>
        </w:tc>
        <w:tc>
          <w:tcPr>
            <w:tcW w:type="dxa" w:w="4896"/>
          </w:tcPr>
          <w:p>
            <w:pPr>
              <w:spacing w:line="240" w:lineRule="auto" w:after="40"/>
              <w:jc w:val="left"/>
            </w:pPr>
            <w:r/>
            <w:r>
              <w:rPr>
                <w:rFonts w:ascii="Times New Roman" w:hAnsi="Times New Roman" w:cs="Times New Roman" w:eastAsia="Times New Roman"/>
                <w:sz w:val="22"/>
              </w:rPr>
              <w:t>MANNE UPENDER</w:t>
            </w:r>
          </w:p>
        </w:tc>
        <w:tc>
          <w:tcPr>
            <w:tcW w:type="dxa" w:w="2592"/>
          </w:tcPr>
          <w:p>
            <w:pPr>
              <w:spacing w:line="240" w:lineRule="auto" w:after="40"/>
              <w:jc w:val="center"/>
            </w:pPr>
            <w:r/>
            <w:r>
              <w:rPr>
                <w:rFonts w:ascii="Times New Roman" w:hAnsi="Times New Roman" w:cs="Times New Roman" w:eastAsia="Times New Roman"/>
                <w:sz w:val="22"/>
              </w:rPr>
              <w:t>23K91A05E6</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3</w:t>
            </w:r>
          </w:p>
        </w:tc>
        <w:tc>
          <w:tcPr>
            <w:tcW w:type="dxa" w:w="4896"/>
          </w:tcPr>
          <w:p>
            <w:pPr>
              <w:spacing w:line="240" w:lineRule="auto" w:after="40"/>
              <w:jc w:val="left"/>
            </w:pPr>
            <w:r/>
            <w:r>
              <w:rPr>
                <w:rFonts w:ascii="Times New Roman" w:hAnsi="Times New Roman" w:cs="Times New Roman" w:eastAsia="Times New Roman"/>
                <w:sz w:val="22"/>
              </w:rPr>
              <w:t>PADALA RAJESH</w:t>
            </w:r>
          </w:p>
        </w:tc>
        <w:tc>
          <w:tcPr>
            <w:tcW w:type="dxa" w:w="2592"/>
          </w:tcPr>
          <w:p>
            <w:pPr>
              <w:spacing w:line="240" w:lineRule="auto" w:after="40"/>
              <w:jc w:val="center"/>
            </w:pPr>
            <w:r/>
            <w:r>
              <w:rPr>
                <w:rFonts w:ascii="Times New Roman" w:hAnsi="Times New Roman" w:cs="Times New Roman" w:eastAsia="Times New Roman"/>
                <w:sz w:val="22"/>
              </w:rPr>
              <w:t>23K91A05H7</w:t>
            </w:r>
          </w:p>
        </w:tc>
      </w:tr>
      <w:tr>
        <w:trPr>
          <w:cantSplit w:val="true"/>
        </w:trPr>
        <w:tc>
          <w:tcPr>
            <w:tcW w:type="dxa" w:w="1008"/>
          </w:tcPr>
          <w:p>
            <w:pPr>
              <w:spacing w:line="240" w:lineRule="auto" w:after="40"/>
              <w:jc w:val="center"/>
            </w:pPr>
            <w:r/>
            <w:r>
              <w:rPr>
                <w:rFonts w:ascii="Times New Roman" w:hAnsi="Times New Roman" w:cs="Times New Roman" w:eastAsia="Times New Roman"/>
                <w:sz w:val="22"/>
              </w:rPr>
              <w:t>4</w:t>
            </w:r>
          </w:p>
        </w:tc>
        <w:tc>
          <w:tcPr>
            <w:tcW w:type="dxa" w:w="4896"/>
          </w:tcPr>
          <w:p>
            <w:pPr>
              <w:spacing w:line="240" w:lineRule="auto" w:after="40"/>
              <w:jc w:val="left"/>
            </w:pPr>
            <w:r/>
            <w:r>
              <w:rPr>
                <w:rFonts w:ascii="Times New Roman" w:hAnsi="Times New Roman" w:cs="Times New Roman" w:eastAsia="Times New Roman"/>
                <w:sz w:val="22"/>
              </w:rPr>
              <w:t>MADAGOUNI HARSHAVARDHAN GOUD</w:t>
            </w:r>
          </w:p>
        </w:tc>
        <w:tc>
          <w:tcPr>
            <w:tcW w:type="dxa" w:w="2592"/>
          </w:tcPr>
          <w:p>
            <w:pPr>
              <w:spacing w:line="240" w:lineRule="auto" w:after="40"/>
              <w:jc w:val="center"/>
            </w:pPr>
            <w:r/>
            <w:r>
              <w:rPr>
                <w:rFonts w:ascii="Times New Roman" w:hAnsi="Times New Roman" w:cs="Times New Roman" w:eastAsia="Times New Roman"/>
                <w:sz w:val="22"/>
              </w:rPr>
              <w:t>23K91A05D5</w:t>
            </w:r>
          </w:p>
        </w:tc>
      </w:tr>
    </w:tbl>
    <w:p>
      <w:pPr>
        <w:spacing w:after="120" w:line="192" w:lineRule="auto"/>
      </w:pPr>
    </w:p>
    <w:p>
      <w:pPr>
        <w:spacing w:after="200"/>
        <w:jc w:val="center"/>
      </w:pPr>
      <w:r>
        <w:rPr>
          <w:rFonts w:ascii="Times New Roman" w:hAnsi="Times New Roman" w:cs="Times New Roman" w:eastAsia="Times New Roman"/>
          <w:b/>
          <w:sz w:val="24"/>
        </w:rPr>
        <w:t>Project guide:</w:t>
      </w:r>
      <w:r>
        <w:rPr>
          <w:rFonts w:ascii="Times New Roman" w:hAnsi="Times New Roman" w:cs="Times New Roman" w:eastAsia="Times New Roman"/>
          <w:sz w:val="24"/>
        </w:rPr>
        <w:t xml:space="preserve"> B SRIKANTH</w:t>
      </w:r>
    </w:p>
    <w:p>
      <w:pPr>
        <w:spacing w:after="120"/>
      </w:pPr>
      <w:r>
        <w:rPr>
          <w:rFonts w:ascii="Times New Roman" w:hAnsi="Times New Roman" w:cs="Times New Roman" w:eastAsia="Times New Roman"/>
          <w:i/>
          <w:sz w:val="21"/>
        </w:rPr>
        <w:t>Chapter and section numbers quoted in the text (for example Section 6.6 or Chapter 8) refer to the full project report, 17.Final Document. Figures and tables in this document are numbered from 1.</w:t>
      </w:r>
    </w:p>
    <w:p>
      <w:pPr>
        <w:pStyle w:val="Heading1"/>
      </w:pPr>
      <w:r>
        <w:t>1. SCOPE</w:t>
      </w:r>
    </w:p>
    <w:p>
      <w:r>
        <w:rPr>
          <w:rFonts w:ascii="Times New Roman" w:hAnsi="Times New Roman" w:cs="Times New Roman" w:eastAsia="Times New Roman"/>
        </w:rPr>
        <w:t>The scope was fixed by the project abstract (identify financial profiles from demographic attributes and forecast economic trends through a web application) and then narrowed to what the available data support.</w:t>
      </w:r>
    </w:p>
    <w:p>
      <w:pPr>
        <w:pStyle w:val="Heading2"/>
      </w:pPr>
      <w:r>
        <w:t>In scope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Classification of one individual's demographic and financial profile (12 inputs) into an Emerging, Developing or Established profile with a Low, Moderate or High risk band and a financial-strength score.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 xml:space="preserve">The preprocessing and feature-engineering chain in </w:t>
      </w:r>
      <w:r>
        <w:rPr>
          <w:rFonts w:ascii="Consolas" w:hAnsi="Consolas" w:cs="Consolas" w:eastAsia="Consolas"/>
          <w:sz w:val="21"/>
        </w:rPr>
        <w:t>scripts/feature_engineering.py</w:t>
      </w:r>
      <w:r>
        <w:rPr>
          <w:rFonts w:ascii="Times New Roman" w:hAnsi="Times New Roman" w:cs="Times New Roman" w:eastAsia="Times New Roman"/>
        </w:rPr>
        <w:t>, applied identically at training and prediction time through a scikit-learn Pipeline.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Four candidate classifiers (Logistic Regression, Random Forest, Gradient Boosting, XGBoost) evaluated by stratified 80/20 split and 5-fold cross-validation, with the best selected by ROC-AUC.</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SHAP explainability: global importance charts at training time and live local contributions for every assessment, with plain-language sentences.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A 12-month Holt-Winters forecast of an economic index with a 95% band, and a what-if comparison of a baseline and a changed scenario.</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A Flask JSON API (port 8409), the original server-rendered pages, a React front end (port 5409) with a sample login, a dashboard, performance views and a responsive light / dark interface.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A reproducible training pipeline, an automated test suite (pytest), a smoke test and the documentation set.</w:t>
      </w:r>
    </w:p>
    <w:p>
      <w:pPr>
        <w:pStyle w:val="Heading2"/>
      </w:pPr>
      <w:r>
        <w:t>Out of scope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Credit decisions. The model predicts an income band from census-style attributes; it is not a credit score, a default or distress predictor, or a lending recommendation.</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Forecasting an individual's future finances. The forecast is of an aggregate economic index and is trained on a synthetic series.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Real macroeconomic indicators (inflation, benchmark lending rates, GDP) named in the project abstract; they are not integrated.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Transaction-level or bank data, income verification, identity checks and any personal-data storage.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User accounts, real authentication, role management, audit logging and a relational database (the sample login is a browser-only demo gate).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Fairness mitigation, causal inference, entity-grouped or temporal validation, and external validation on current data.</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Cloud deployment and horizontal scaling; the Docker files cover the original Flask pages only.</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2</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Scope at a glance</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1584"/>
            <w:shd w:val="clear" w:color="auto" w:fill="1B2A41"/>
          </w:tcPr>
          <w:p>
            <w:pPr>
              <w:spacing w:line="240" w:lineRule="auto" w:after="40"/>
              <w:jc w:val="center"/>
            </w:pPr>
            <w:r/>
            <w:r>
              <w:rPr>
                <w:rFonts w:ascii="Times New Roman" w:hAnsi="Times New Roman" w:cs="Times New Roman" w:eastAsia="Times New Roman"/>
                <w:b/>
                <w:color w:val="FFFFFF"/>
                <w:sz w:val="19"/>
              </w:rPr>
              <w:t>Area</w:t>
            </w:r>
          </w:p>
        </w:tc>
        <w:tc>
          <w:tcPr>
            <w:tcW w:type="dxa" w:w="3888"/>
            <w:shd w:val="clear" w:color="auto" w:fill="1B2A41"/>
          </w:tcPr>
          <w:p>
            <w:pPr>
              <w:spacing w:line="240" w:lineRule="auto" w:after="40"/>
              <w:jc w:val="center"/>
            </w:pPr>
            <w:r/>
            <w:r>
              <w:rPr>
                <w:rFonts w:ascii="Times New Roman" w:hAnsi="Times New Roman" w:cs="Times New Roman" w:eastAsia="Times New Roman"/>
                <w:b/>
                <w:color w:val="FFFFFF"/>
                <w:sz w:val="19"/>
              </w:rPr>
              <w:t>Covered</w:t>
            </w:r>
          </w:p>
        </w:tc>
        <w:tc>
          <w:tcPr>
            <w:tcW w:type="dxa" w:w="3600"/>
            <w:shd w:val="clear" w:color="auto" w:fill="1B2A41"/>
          </w:tcPr>
          <w:p>
            <w:pPr>
              <w:spacing w:line="240" w:lineRule="auto" w:after="40"/>
              <w:jc w:val="center"/>
            </w:pPr>
            <w:r/>
            <w:r>
              <w:rPr>
                <w:rFonts w:ascii="Times New Roman" w:hAnsi="Times New Roman" w:cs="Times New Roman" w:eastAsia="Times New Roman"/>
                <w:b/>
                <w:color w:val="FFFFFF"/>
                <w:sz w:val="19"/>
              </w:rPr>
              <w:t>Not covered</w:t>
            </w:r>
          </w:p>
        </w:tc>
      </w:tr>
      <w:tr>
        <w:trPr>
          <w:cantSplit w:val="true"/>
        </w:trPr>
        <w:tc>
          <w:tcPr>
            <w:tcW w:type="dxa" w:w="1584"/>
          </w:tcPr>
          <w:p>
            <w:pPr>
              <w:spacing w:line="240" w:lineRule="auto" w:after="40"/>
              <w:jc w:val="left"/>
            </w:pPr>
            <w:r/>
            <w:r>
              <w:rPr>
                <w:rFonts w:ascii="Times New Roman" w:hAnsi="Times New Roman" w:cs="Times New Roman" w:eastAsia="Times New Roman"/>
                <w:sz w:val="19"/>
              </w:rPr>
              <w:t>Data</w:t>
            </w:r>
          </w:p>
        </w:tc>
        <w:tc>
          <w:tcPr>
            <w:tcW w:type="dxa" w:w="3888"/>
          </w:tcPr>
          <w:p>
            <w:pPr>
              <w:spacing w:line="240" w:lineRule="auto" w:after="40"/>
              <w:jc w:val="left"/>
            </w:pPr>
            <w:r/>
            <w:r>
              <w:rPr>
                <w:rFonts w:ascii="Times New Roman" w:hAnsi="Times New Roman" w:cs="Times New Roman" w:eastAsia="Times New Roman"/>
                <w:sz w:val="19"/>
              </w:rPr>
              <w:t>UCI Adult / Census Income (public), synthetic monthly index</w:t>
            </w:r>
          </w:p>
        </w:tc>
        <w:tc>
          <w:tcPr>
            <w:tcW w:type="dxa" w:w="3600"/>
          </w:tcPr>
          <w:p>
            <w:pPr>
              <w:spacing w:line="240" w:lineRule="auto" w:after="40"/>
              <w:jc w:val="left"/>
            </w:pPr>
            <w:r/>
            <w:r>
              <w:rPr>
                <w:rFonts w:ascii="Times New Roman" w:hAnsi="Times New Roman" w:cs="Times New Roman" w:eastAsia="Times New Roman"/>
                <w:sz w:val="19"/>
              </w:rPr>
              <w:t>Account-level transaction records, real macro series, personal data storage</w:t>
            </w:r>
          </w:p>
        </w:tc>
      </w:tr>
      <w:tr>
        <w:trPr>
          <w:cantSplit w:val="true"/>
        </w:trPr>
        <w:tc>
          <w:tcPr>
            <w:tcW w:type="dxa" w:w="1584"/>
          </w:tcPr>
          <w:p>
            <w:pPr>
              <w:spacing w:line="240" w:lineRule="auto" w:after="40"/>
              <w:jc w:val="left"/>
            </w:pPr>
            <w:r/>
            <w:r>
              <w:rPr>
                <w:rFonts w:ascii="Times New Roman" w:hAnsi="Times New Roman" w:cs="Times New Roman" w:eastAsia="Times New Roman"/>
                <w:sz w:val="19"/>
              </w:rPr>
              <w:t>Models</w:t>
            </w:r>
          </w:p>
        </w:tc>
        <w:tc>
          <w:tcPr>
            <w:tcW w:type="dxa" w:w="3888"/>
          </w:tcPr>
          <w:p>
            <w:pPr>
              <w:spacing w:line="240" w:lineRule="auto" w:after="40"/>
              <w:jc w:val="left"/>
            </w:pPr>
            <w:r/>
            <w:r>
              <w:rPr>
                <w:rFonts w:ascii="Times New Roman" w:hAnsi="Times New Roman" w:cs="Times New Roman" w:eastAsia="Times New Roman"/>
                <w:sz w:val="19"/>
              </w:rPr>
              <w:t>Four supervised classifiers, Holt-Winters smoothing</w:t>
            </w:r>
          </w:p>
        </w:tc>
        <w:tc>
          <w:tcPr>
            <w:tcW w:type="dxa" w:w="3600"/>
          </w:tcPr>
          <w:p>
            <w:pPr>
              <w:spacing w:line="240" w:lineRule="auto" w:after="40"/>
              <w:jc w:val="left"/>
            </w:pPr>
            <w:r/>
            <w:r>
              <w:rPr>
                <w:rFonts w:ascii="Times New Roman" w:hAnsi="Times New Roman" w:cs="Times New Roman" w:eastAsia="Times New Roman"/>
                <w:sz w:val="19"/>
              </w:rPr>
              <w:t>Deep learning, causal models, individual-level forecasting</w:t>
            </w:r>
          </w:p>
        </w:tc>
      </w:tr>
      <w:tr>
        <w:trPr>
          <w:cantSplit w:val="true"/>
        </w:trPr>
        <w:tc>
          <w:tcPr>
            <w:tcW w:type="dxa" w:w="1584"/>
          </w:tcPr>
          <w:p>
            <w:pPr>
              <w:spacing w:line="240" w:lineRule="auto" w:after="40"/>
              <w:jc w:val="left"/>
            </w:pPr>
            <w:r/>
            <w:r>
              <w:rPr>
                <w:rFonts w:ascii="Times New Roman" w:hAnsi="Times New Roman" w:cs="Times New Roman" w:eastAsia="Times New Roman"/>
                <w:sz w:val="19"/>
              </w:rPr>
              <w:t>Explanation</w:t>
            </w:r>
          </w:p>
        </w:tc>
        <w:tc>
          <w:tcPr>
            <w:tcW w:type="dxa" w:w="3888"/>
          </w:tcPr>
          <w:p>
            <w:pPr>
              <w:spacing w:line="240" w:lineRule="auto" w:after="40"/>
              <w:jc w:val="left"/>
            </w:pPr>
            <w:r/>
            <w:r>
              <w:rPr>
                <w:rFonts w:ascii="Times New Roman" w:hAnsi="Times New Roman" w:cs="Times New Roman" w:eastAsia="Times New Roman"/>
                <w:sz w:val="19"/>
              </w:rPr>
              <w:t>Global and live local SHAP, what-if simulation</w:t>
            </w:r>
          </w:p>
        </w:tc>
        <w:tc>
          <w:tcPr>
            <w:tcW w:type="dxa" w:w="3600"/>
          </w:tcPr>
          <w:p>
            <w:pPr>
              <w:spacing w:line="240" w:lineRule="auto" w:after="40"/>
              <w:jc w:val="left"/>
            </w:pPr>
            <w:r/>
            <w:r>
              <w:rPr>
                <w:rFonts w:ascii="Times New Roman" w:hAnsi="Times New Roman" w:cs="Times New Roman" w:eastAsia="Times New Roman"/>
                <w:sz w:val="19"/>
              </w:rPr>
              <w:t>Counterfactual recourse, fairness mitigation</w:t>
            </w:r>
          </w:p>
        </w:tc>
      </w:tr>
      <w:tr>
        <w:trPr>
          <w:cantSplit w:val="true"/>
        </w:trPr>
        <w:tc>
          <w:tcPr>
            <w:tcW w:type="dxa" w:w="1584"/>
          </w:tcPr>
          <w:p>
            <w:pPr>
              <w:spacing w:line="240" w:lineRule="auto" w:after="40"/>
              <w:jc w:val="left"/>
            </w:pPr>
            <w:r/>
            <w:r>
              <w:rPr>
                <w:rFonts w:ascii="Times New Roman" w:hAnsi="Times New Roman" w:cs="Times New Roman" w:eastAsia="Times New Roman"/>
                <w:sz w:val="19"/>
              </w:rPr>
              <w:t>Product</w:t>
            </w:r>
          </w:p>
        </w:tc>
        <w:tc>
          <w:tcPr>
            <w:tcW w:type="dxa" w:w="3888"/>
          </w:tcPr>
          <w:p>
            <w:pPr>
              <w:spacing w:line="240" w:lineRule="auto" w:after="40"/>
              <w:jc w:val="left"/>
            </w:pPr>
            <w:r/>
            <w:r>
              <w:rPr>
                <w:rFonts w:ascii="Times New Roman" w:hAnsi="Times New Roman" w:cs="Times New Roman" w:eastAsia="Times New Roman"/>
                <w:sz w:val="19"/>
              </w:rPr>
              <w:t>Flask API, React interface, sample login, tests</w:t>
            </w:r>
          </w:p>
        </w:tc>
        <w:tc>
          <w:tcPr>
            <w:tcW w:type="dxa" w:w="3600"/>
          </w:tcPr>
          <w:p>
            <w:pPr>
              <w:spacing w:line="240" w:lineRule="auto" w:after="40"/>
              <w:jc w:val="left"/>
            </w:pPr>
            <w:r/>
            <w:r>
              <w:rPr>
                <w:rFonts w:ascii="Times New Roman" w:hAnsi="Times New Roman" w:cs="Times New Roman" w:eastAsia="Times New Roman"/>
                <w:sz w:val="19"/>
              </w:rPr>
              <w:t>Real authentication, database, cloud deployment</w:t>
            </w:r>
          </w:p>
        </w:tc>
      </w:tr>
    </w:tbl>
    <w:p>
      <w:pPr>
        <w:spacing w:after="120" w:line="192" w:lineRule="auto"/>
      </w:pPr>
    </w:p>
    <w:p>
      <w:pPr>
        <w:keepNext/>
        <w:spacing w:line="240" w:lineRule="auto" w:after="80"/>
        <w:jc w:val="center"/>
      </w:pPr>
      <w:r>
        <w:drawing>
          <wp:inline xmlns:a="http://schemas.openxmlformats.org/drawingml/2006/main" xmlns:pic="http://schemas.openxmlformats.org/drawingml/2006/picture">
            <wp:extent cx="4206240" cy="3384406"/>
            <wp:docPr id="1" name="Picture 1"/>
            <wp:cNvGraphicFramePr>
              <a:graphicFrameLocks noChangeAspect="1"/>
            </wp:cNvGraphicFramePr>
            <a:graphic>
              <a:graphicData uri="http://schemas.openxmlformats.org/drawingml/2006/picture">
                <pic:pic>
                  <pic:nvPicPr>
                    <pic:cNvPr id="0" name="08_use_case_diagram.png"/>
                    <pic:cNvPicPr/>
                  </pic:nvPicPr>
                  <pic:blipFill>
                    <a:blip r:embed="rId11"/>
                    <a:stretch>
                      <a:fillRect/>
                    </a:stretch>
                  </pic:blipFill>
                  <pic:spPr>
                    <a:xfrm>
                      <a:off x="0" y="0"/>
                      <a:ext cx="4206240" cy="3384406"/>
                    </a:xfrm>
                    <a:prstGeom prst="rect"/>
                  </pic:spPr>
                </pic:pic>
              </a:graphicData>
            </a:graphic>
          </wp:inline>
        </w:drawing>
      </w:r>
    </w:p>
    <w:p>
      <w:pPr>
        <w:pStyle w:val="Caption"/>
      </w:pPr>
      <w:r>
        <w:rPr>
          <w:rFonts w:ascii="Times New Roman" w:hAnsi="Times New Roman" w:cs="Times New Roman" w:eastAsia="Times New Roman"/>
          <w:b/>
          <w:sz w:val="22"/>
        </w:rPr>
        <w:t xml:space="preserve">Figure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Figure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1</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What the user can do within the scope of the system (use-case diagram)</w:t>
      </w:r>
    </w:p>
    <w:p>
      <w:pPr>
        <w:pStyle w:val="Heading1"/>
        <w:pageBreakBefore/>
      </w:pPr>
      <w:r>
        <w:t>2. ASSUMPTIONS</w:t>
      </w:r>
    </w:p>
    <w:p>
      <w:r>
        <w:rPr>
          <w:rFonts w:ascii="Times New Roman" w:hAnsi="Times New Roman" w:cs="Times New Roman" w:eastAsia="Times New Roman"/>
        </w:rPr>
        <w:t>The results hold under the following assumptions; where one is weakened, the corresponding numbers should be re-measured.</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The 1994 US census extract (UCI Adult) is a usable stand-in for demographic and financial profiles; its income label is taken as ground truth.</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One row describes one person, so a random stratified split does not leak entities between training and test sets.</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Users enter values from the permitted option lists and ranges (age 16-100, hours 1-99, gains and losses 0-1,000,000).</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 xml:space="preserve">The census sampling weight </w:t>
      </w:r>
      <w:r>
        <w:rPr>
          <w:rFonts w:ascii="Consolas" w:hAnsi="Consolas" w:cs="Consolas" w:eastAsia="Consolas"/>
          <w:sz w:val="21"/>
        </w:rPr>
        <w:t>fnlwgt</w:t>
      </w:r>
      <w:r>
        <w:rPr>
          <w:rFonts w:ascii="Times New Roman" w:hAnsi="Times New Roman" w:cs="Times New Roman" w:eastAsia="Times New Roman"/>
        </w:rPr>
        <w:t xml:space="preserve"> has no meaning for a new user and is imputed with the training median at prediction time.</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The Household Financial Conditions Index used for forecasting is illustrative; its trend and seasonality are assumed to continue unchanged over the 12-month horizon.</w:t>
      </w:r>
    </w:p>
    <w:p>
      <w:pPr>
        <w:spacing w:after="60"/>
        <w:ind w:left="720" w:hanging="360"/>
      </w:pPr>
      <w:r>
        <w:rPr>
          <w:rFonts w:ascii="Times New Roman" w:hAnsi="Times New Roman" w:cs="Times New Roman" w:eastAsia="Times New Roman"/>
        </w:rPr>
        <w:t xml:space="preserve">•  </w:t>
      </w:r>
      <w:r>
        <w:rPr>
          <w:rFonts w:ascii="Times New Roman" w:hAnsi="Times New Roman" w:cs="Times New Roman" w:eastAsia="Times New Roman"/>
        </w:rPr>
        <w:t>The system runs on a single local machine with Python 3.11 or newer and Node.js 18 or newer.</w:t>
      </w:r>
    </w:p>
    <w:p>
      <w:pPr>
        <w:pStyle w:val="Heading1"/>
        <w:pageBreakBefore/>
      </w:pPr>
      <w:r>
        <w:t>3. LIMITATIONS</w:t>
      </w:r>
    </w:p>
    <w:p>
      <w:r>
        <w:rPr>
          <w:rFonts w:ascii="Times New Roman" w:hAnsi="Times New Roman" w:cs="Times New Roman" w:eastAsia="Times New Roman"/>
        </w:rPr>
        <w:t>The limitations below are stated plainly because they change how the results may be used. Each is followed by its practical consequence.</w:t>
      </w:r>
    </w:p>
    <w:p>
      <w:r>
        <w:rPr>
          <w:rFonts w:ascii="Times New Roman" w:hAnsi="Times New Roman" w:cs="Times New Roman" w:eastAsia="Times New Roman"/>
          <w:b/>
        </w:rPr>
        <w:t>Old, US-specific data.</w:t>
      </w:r>
      <w:r>
        <w:rPr>
          <w:rFonts w:ascii="Times New Roman" w:hAnsi="Times New Roman" w:cs="Times New Roman" w:eastAsia="Times New Roman"/>
        </w:rPr>
        <w:t xml:space="preserve"> The Adult extract describes 1994 US adults. Its income distribution, occupations and wage levels do not describe current populations, and the countries in the form map to a handful of census categories.</w:t>
      </w:r>
    </w:p>
    <w:p>
      <w:r>
        <w:rPr>
          <w:rFonts w:ascii="Times New Roman" w:hAnsi="Times New Roman" w:cs="Times New Roman" w:eastAsia="Times New Roman"/>
        </w:rPr>
        <w:t>Consequence: absolute income levels, occupations and the country list are dated and US-centric, so scores for a present-day user are an analogy to 1994 patterns.</w:t>
      </w:r>
    </w:p>
    <w:p>
      <w:r>
        <w:rPr>
          <w:rFonts w:ascii="Times New Roman" w:hAnsi="Times New Roman" w:cs="Times New Roman" w:eastAsia="Times New Roman"/>
          <w:b/>
        </w:rPr>
        <w:t>Income is not creditworthiness.</w:t>
      </w:r>
      <w:r>
        <w:rPr>
          <w:rFonts w:ascii="Times New Roman" w:hAnsi="Times New Roman" w:cs="Times New Roman" w:eastAsia="Times New Roman"/>
        </w:rPr>
        <w:t xml:space="preserve"> The target is income above 50K. The report therefore claims a financial-profile signal only; it makes no claim about repayment behaviour or distress.</w:t>
      </w:r>
    </w:p>
    <w:p>
      <w:r>
        <w:rPr>
          <w:rFonts w:ascii="Times New Roman" w:hAnsi="Times New Roman" w:cs="Times New Roman" w:eastAsia="Times New Roman"/>
        </w:rPr>
        <w:t>Consequence: nothing in this report supports lending, scoring or distress claims; the profile names (Emerging, Developing, Established) describe income-band membership only.</w:t>
      </w:r>
    </w:p>
    <w:p>
      <w:r>
        <w:rPr>
          <w:rFonts w:ascii="Times New Roman" w:hAnsi="Times New Roman" w:cs="Times New Roman" w:eastAsia="Times New Roman"/>
          <w:b/>
        </w:rPr>
        <w:t>Synthetic forecast series.</w:t>
      </w:r>
      <w:r>
        <w:rPr>
          <w:rFonts w:ascii="Times New Roman" w:hAnsi="Times New Roman" w:cs="Times New Roman" w:eastAsia="Times New Roman"/>
        </w:rPr>
        <w:t xml:space="preserve"> The forecast component is validated only against its own generator (back-test MAPE below 1%), which says nothing about accuracy on real economic data.</w:t>
      </w:r>
    </w:p>
    <w:p>
      <w:r>
        <w:rPr>
          <w:rFonts w:ascii="Times New Roman" w:hAnsi="Times New Roman" w:cs="Times New Roman" w:eastAsia="Times New Roman"/>
        </w:rPr>
        <w:t>Consequence: the back-test (MAE 1.429 against 4.504 for repeating the last value) shows the method recovers the pattern it was generated with; it is not evidence about real economies.</w:t>
      </w:r>
    </w:p>
    <w:p>
      <w:r>
        <w:rPr>
          <w:rFonts w:ascii="Times New Roman" w:hAnsi="Times New Roman" w:cs="Times New Roman" w:eastAsia="Times New Roman"/>
          <w:b/>
        </w:rPr>
        <w:t>Sensitive attributes in the model.</w:t>
      </w:r>
      <w:r>
        <w:rPr>
          <w:rFonts w:ascii="Times New Roman" w:hAnsi="Times New Roman" w:cs="Times New Roman" w:eastAsia="Times New Roman"/>
        </w:rPr>
        <w:t xml:space="preserve"> Sex, race and marital status are inputs and marital status is the most important SHAP feature. No fairness audit or mitigation was performed, so the model may reproduce historical bias.</w:t>
      </w:r>
    </w:p>
    <w:p>
      <w:r>
        <w:rPr>
          <w:rFonts w:ascii="Times New Roman" w:hAnsi="Times New Roman" w:cs="Times New Roman" w:eastAsia="Times New Roman"/>
        </w:rPr>
        <w:t>Consequence: the model may encode historical bias, for example through the sex and marital-status effects visible in the SHAP ranking. Group metrics and mitigation are future work.</w:t>
      </w:r>
    </w:p>
    <w:p>
      <w:r>
        <w:rPr>
          <w:rFonts w:ascii="Times New Roman" w:hAnsi="Times New Roman" w:cs="Times New Roman" w:eastAsia="Times New Roman"/>
          <w:b/>
        </w:rPr>
        <w:t>Recall of the positive class is modest.</w:t>
      </w:r>
      <w:r>
        <w:rPr>
          <w:rFonts w:ascii="Times New Roman" w:hAnsi="Times New Roman" w:cs="Times New Roman" w:eastAsia="Times New Roman"/>
        </w:rPr>
        <w:t xml:space="preserve"> At the default 0.5 threshold the selected model finds about two thirds of the people with income above 50K; the threshold analysis shows how this trades against precision.</w:t>
      </w:r>
    </w:p>
    <w:p>
      <w:r>
        <w:rPr>
          <w:rFonts w:ascii="Times New Roman" w:hAnsi="Times New Roman" w:cs="Times New Roman" w:eastAsia="Times New Roman"/>
        </w:rPr>
        <w:t>Consequence: at 0.5 the model misses 780 of the 2,338 positive test records; lowering the threshold to 0.35 raises recall to 78.1% at the price of precision 69.0%.</w:t>
      </w:r>
    </w:p>
    <w:p>
      <w:r>
        <w:rPr>
          <w:rFonts w:ascii="Times New Roman" w:hAnsi="Times New Roman" w:cs="Times New Roman" w:eastAsia="Times New Roman"/>
          <w:b/>
        </w:rPr>
        <w:t>Model selected on the test split.</w:t>
      </w:r>
      <w:r>
        <w:rPr>
          <w:rFonts w:ascii="Times New Roman" w:hAnsi="Times New Roman" w:cs="Times New Roman" w:eastAsia="Times New Roman"/>
        </w:rPr>
        <w:t xml:space="preserve"> The best model was chosen by test ROC-AUC, with no separate validation set, no hyperparameter search and no significance test; the cross-validation ranking agrees with the test ranking.</w:t>
      </w:r>
    </w:p>
    <w:p>
      <w:r>
        <w:rPr>
          <w:rFonts w:ascii="Times New Roman" w:hAnsi="Times New Roman" w:cs="Times New Roman" w:eastAsia="Times New Roman"/>
        </w:rPr>
        <w:t>Consequence: reported test scores are slightly optimistic for the selected model; the cross-validation ranking (XGBoost first) agrees, but differences between models were not tested for significance.</w:t>
      </w:r>
    </w:p>
    <w:p>
      <w:r>
        <w:rPr>
          <w:rFonts w:ascii="Times New Roman" w:hAnsi="Times New Roman" w:cs="Times New Roman" w:eastAsia="Times New Roman"/>
          <w:b/>
        </w:rPr>
        <w:t>Extrapolation in what-if scenarios.</w:t>
      </w:r>
      <w:r>
        <w:rPr>
          <w:rFonts w:ascii="Times New Roman" w:hAnsi="Times New Roman" w:cs="Times New Roman" w:eastAsia="Times New Roman"/>
        </w:rPr>
        <w:t xml:space="preserve"> Large changes (for example investment gains of 80,000) move the score by close to 100 points because the training data are sparse there; scenario output is a model simulation, not a causal prediction.</w:t>
      </w:r>
    </w:p>
    <w:p>
      <w:r>
        <w:rPr>
          <w:rFonts w:ascii="Times New Roman" w:hAnsi="Times New Roman" w:cs="Times New Roman" w:eastAsia="Times New Roman"/>
        </w:rPr>
        <w:t>Consequence: users should read the what-if comparison as a statement about the model, not about what would happen if they changed their circumstances.</w:t>
      </w:r>
    </w:p>
    <w:p>
      <w:r>
        <w:rPr>
          <w:rFonts w:ascii="Times New Roman" w:hAnsi="Times New Roman" w:cs="Times New Roman" w:eastAsia="Times New Roman"/>
          <w:b/>
        </w:rPr>
        <w:t>Demo-grade security and storage.</w:t>
      </w:r>
      <w:r>
        <w:rPr>
          <w:rFonts w:ascii="Times New Roman" w:hAnsi="Times New Roman" w:cs="Times New Roman" w:eastAsia="Times New Roman"/>
        </w:rPr>
        <w:t xml:space="preserve"> The login is client-side only, no data is persisted, the session secret has a development default, and the Docker image serves the Flask pages only.</w:t>
      </w:r>
    </w:p>
    <w:p>
      <w:r>
        <w:rPr>
          <w:rFonts w:ascii="Times New Roman" w:hAnsi="Times New Roman" w:cs="Times New Roman" w:eastAsia="Times New Roman"/>
        </w:rPr>
        <w:t>Consequence: the application must not be exposed beyond a local machine or used with real personal data until real authentication, secret management and storage are added.</w:t>
      </w:r>
    </w:p>
    <w:p>
      <w:r>
        <w:rPr>
          <w:rFonts w:ascii="Times New Roman" w:hAnsi="Times New Roman" w:cs="Times New Roman" w:eastAsia="Times New Roman"/>
          <w:b/>
        </w:rPr>
        <w:t>Not financial advice.</w:t>
      </w:r>
      <w:r>
        <w:rPr>
          <w:rFonts w:ascii="Times New Roman" w:hAnsi="Times New Roman" w:cs="Times New Roman" w:eastAsia="Times New Roman"/>
        </w:rPr>
        <w:t xml:space="preserve"> Outputs are informational and must not be used as the sole basis for any financial decision.</w:t>
      </w:r>
    </w:p>
    <w:p>
      <w:r>
        <w:rPr>
          <w:rFonts w:ascii="Times New Roman" w:hAnsi="Times New Roman" w:cs="Times New Roman" w:eastAsia="Times New Roman"/>
        </w:rPr>
        <w:t>Consequence: every screen repeats a disclaimer; the system supports exploration and education, not decisions.</w:t>
      </w:r>
    </w:p>
    <w:p>
      <w:pPr>
        <w:pStyle w:val="Heading1"/>
        <w:pageBreakBefore/>
      </w:pPr>
      <w:r>
        <w:t>4. WHAT WAS NOT MEASURED</w:t>
      </w:r>
    </w:p>
    <w:p>
      <w:r>
        <w:rPr>
          <w:rFonts w:ascii="Times New Roman" w:hAnsi="Times New Roman" w:cs="Times New Roman" w:eastAsia="Times New Roman"/>
        </w:rPr>
        <w:t>Several things a complete evaluation would include were not measured. They are listed so that no reader mistakes their absence for a good result.</w:t>
      </w:r>
    </w:p>
    <w:p>
      <w:pPr>
        <w:pStyle w:val="Caption"/>
        <w:keepNext/>
        <w:spacing w:after="80"/>
      </w:pPr>
      <w:r>
        <w:rPr>
          <w:rFonts w:ascii="Times New Roman" w:hAnsi="Times New Roman" w:cs="Times New Roman" w:eastAsia="Times New Roman"/>
          <w:b/>
          <w:sz w:val="22"/>
        </w:rPr>
        <w:t xml:space="preserve">Table </w:t>
      </w:r>
      <w:r>
        <w:rPr>
          <w:rFonts w:ascii="Times New Roman" w:hAnsi="Times New Roman" w:cs="Times New Roman" w:eastAsia="Times New Roman"/>
          <w:b/>
          <w:sz w:val="22"/>
        </w:rPr>
        <w:fldChar w:fldCharType="begin"/>
      </w:r>
      <w:r>
        <w:rPr>
          <w:rFonts w:ascii="Times New Roman" w:hAnsi="Times New Roman" w:cs="Times New Roman" w:eastAsia="Times New Roman"/>
          <w:b/>
          <w:sz w:val="22"/>
        </w:rPr>
        <w:instrText xml:space="preserve"> SEQ Table \* ARABIC </w:instrText>
      </w:r>
      <w:r>
        <w:rPr>
          <w:rFonts w:ascii="Times New Roman" w:hAnsi="Times New Roman" w:cs="Times New Roman" w:eastAsia="Times New Roman"/>
          <w:b/>
          <w:sz w:val="22"/>
        </w:rPr>
        <w:fldChar w:fldCharType="separate"/>
      </w:r>
      <w:r>
        <w:rPr>
          <w:rFonts w:ascii="Times New Roman" w:hAnsi="Times New Roman" w:cs="Times New Roman" w:eastAsia="Times New Roman"/>
          <w:b/>
          <w:sz w:val="22"/>
        </w:rPr>
        <w:t>3</w:t>
      </w:r>
      <w:r>
        <w:rPr>
          <w:rFonts w:ascii="Times New Roman" w:hAnsi="Times New Roman" w:cs="Times New Roman" w:eastAsia="Times New Roman"/>
          <w:b/>
          <w:sz w:val="22"/>
        </w:rPr>
        <w:fldChar w:fldCharType="end"/>
      </w:r>
      <w:r>
        <w:rPr>
          <w:rFonts w:ascii="Times New Roman" w:hAnsi="Times New Roman" w:cs="Times New Roman" w:eastAsia="Times New Roman"/>
          <w:b/>
          <w:sz w:val="22"/>
        </w:rPr>
        <w:t xml:space="preserve">: </w:t>
      </w:r>
      <w:r>
        <w:rPr>
          <w:rFonts w:ascii="Times New Roman" w:hAnsi="Times New Roman" w:cs="Times New Roman" w:eastAsia="Times New Roman"/>
          <w:b/>
          <w:sz w:val="22"/>
        </w:rPr>
        <w:t>Items not measured</w:t>
      </w:r>
    </w:p>
    <w:tbl>
      <w:tblPr>
        <w:tblStyle w:val="TableGrid"/>
        <w:tblW w:type="auto" w:w="0"/>
        <w:jc w:val="center"/>
        <w:tblLook w:firstColumn="1" w:firstRow="1" w:lastColumn="0" w:lastRow="0" w:noHBand="0" w:noVBand="1" w:val="04A0"/>
      </w:tblPr>
      <w:tblGrid>
        <w:gridCol w:w="2889"/>
        <w:gridCol w:w="2889"/>
        <w:gridCol w:w="2889"/>
      </w:tblGrid>
      <w:tr>
        <w:trPr>
          <w:tblHeader w:val="true"/>
          <w:cantSplit w:val="true"/>
        </w:trPr>
        <w:tc>
          <w:tcPr>
            <w:tcW w:type="dxa" w:w="3456"/>
            <w:shd w:val="clear" w:color="auto" w:fill="1B2A41"/>
          </w:tcPr>
          <w:p>
            <w:pPr>
              <w:spacing w:line="240" w:lineRule="auto" w:after="40"/>
              <w:jc w:val="center"/>
            </w:pPr>
            <w:r/>
            <w:r>
              <w:rPr>
                <w:rFonts w:ascii="Times New Roman" w:hAnsi="Times New Roman" w:cs="Times New Roman" w:eastAsia="Times New Roman"/>
                <w:b/>
                <w:color w:val="FFFFFF"/>
                <w:sz w:val="19"/>
              </w:rPr>
              <w:t>Item</w:t>
            </w:r>
          </w:p>
        </w:tc>
        <w:tc>
          <w:tcPr>
            <w:tcW w:type="dxa" w:w="1440"/>
            <w:shd w:val="clear" w:color="auto" w:fill="1B2A41"/>
          </w:tcPr>
          <w:p>
            <w:pPr>
              <w:spacing w:line="240" w:lineRule="auto" w:after="40"/>
              <w:jc w:val="center"/>
            </w:pPr>
            <w:r/>
            <w:r>
              <w:rPr>
                <w:rFonts w:ascii="Times New Roman" w:hAnsi="Times New Roman" w:cs="Times New Roman" w:eastAsia="Times New Roman"/>
                <w:b/>
                <w:color w:val="FFFFFF"/>
                <w:sz w:val="19"/>
              </w:rPr>
              <w:t>Status</w:t>
            </w:r>
          </w:p>
        </w:tc>
        <w:tc>
          <w:tcPr>
            <w:tcW w:type="dxa" w:w="4176"/>
            <w:shd w:val="clear" w:color="auto" w:fill="1B2A41"/>
          </w:tcPr>
          <w:p>
            <w:pPr>
              <w:spacing w:line="240" w:lineRule="auto" w:after="40"/>
              <w:jc w:val="center"/>
            </w:pPr>
            <w:r/>
            <w:r>
              <w:rPr>
                <w:rFonts w:ascii="Times New Roman" w:hAnsi="Times New Roman" w:cs="Times New Roman" w:eastAsia="Times New Roman"/>
                <w:b/>
                <w:color w:val="FFFFFF"/>
                <w:sz w:val="19"/>
              </w:rPr>
              <w:t>Why</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External validation on current or non-US data</w:t>
            </w:r>
          </w:p>
        </w:tc>
        <w:tc>
          <w:tcPr>
            <w:tcW w:type="dxa" w:w="1440"/>
          </w:tcPr>
          <w:p>
            <w:pPr>
              <w:spacing w:line="240" w:lineRule="auto" w:after="40"/>
              <w:jc w:val="center"/>
            </w:pPr>
            <w:r/>
            <w:r>
              <w:rPr>
                <w:rFonts w:ascii="Times New Roman" w:hAnsi="Times New Roman" w:cs="Times New Roman" w:eastAsia="Times New Roman"/>
                <w:sz w:val="19"/>
              </w:rPr>
              <w:t>Not done</w:t>
            </w:r>
          </w:p>
        </w:tc>
        <w:tc>
          <w:tcPr>
            <w:tcW w:type="dxa" w:w="4176"/>
          </w:tcPr>
          <w:p>
            <w:pPr>
              <w:spacing w:line="240" w:lineRule="auto" w:after="40"/>
              <w:jc w:val="left"/>
            </w:pPr>
            <w:r/>
            <w:r>
              <w:rPr>
                <w:rFonts w:ascii="Times New Roman" w:hAnsi="Times New Roman" w:cs="Times New Roman" w:eastAsia="Times New Roman"/>
                <w:sz w:val="19"/>
              </w:rPr>
              <w:t>No second dataset with the same schema was available</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Fairness audit (group error rates, equalised odds)</w:t>
            </w:r>
          </w:p>
        </w:tc>
        <w:tc>
          <w:tcPr>
            <w:tcW w:type="dxa" w:w="1440"/>
          </w:tcPr>
          <w:p>
            <w:pPr>
              <w:spacing w:line="240" w:lineRule="auto" w:after="40"/>
              <w:jc w:val="center"/>
            </w:pPr>
            <w:r/>
            <w:r>
              <w:rPr>
                <w:rFonts w:ascii="Times New Roman" w:hAnsi="Times New Roman" w:cs="Times New Roman" w:eastAsia="Times New Roman"/>
                <w:sz w:val="19"/>
              </w:rPr>
              <w:t>Not done</w:t>
            </w:r>
          </w:p>
        </w:tc>
        <w:tc>
          <w:tcPr>
            <w:tcW w:type="dxa" w:w="4176"/>
          </w:tcPr>
          <w:p>
            <w:pPr>
              <w:spacing w:line="240" w:lineRule="auto" w:after="40"/>
              <w:jc w:val="left"/>
            </w:pPr>
            <w:r/>
            <w:r>
              <w:rPr>
                <w:rFonts w:ascii="Times New Roman" w:hAnsi="Times New Roman" w:cs="Times New Roman" w:eastAsia="Times New Roman"/>
                <w:sz w:val="19"/>
              </w:rPr>
              <w:t>Sex, race and marital status are inputs; mitigation is future work [39], [40]</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Forecast accuracy on real economic data</w:t>
            </w:r>
          </w:p>
        </w:tc>
        <w:tc>
          <w:tcPr>
            <w:tcW w:type="dxa" w:w="1440"/>
          </w:tcPr>
          <w:p>
            <w:pPr>
              <w:spacing w:line="240" w:lineRule="auto" w:after="40"/>
              <w:jc w:val="center"/>
            </w:pPr>
            <w:r/>
            <w:r>
              <w:rPr>
                <w:rFonts w:ascii="Times New Roman" w:hAnsi="Times New Roman" w:cs="Times New Roman" w:eastAsia="Times New Roman"/>
                <w:sz w:val="19"/>
              </w:rPr>
              <w:t>Not done</w:t>
            </w:r>
          </w:p>
        </w:tc>
        <w:tc>
          <w:tcPr>
            <w:tcW w:type="dxa" w:w="4176"/>
          </w:tcPr>
          <w:p>
            <w:pPr>
              <w:spacing w:line="240" w:lineRule="auto" w:after="40"/>
              <w:jc w:val="left"/>
            </w:pPr>
            <w:r/>
            <w:r>
              <w:rPr>
                <w:rFonts w:ascii="Times New Roman" w:hAnsi="Times New Roman" w:cs="Times New Roman" w:eastAsia="Times New Roman"/>
                <w:sz w:val="19"/>
              </w:rPr>
              <w:t>Only the synthetic series exists; the back-test (MAPE 1.00%) is against its own generator</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Significance of differences between models</w:t>
            </w:r>
          </w:p>
        </w:tc>
        <w:tc>
          <w:tcPr>
            <w:tcW w:type="dxa" w:w="1440"/>
          </w:tcPr>
          <w:p>
            <w:pPr>
              <w:spacing w:line="240" w:lineRule="auto" w:after="40"/>
              <w:jc w:val="center"/>
            </w:pPr>
            <w:r/>
            <w:r>
              <w:rPr>
                <w:rFonts w:ascii="Times New Roman" w:hAnsi="Times New Roman" w:cs="Times New Roman" w:eastAsia="Times New Roman"/>
                <w:sz w:val="19"/>
              </w:rPr>
              <w:t>Not done</w:t>
            </w:r>
          </w:p>
        </w:tc>
        <w:tc>
          <w:tcPr>
            <w:tcW w:type="dxa" w:w="4176"/>
          </w:tcPr>
          <w:p>
            <w:pPr>
              <w:spacing w:line="240" w:lineRule="auto" w:after="40"/>
              <w:jc w:val="left"/>
            </w:pPr>
            <w:r/>
            <w:r>
              <w:rPr>
                <w:rFonts w:ascii="Times New Roman" w:hAnsi="Times New Roman" w:cs="Times New Roman" w:eastAsia="Times New Roman"/>
                <w:sz w:val="19"/>
              </w:rPr>
              <w:t>No DeLong or paired test was run [30]</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Hyperparameter search</w:t>
            </w:r>
          </w:p>
        </w:tc>
        <w:tc>
          <w:tcPr>
            <w:tcW w:type="dxa" w:w="1440"/>
          </w:tcPr>
          <w:p>
            <w:pPr>
              <w:spacing w:line="240" w:lineRule="auto" w:after="40"/>
              <w:jc w:val="center"/>
            </w:pPr>
            <w:r/>
            <w:r>
              <w:rPr>
                <w:rFonts w:ascii="Times New Roman" w:hAnsi="Times New Roman" w:cs="Times New Roman" w:eastAsia="Times New Roman"/>
                <w:sz w:val="19"/>
              </w:rPr>
              <w:t>Not done</w:t>
            </w:r>
          </w:p>
        </w:tc>
        <w:tc>
          <w:tcPr>
            <w:tcW w:type="dxa" w:w="4176"/>
          </w:tcPr>
          <w:p>
            <w:pPr>
              <w:spacing w:line="240" w:lineRule="auto" w:after="40"/>
              <w:jc w:val="left"/>
            </w:pPr>
            <w:r/>
            <w:r>
              <w:rPr>
                <w:rFonts w:ascii="Times New Roman" w:hAnsi="Times New Roman" w:cs="Times New Roman" w:eastAsia="Times New Roman"/>
                <w:sz w:val="19"/>
              </w:rPr>
              <w:t>Fixed settings were used; no tuned variant was compared</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Entity-grouped or temporal validation</w:t>
            </w:r>
          </w:p>
        </w:tc>
        <w:tc>
          <w:tcPr>
            <w:tcW w:type="dxa" w:w="1440"/>
          </w:tcPr>
          <w:p>
            <w:pPr>
              <w:spacing w:line="240" w:lineRule="auto" w:after="40"/>
              <w:jc w:val="center"/>
            </w:pPr>
            <w:r/>
            <w:r>
              <w:rPr>
                <w:rFonts w:ascii="Times New Roman" w:hAnsi="Times New Roman" w:cs="Times New Roman" w:eastAsia="Times New Roman"/>
                <w:sz w:val="19"/>
              </w:rPr>
              <w:t>Not applicable</w:t>
            </w:r>
          </w:p>
        </w:tc>
        <w:tc>
          <w:tcPr>
            <w:tcW w:type="dxa" w:w="4176"/>
          </w:tcPr>
          <w:p>
            <w:pPr>
              <w:spacing w:line="240" w:lineRule="auto" w:after="40"/>
              <w:jc w:val="left"/>
            </w:pPr>
            <w:r/>
            <w:r>
              <w:rPr>
                <w:rFonts w:ascii="Times New Roman" w:hAnsi="Times New Roman" w:cs="Times New Roman" w:eastAsia="Times New Roman"/>
                <w:sz w:val="19"/>
              </w:rPr>
              <w:t>One row per person and no time dimension in the classification data</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Calibration beyond ten bins; recalibration</w:t>
            </w:r>
          </w:p>
        </w:tc>
        <w:tc>
          <w:tcPr>
            <w:tcW w:type="dxa" w:w="1440"/>
          </w:tcPr>
          <w:p>
            <w:pPr>
              <w:spacing w:line="240" w:lineRule="auto" w:after="40"/>
              <w:jc w:val="center"/>
            </w:pPr>
            <w:r/>
            <w:r>
              <w:rPr>
                <w:rFonts w:ascii="Times New Roman" w:hAnsi="Times New Roman" w:cs="Times New Roman" w:eastAsia="Times New Roman"/>
                <w:sz w:val="19"/>
              </w:rPr>
              <w:t>Partly</w:t>
            </w:r>
          </w:p>
        </w:tc>
        <w:tc>
          <w:tcPr>
            <w:tcW w:type="dxa" w:w="4176"/>
          </w:tcPr>
          <w:p>
            <w:pPr>
              <w:spacing w:line="240" w:lineRule="auto" w:after="40"/>
              <w:jc w:val="left"/>
            </w:pPr>
            <w:r/>
            <w:r>
              <w:rPr>
                <w:rFonts w:ascii="Times New Roman" w:hAnsi="Times New Roman" w:cs="Times New Roman" w:eastAsia="Times New Roman"/>
                <w:sz w:val="19"/>
              </w:rPr>
              <w:t>Ten-bin reliability table and Brier score 0.086 only; no calibration method applied [37], [38]</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Load and concurrency testing</w:t>
            </w:r>
          </w:p>
        </w:tc>
        <w:tc>
          <w:tcPr>
            <w:tcW w:type="dxa" w:w="1440"/>
          </w:tcPr>
          <w:p>
            <w:pPr>
              <w:spacing w:line="240" w:lineRule="auto" w:after="40"/>
              <w:jc w:val="center"/>
            </w:pPr>
            <w:r/>
            <w:r>
              <w:rPr>
                <w:rFonts w:ascii="Times New Roman" w:hAnsi="Times New Roman" w:cs="Times New Roman" w:eastAsia="Times New Roman"/>
                <w:sz w:val="19"/>
              </w:rPr>
              <w:t>Not done</w:t>
            </w:r>
          </w:p>
        </w:tc>
        <w:tc>
          <w:tcPr>
            <w:tcW w:type="dxa" w:w="4176"/>
          </w:tcPr>
          <w:p>
            <w:pPr>
              <w:spacing w:line="240" w:lineRule="auto" w:after="40"/>
              <w:jc w:val="left"/>
            </w:pPr>
            <w:r/>
            <w:r>
              <w:rPr>
                <w:rFonts w:ascii="Times New Roman" w:hAnsi="Times New Roman" w:cs="Times New Roman" w:eastAsia="Times New Roman"/>
                <w:sz w:val="19"/>
              </w:rPr>
              <w:t>Single-user latency only (68.9 ms median)</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User-acceptance study, accessibility audit, browser matrix</w:t>
            </w:r>
          </w:p>
        </w:tc>
        <w:tc>
          <w:tcPr>
            <w:tcW w:type="dxa" w:w="1440"/>
          </w:tcPr>
          <w:p>
            <w:pPr>
              <w:spacing w:line="240" w:lineRule="auto" w:after="40"/>
              <w:jc w:val="center"/>
            </w:pPr>
            <w:r/>
            <w:r>
              <w:rPr>
                <w:rFonts w:ascii="Times New Roman" w:hAnsi="Times New Roman" w:cs="Times New Roman" w:eastAsia="Times New Roman"/>
                <w:sz w:val="19"/>
              </w:rPr>
              <w:t>Not done</w:t>
            </w:r>
          </w:p>
        </w:tc>
        <w:tc>
          <w:tcPr>
            <w:tcW w:type="dxa" w:w="4176"/>
          </w:tcPr>
          <w:p>
            <w:pPr>
              <w:spacing w:line="240" w:lineRule="auto" w:after="40"/>
              <w:jc w:val="left"/>
            </w:pPr>
            <w:r/>
            <w:r>
              <w:rPr>
                <w:rFonts w:ascii="Times New Roman" w:hAnsi="Times New Roman" w:cs="Times New Roman" w:eastAsia="Times New Roman"/>
                <w:sz w:val="19"/>
              </w:rPr>
              <w:t>No participants; checked only in the browser used for the screenshots</w:t>
            </w:r>
          </w:p>
        </w:tc>
      </w:tr>
      <w:tr>
        <w:trPr>
          <w:cantSplit w:val="true"/>
        </w:trPr>
        <w:tc>
          <w:tcPr>
            <w:tcW w:type="dxa" w:w="3456"/>
          </w:tcPr>
          <w:p>
            <w:pPr>
              <w:spacing w:line="240" w:lineRule="auto" w:after="40"/>
              <w:jc w:val="left"/>
            </w:pPr>
            <w:r/>
            <w:r>
              <w:rPr>
                <w:rFonts w:ascii="Times New Roman" w:hAnsi="Times New Roman" w:cs="Times New Roman" w:eastAsia="Times New Roman"/>
                <w:sz w:val="19"/>
              </w:rPr>
              <w:t>Security testing</w:t>
            </w:r>
          </w:p>
        </w:tc>
        <w:tc>
          <w:tcPr>
            <w:tcW w:type="dxa" w:w="1440"/>
          </w:tcPr>
          <w:p>
            <w:pPr>
              <w:spacing w:line="240" w:lineRule="auto" w:after="40"/>
              <w:jc w:val="center"/>
            </w:pPr>
            <w:r/>
            <w:r>
              <w:rPr>
                <w:rFonts w:ascii="Times New Roman" w:hAnsi="Times New Roman" w:cs="Times New Roman" w:eastAsia="Times New Roman"/>
                <w:sz w:val="19"/>
              </w:rPr>
              <w:t>Not done</w:t>
            </w:r>
          </w:p>
        </w:tc>
        <w:tc>
          <w:tcPr>
            <w:tcW w:type="dxa" w:w="4176"/>
          </w:tcPr>
          <w:p>
            <w:pPr>
              <w:spacing w:line="240" w:lineRule="auto" w:after="40"/>
              <w:jc w:val="left"/>
            </w:pPr>
            <w:r/>
            <w:r>
              <w:rPr>
                <w:rFonts w:ascii="Times New Roman" w:hAnsi="Times New Roman" w:cs="Times New Roman" w:eastAsia="Times New Roman"/>
                <w:sz w:val="19"/>
              </w:rPr>
              <w:t>The sample login is a demo gate and was not audited</w:t>
            </w:r>
          </w:p>
        </w:tc>
      </w:tr>
    </w:tbl>
    <w:p>
      <w:pPr>
        <w:spacing w:after="120" w:line="192" w:lineRule="auto"/>
      </w:pPr>
    </w:p>
    <w:sectPr w:rsidR="00FC693F" w:rsidRPr="0006063C" w:rsidSect="00034616">
      <w:footerReference w:type="default" r:id="rId9"/>
      <w:headerReference w:type="default" r:id="rId10"/>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cs="Times New Roman" w:eastAsia="Times New Roman"/>
        <w:b w:val="0"/>
        <w:i/>
        <w:color w:val="555555"/>
        <w:sz w:val="20"/>
      </w:rPr>
      <w:t>FinSight AI  |  Scope and Limitations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200"/>
      <w:jc w:val="center"/>
    </w:pPr>
    <w:rPr>
      <w:rFonts w:ascii="Times New Roman" w:hAnsi="Times New Roman"/>
      <w:b/>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after="40"/>
      <w:ind w:left="0"/>
      <w:jc w:val="left"/>
    </w:pPr>
    <w:rPr>
      <w:rFonts w:ascii="Times New Roman" w:hAnsi="Times New Roman"/>
      <w:sz w:val="22"/>
    </w:rPr>
  </w:style>
  <w:style w:type="paragraph" w:customStyle="1" w:styleId="TOC2">
    <w:name w:val="TOC 2"/>
    <w:basedOn w:val="Normal"/>
    <w:pPr>
      <w:spacing w:line="240" w:lineRule="auto" w:after="40"/>
      <w:ind w:left="360"/>
      <w:jc w:val="left"/>
    </w:pPr>
    <w:rPr>
      <w:rFonts w:ascii="Times New Roman" w:hAnsi="Times New Roman"/>
      <w:sz w:val="22"/>
    </w:rPr>
  </w:style>
  <w:style w:type="paragraph" w:customStyle="1" w:styleId="TableofFigures">
    <w:name w:val="Table of Figures"/>
    <w:basedOn w:val="Normal"/>
    <w:pPr>
      <w:spacing w:line="240" w:lineRule="auto" w:after="40"/>
      <w:ind w:left="0"/>
      <w:jc w:val="left"/>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