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line="240" w:lineRule="auto"/>
      </w:pPr>
    </w:p>
    <w:p>
      <w:pPr>
        <w:spacing w:after="120"/>
        <w:jc w:val="center"/>
      </w:pPr>
      <w:r>
        <w:rPr>
          <w:rFonts w:ascii="Times New Roman" w:hAnsi="Times New Roman" w:cs="Times New Roman" w:eastAsia="Times New Roman"/>
          <w:b/>
          <w:sz w:val="32"/>
        </w:rPr>
        <w:t>AI-BASED FINANCIAL IDENTIFICATION BASED ON DEMOGRAPHY AND FINANCIAL FORECASTING</w:t>
      </w:r>
    </w:p>
    <w:p>
      <w:pPr>
        <w:spacing w:after="280"/>
        <w:jc w:val="center"/>
      </w:pPr>
      <w:r>
        <w:rPr>
          <w:rFonts w:ascii="Times New Roman" w:hAnsi="Times New Roman" w:cs="Times New Roman" w:eastAsia="Times New Roman"/>
          <w:b/>
          <w:sz w:val="28"/>
        </w:rPr>
        <w:t>Block Diagrams (all)</w:t>
      </w:r>
    </w:p>
    <w:p>
      <w:pPr>
        <w:spacing w:after="40"/>
        <w:jc w:val="center"/>
      </w:pPr>
      <w:r>
        <w:rPr>
          <w:rFonts w:ascii="Times New Roman" w:hAnsi="Times New Roman" w:cs="Times New Roman" w:eastAsia="Times New Roman"/>
          <w:sz w:val="24"/>
        </w:rPr>
        <w:t>Product: FinSight AI</w:t>
      </w:r>
    </w:p>
    <w:p>
      <w:pPr>
        <w:spacing w:after="40"/>
        <w:jc w:val="center"/>
      </w:pPr>
      <w:r>
        <w:rPr>
          <w:rFonts w:ascii="Times New Roman" w:hAnsi="Times New Roman" w:cs="Times New Roman" w:eastAsia="Times New Roman"/>
          <w:sz w:val="24"/>
        </w:rPr>
        <w:t>Department of Computer Science and Engineering, TKR College of Engineering and Technology (Autonomous)</w:t>
      </w:r>
    </w:p>
    <w:p>
      <w:pPr>
        <w:spacing w:after="240"/>
        <w:jc w:val="center"/>
      </w:pPr>
      <w:r>
        <w:rPr>
          <w:rFonts w:ascii="Times New Roman" w:hAnsi="Times New Roman" w:cs="Times New Roman" w:eastAsia="Times New Roman"/>
          <w:sz w:val="24"/>
        </w:rPr>
        <w:t>Batch C9 (CSE-C)  ·  Academic year [ACADEMIC YEAR]</w:t>
      </w:r>
    </w:p>
    <w:p>
      <w:pPr>
        <w:pStyle w:val="Caption"/>
        <w:keepNext/>
        <w:spacing w:after="80"/>
      </w:pPr>
      <w:r>
        <w:rPr>
          <w:rFonts w:ascii="Times New Roman" w:hAnsi="Times New Roman" w:cs="Times New Roman" w:eastAsia="Times New Roman"/>
          <w:b/>
          <w:sz w:val="22"/>
        </w:rPr>
        <w:t xml:space="preserve">Table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Table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1</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Project team</w:t>
      </w:r>
    </w:p>
    <w:tbl>
      <w:tblPr>
        <w:tblStyle w:val="TableGrid"/>
        <w:tblW w:type="auto" w:w="0"/>
        <w:jc w:val="center"/>
        <w:tblLook w:firstColumn="1" w:firstRow="1" w:lastColumn="0" w:lastRow="0" w:noHBand="0" w:noVBand="1" w:val="04A0"/>
      </w:tblPr>
      <w:tblGrid>
        <w:gridCol w:w="2889"/>
        <w:gridCol w:w="2889"/>
        <w:gridCol w:w="2889"/>
      </w:tblGrid>
      <w:tr>
        <w:trPr>
          <w:tblHeader w:val="true"/>
          <w:cantSplit w:val="true"/>
        </w:trPr>
        <w:tc>
          <w:tcPr>
            <w:tcW w:type="dxa" w:w="1008"/>
            <w:shd w:val="clear" w:color="auto" w:fill="1B2A41"/>
          </w:tcPr>
          <w:p>
            <w:pPr>
              <w:spacing w:line="240" w:lineRule="auto" w:after="40"/>
              <w:jc w:val="center"/>
            </w:pPr>
            <w:r/>
            <w:r>
              <w:rPr>
                <w:rFonts w:ascii="Times New Roman" w:hAnsi="Times New Roman" w:cs="Times New Roman" w:eastAsia="Times New Roman"/>
                <w:b/>
                <w:color w:val="FFFFFF"/>
                <w:sz w:val="22"/>
              </w:rPr>
              <w:t>S.No.</w:t>
            </w:r>
          </w:p>
        </w:tc>
        <w:tc>
          <w:tcPr>
            <w:tcW w:type="dxa" w:w="4896"/>
            <w:shd w:val="clear" w:color="auto" w:fill="1B2A41"/>
          </w:tcPr>
          <w:p>
            <w:pPr>
              <w:spacing w:line="240" w:lineRule="auto" w:after="40"/>
              <w:jc w:val="center"/>
            </w:pPr>
            <w:r/>
            <w:r>
              <w:rPr>
                <w:rFonts w:ascii="Times New Roman" w:hAnsi="Times New Roman" w:cs="Times New Roman" w:eastAsia="Times New Roman"/>
                <w:b/>
                <w:color w:val="FFFFFF"/>
                <w:sz w:val="22"/>
              </w:rPr>
              <w:t>Student name</w:t>
            </w:r>
          </w:p>
        </w:tc>
        <w:tc>
          <w:tcPr>
            <w:tcW w:type="dxa" w:w="2592"/>
            <w:shd w:val="clear" w:color="auto" w:fill="1B2A41"/>
          </w:tcPr>
          <w:p>
            <w:pPr>
              <w:spacing w:line="240" w:lineRule="auto" w:after="40"/>
              <w:jc w:val="center"/>
            </w:pPr>
            <w:r/>
            <w:r>
              <w:rPr>
                <w:rFonts w:ascii="Times New Roman" w:hAnsi="Times New Roman" w:cs="Times New Roman" w:eastAsia="Times New Roman"/>
                <w:b/>
                <w:color w:val="FFFFFF"/>
                <w:sz w:val="22"/>
              </w:rPr>
              <w:t>Roll number</w:t>
            </w:r>
          </w:p>
        </w:tc>
      </w:tr>
      <w:tr>
        <w:trPr>
          <w:cantSplit w:val="true"/>
        </w:trPr>
        <w:tc>
          <w:tcPr>
            <w:tcW w:type="dxa" w:w="1008"/>
          </w:tcPr>
          <w:p>
            <w:pPr>
              <w:spacing w:line="240" w:lineRule="auto" w:after="40"/>
              <w:jc w:val="center"/>
            </w:pPr>
            <w:r/>
            <w:r>
              <w:rPr>
                <w:rFonts w:ascii="Times New Roman" w:hAnsi="Times New Roman" w:cs="Times New Roman" w:eastAsia="Times New Roman"/>
                <w:sz w:val="22"/>
              </w:rPr>
              <w:t>1</w:t>
            </w:r>
          </w:p>
        </w:tc>
        <w:tc>
          <w:tcPr>
            <w:tcW w:type="dxa" w:w="4896"/>
          </w:tcPr>
          <w:p>
            <w:pPr>
              <w:spacing w:line="240" w:lineRule="auto" w:after="40"/>
              <w:jc w:val="left"/>
            </w:pPr>
            <w:r/>
            <w:r>
              <w:rPr>
                <w:rFonts w:ascii="Times New Roman" w:hAnsi="Times New Roman" w:cs="Times New Roman" w:eastAsia="Times New Roman"/>
                <w:sz w:val="22"/>
              </w:rPr>
              <w:t>MOHD AHMED</w:t>
            </w:r>
          </w:p>
        </w:tc>
        <w:tc>
          <w:tcPr>
            <w:tcW w:type="dxa" w:w="2592"/>
          </w:tcPr>
          <w:p>
            <w:pPr>
              <w:spacing w:line="240" w:lineRule="auto" w:after="40"/>
              <w:jc w:val="center"/>
            </w:pPr>
            <w:r/>
            <w:r>
              <w:rPr>
                <w:rFonts w:ascii="Times New Roman" w:hAnsi="Times New Roman" w:cs="Times New Roman" w:eastAsia="Times New Roman"/>
                <w:sz w:val="22"/>
              </w:rPr>
              <w:t>23K91A05F7</w:t>
            </w:r>
          </w:p>
        </w:tc>
      </w:tr>
      <w:tr>
        <w:trPr>
          <w:cantSplit w:val="true"/>
        </w:trPr>
        <w:tc>
          <w:tcPr>
            <w:tcW w:type="dxa" w:w="1008"/>
          </w:tcPr>
          <w:p>
            <w:pPr>
              <w:spacing w:line="240" w:lineRule="auto" w:after="40"/>
              <w:jc w:val="center"/>
            </w:pPr>
            <w:r/>
            <w:r>
              <w:rPr>
                <w:rFonts w:ascii="Times New Roman" w:hAnsi="Times New Roman" w:cs="Times New Roman" w:eastAsia="Times New Roman"/>
                <w:sz w:val="22"/>
              </w:rPr>
              <w:t>2</w:t>
            </w:r>
          </w:p>
        </w:tc>
        <w:tc>
          <w:tcPr>
            <w:tcW w:type="dxa" w:w="4896"/>
          </w:tcPr>
          <w:p>
            <w:pPr>
              <w:spacing w:line="240" w:lineRule="auto" w:after="40"/>
              <w:jc w:val="left"/>
            </w:pPr>
            <w:r/>
            <w:r>
              <w:rPr>
                <w:rFonts w:ascii="Times New Roman" w:hAnsi="Times New Roman" w:cs="Times New Roman" w:eastAsia="Times New Roman"/>
                <w:sz w:val="22"/>
              </w:rPr>
              <w:t>MANNE UPENDER</w:t>
            </w:r>
          </w:p>
        </w:tc>
        <w:tc>
          <w:tcPr>
            <w:tcW w:type="dxa" w:w="2592"/>
          </w:tcPr>
          <w:p>
            <w:pPr>
              <w:spacing w:line="240" w:lineRule="auto" w:after="40"/>
              <w:jc w:val="center"/>
            </w:pPr>
            <w:r/>
            <w:r>
              <w:rPr>
                <w:rFonts w:ascii="Times New Roman" w:hAnsi="Times New Roman" w:cs="Times New Roman" w:eastAsia="Times New Roman"/>
                <w:sz w:val="22"/>
              </w:rPr>
              <w:t>23K91A05E6</w:t>
            </w:r>
          </w:p>
        </w:tc>
      </w:tr>
      <w:tr>
        <w:trPr>
          <w:cantSplit w:val="true"/>
        </w:trPr>
        <w:tc>
          <w:tcPr>
            <w:tcW w:type="dxa" w:w="1008"/>
          </w:tcPr>
          <w:p>
            <w:pPr>
              <w:spacing w:line="240" w:lineRule="auto" w:after="40"/>
              <w:jc w:val="center"/>
            </w:pPr>
            <w:r/>
            <w:r>
              <w:rPr>
                <w:rFonts w:ascii="Times New Roman" w:hAnsi="Times New Roman" w:cs="Times New Roman" w:eastAsia="Times New Roman"/>
                <w:sz w:val="22"/>
              </w:rPr>
              <w:t>3</w:t>
            </w:r>
          </w:p>
        </w:tc>
        <w:tc>
          <w:tcPr>
            <w:tcW w:type="dxa" w:w="4896"/>
          </w:tcPr>
          <w:p>
            <w:pPr>
              <w:spacing w:line="240" w:lineRule="auto" w:after="40"/>
              <w:jc w:val="left"/>
            </w:pPr>
            <w:r/>
            <w:r>
              <w:rPr>
                <w:rFonts w:ascii="Times New Roman" w:hAnsi="Times New Roman" w:cs="Times New Roman" w:eastAsia="Times New Roman"/>
                <w:sz w:val="22"/>
              </w:rPr>
              <w:t>PADALA RAJESH</w:t>
            </w:r>
          </w:p>
        </w:tc>
        <w:tc>
          <w:tcPr>
            <w:tcW w:type="dxa" w:w="2592"/>
          </w:tcPr>
          <w:p>
            <w:pPr>
              <w:spacing w:line="240" w:lineRule="auto" w:after="40"/>
              <w:jc w:val="center"/>
            </w:pPr>
            <w:r/>
            <w:r>
              <w:rPr>
                <w:rFonts w:ascii="Times New Roman" w:hAnsi="Times New Roman" w:cs="Times New Roman" w:eastAsia="Times New Roman"/>
                <w:sz w:val="22"/>
              </w:rPr>
              <w:t>23K91A05H7</w:t>
            </w:r>
          </w:p>
        </w:tc>
      </w:tr>
      <w:tr>
        <w:trPr>
          <w:cantSplit w:val="true"/>
        </w:trPr>
        <w:tc>
          <w:tcPr>
            <w:tcW w:type="dxa" w:w="1008"/>
          </w:tcPr>
          <w:p>
            <w:pPr>
              <w:spacing w:line="240" w:lineRule="auto" w:after="40"/>
              <w:jc w:val="center"/>
            </w:pPr>
            <w:r/>
            <w:r>
              <w:rPr>
                <w:rFonts w:ascii="Times New Roman" w:hAnsi="Times New Roman" w:cs="Times New Roman" w:eastAsia="Times New Roman"/>
                <w:sz w:val="22"/>
              </w:rPr>
              <w:t>4</w:t>
            </w:r>
          </w:p>
        </w:tc>
        <w:tc>
          <w:tcPr>
            <w:tcW w:type="dxa" w:w="4896"/>
          </w:tcPr>
          <w:p>
            <w:pPr>
              <w:spacing w:line="240" w:lineRule="auto" w:after="40"/>
              <w:jc w:val="left"/>
            </w:pPr>
            <w:r/>
            <w:r>
              <w:rPr>
                <w:rFonts w:ascii="Times New Roman" w:hAnsi="Times New Roman" w:cs="Times New Roman" w:eastAsia="Times New Roman"/>
                <w:sz w:val="22"/>
              </w:rPr>
              <w:t>MADAGOUNI HARSHAVARDHAN GOUD</w:t>
            </w:r>
          </w:p>
        </w:tc>
        <w:tc>
          <w:tcPr>
            <w:tcW w:type="dxa" w:w="2592"/>
          </w:tcPr>
          <w:p>
            <w:pPr>
              <w:spacing w:line="240" w:lineRule="auto" w:after="40"/>
              <w:jc w:val="center"/>
            </w:pPr>
            <w:r/>
            <w:r>
              <w:rPr>
                <w:rFonts w:ascii="Times New Roman" w:hAnsi="Times New Roman" w:cs="Times New Roman" w:eastAsia="Times New Roman"/>
                <w:sz w:val="22"/>
              </w:rPr>
              <w:t>23K91A05D5</w:t>
            </w:r>
          </w:p>
        </w:tc>
      </w:tr>
    </w:tbl>
    <w:p>
      <w:pPr>
        <w:spacing w:after="120" w:line="192" w:lineRule="auto"/>
      </w:pPr>
    </w:p>
    <w:p>
      <w:pPr>
        <w:spacing w:after="200"/>
        <w:jc w:val="center"/>
      </w:pPr>
      <w:r>
        <w:rPr>
          <w:rFonts w:ascii="Times New Roman" w:hAnsi="Times New Roman" w:cs="Times New Roman" w:eastAsia="Times New Roman"/>
          <w:b/>
          <w:sz w:val="24"/>
        </w:rPr>
        <w:t>Project guide:</w:t>
      </w:r>
      <w:r>
        <w:rPr>
          <w:rFonts w:ascii="Times New Roman" w:hAnsi="Times New Roman" w:cs="Times New Roman" w:eastAsia="Times New Roman"/>
          <w:sz w:val="24"/>
        </w:rPr>
        <w:t xml:space="preserve"> B SRIKANTH</w:t>
      </w:r>
    </w:p>
    <w:p>
      <w:pPr>
        <w:spacing w:after="120"/>
      </w:pPr>
      <w:r>
        <w:rPr>
          <w:rFonts w:ascii="Times New Roman" w:hAnsi="Times New Roman" w:cs="Times New Roman" w:eastAsia="Times New Roman"/>
          <w:i/>
          <w:sz w:val="21"/>
        </w:rPr>
        <w:t>Chapter and section numbers quoted in the text (for example Section 6.6 or Chapter 8) refer to the full project report, 17.Final Document. Figures and tables in this document are numbered from 1.</w:t>
      </w:r>
    </w:p>
    <w:p>
      <w:pPr>
        <w:pStyle w:val="Heading1"/>
      </w:pPr>
      <w:r>
        <w:t>1. INDEX OF DIAGRAMS</w:t>
      </w:r>
    </w:p>
    <w:p>
      <w:r>
        <w:rPr>
          <w:rFonts w:ascii="Times New Roman" w:hAnsi="Times New Roman" w:cs="Times New Roman" w:eastAsia="Times New Roman"/>
        </w:rPr>
        <w:t xml:space="preserve">Every diagram is generated from the real design by </w:t>
      </w:r>
      <w:r>
        <w:rPr>
          <w:rFonts w:ascii="Consolas" w:hAnsi="Consolas" w:cs="Consolas" w:eastAsia="Consolas"/>
          <w:sz w:val="21"/>
        </w:rPr>
        <w:t>scripts/make_diagrams.py</w:t>
      </w:r>
      <w:r>
        <w:rPr>
          <w:rFonts w:ascii="Times New Roman" w:hAnsi="Times New Roman" w:cs="Times New Roman" w:eastAsia="Times New Roman"/>
        </w:rPr>
        <w:t xml:space="preserve"> (matplotlib, 150 dpi) and mirrors the code in </w:t>
      </w:r>
      <w:r>
        <w:rPr>
          <w:rFonts w:ascii="Consolas" w:hAnsi="Consolas" w:cs="Consolas" w:eastAsia="Consolas"/>
          <w:sz w:val="21"/>
        </w:rPr>
        <w:t>app/routes.py</w:t>
      </w:r>
      <w:r>
        <w:rPr>
          <w:rFonts w:ascii="Times New Roman" w:hAnsi="Times New Roman" w:cs="Times New Roman" w:eastAsia="Times New Roman"/>
        </w:rPr>
        <w:t xml:space="preserve">, </w:t>
      </w:r>
      <w:r>
        <w:rPr>
          <w:rFonts w:ascii="Consolas" w:hAnsi="Consolas" w:cs="Consolas" w:eastAsia="Consolas"/>
          <w:sz w:val="21"/>
        </w:rPr>
        <w:t>app/api.py</w:t>
      </w:r>
      <w:r>
        <w:rPr>
          <w:rFonts w:ascii="Times New Roman" w:hAnsi="Times New Roman" w:cs="Times New Roman" w:eastAsia="Times New Roman"/>
        </w:rPr>
        <w:t xml:space="preserve">, </w:t>
      </w:r>
      <w:r>
        <w:rPr>
          <w:rFonts w:ascii="Consolas" w:hAnsi="Consolas" w:cs="Consolas" w:eastAsia="Consolas"/>
          <w:sz w:val="21"/>
        </w:rPr>
        <w:t>app/services/</w:t>
      </w:r>
      <w:r>
        <w:rPr>
          <w:rFonts w:ascii="Times New Roman" w:hAnsi="Times New Roman" w:cs="Times New Roman" w:eastAsia="Times New Roman"/>
        </w:rPr>
        <w:t xml:space="preserve">, </w:t>
      </w:r>
      <w:r>
        <w:rPr>
          <w:rFonts w:ascii="Consolas" w:hAnsi="Consolas" w:cs="Consolas" w:eastAsia="Consolas"/>
          <w:sz w:val="21"/>
        </w:rPr>
        <w:t>app/utils/validation.py</w:t>
      </w:r>
      <w:r>
        <w:rPr>
          <w:rFonts w:ascii="Times New Roman" w:hAnsi="Times New Roman" w:cs="Times New Roman" w:eastAsia="Times New Roman"/>
        </w:rPr>
        <w:t xml:space="preserve"> and </w:t>
      </w:r>
      <w:r>
        <w:rPr>
          <w:rFonts w:ascii="Consolas" w:hAnsi="Consolas" w:cs="Consolas" w:eastAsia="Consolas"/>
          <w:sz w:val="21"/>
        </w:rPr>
        <w:t>scripts/</w:t>
      </w:r>
      <w:r>
        <w:rPr>
          <w:rFonts w:ascii="Times New Roman" w:hAnsi="Times New Roman" w:cs="Times New Roman" w:eastAsia="Times New Roman"/>
        </w:rPr>
        <w:t>.</w:t>
      </w:r>
    </w:p>
    <w:p>
      <w:pPr>
        <w:pStyle w:val="Caption"/>
        <w:keepNext/>
        <w:spacing w:after="80"/>
      </w:pPr>
      <w:r>
        <w:rPr>
          <w:rFonts w:ascii="Times New Roman" w:hAnsi="Times New Roman" w:cs="Times New Roman" w:eastAsia="Times New Roman"/>
          <w:b/>
          <w:sz w:val="22"/>
        </w:rPr>
        <w:t xml:space="preserve">Table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Table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2</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Diagrams in this document</w:t>
      </w:r>
    </w:p>
    <w:tbl>
      <w:tblPr>
        <w:tblStyle w:val="TableGrid"/>
        <w:tblW w:type="auto" w:w="0"/>
        <w:jc w:val="center"/>
        <w:tblLook w:firstColumn="1" w:firstRow="1" w:lastColumn="0" w:lastRow="0" w:noHBand="0" w:noVBand="1" w:val="04A0"/>
      </w:tblPr>
      <w:tblGrid>
        <w:gridCol w:w="2889"/>
        <w:gridCol w:w="2889"/>
        <w:gridCol w:w="2889"/>
      </w:tblGrid>
      <w:tr>
        <w:trPr>
          <w:tblHeader w:val="true"/>
          <w:cantSplit w:val="true"/>
        </w:trPr>
        <w:tc>
          <w:tcPr>
            <w:tcW w:type="dxa" w:w="720"/>
            <w:shd w:val="clear" w:color="auto" w:fill="1B2A41"/>
          </w:tcPr>
          <w:p>
            <w:pPr>
              <w:spacing w:line="240" w:lineRule="auto" w:after="40"/>
              <w:jc w:val="center"/>
            </w:pPr>
            <w:r/>
            <w:r>
              <w:rPr>
                <w:rFonts w:ascii="Times New Roman" w:hAnsi="Times New Roman" w:cs="Times New Roman" w:eastAsia="Times New Roman"/>
                <w:b/>
                <w:color w:val="FFFFFF"/>
                <w:sz w:val="21"/>
              </w:rPr>
              <w:t>No.</w:t>
            </w:r>
          </w:p>
        </w:tc>
        <w:tc>
          <w:tcPr>
            <w:tcW w:type="dxa" w:w="4320"/>
            <w:shd w:val="clear" w:color="auto" w:fill="1B2A41"/>
          </w:tcPr>
          <w:p>
            <w:pPr>
              <w:spacing w:line="240" w:lineRule="auto" w:after="40"/>
              <w:jc w:val="center"/>
            </w:pPr>
            <w:r/>
            <w:r>
              <w:rPr>
                <w:rFonts w:ascii="Times New Roman" w:hAnsi="Times New Roman" w:cs="Times New Roman" w:eastAsia="Times New Roman"/>
                <w:b/>
                <w:color w:val="FFFFFF"/>
                <w:sz w:val="21"/>
              </w:rPr>
              <w:t>Diagram</w:t>
            </w:r>
          </w:p>
        </w:tc>
        <w:tc>
          <w:tcPr>
            <w:tcW w:type="dxa" w:w="4032"/>
            <w:shd w:val="clear" w:color="auto" w:fill="1B2A41"/>
          </w:tcPr>
          <w:p>
            <w:pPr>
              <w:spacing w:line="240" w:lineRule="auto" w:after="40"/>
              <w:jc w:val="center"/>
            </w:pPr>
            <w:r/>
            <w:r>
              <w:rPr>
                <w:rFonts w:ascii="Times New Roman" w:hAnsi="Times New Roman" w:cs="Times New Roman" w:eastAsia="Times New Roman"/>
                <w:b/>
                <w:color w:val="FFFFFF"/>
                <w:sz w:val="21"/>
              </w:rPr>
              <w:t>Image file</w:t>
            </w:r>
          </w:p>
        </w:tc>
      </w:tr>
      <w:tr>
        <w:trPr>
          <w:cantSplit w:val="true"/>
        </w:trPr>
        <w:tc>
          <w:tcPr>
            <w:tcW w:type="dxa" w:w="720"/>
          </w:tcPr>
          <w:p>
            <w:pPr>
              <w:spacing w:line="240" w:lineRule="auto" w:after="40"/>
              <w:jc w:val="center"/>
            </w:pPr>
            <w:r/>
            <w:r>
              <w:rPr>
                <w:rFonts w:ascii="Times New Roman" w:hAnsi="Times New Roman" w:cs="Times New Roman" w:eastAsia="Times New Roman"/>
                <w:sz w:val="21"/>
              </w:rPr>
              <w:t>1</w:t>
            </w:r>
          </w:p>
        </w:tc>
        <w:tc>
          <w:tcPr>
            <w:tcW w:type="dxa" w:w="4320"/>
          </w:tcPr>
          <w:p>
            <w:pPr>
              <w:spacing w:line="240" w:lineRule="auto" w:after="40"/>
              <w:jc w:val="left"/>
            </w:pPr>
            <w:r/>
            <w:r>
              <w:rPr>
                <w:rFonts w:ascii="Times New Roman" w:hAnsi="Times New Roman" w:cs="Times New Roman" w:eastAsia="Times New Roman"/>
                <w:sz w:val="21"/>
              </w:rPr>
              <w:t>System architecture</w:t>
            </w:r>
          </w:p>
        </w:tc>
        <w:tc>
          <w:tcPr>
            <w:tcW w:type="dxa" w:w="4032"/>
          </w:tcPr>
          <w:p>
            <w:pPr>
              <w:spacing w:line="240" w:lineRule="auto" w:after="40"/>
              <w:jc w:val="left"/>
            </w:pPr>
            <w:r/>
            <w:r>
              <w:rPr>
                <w:rFonts w:ascii="Consolas" w:hAnsi="Consolas" w:cs="Consolas" w:eastAsia="Consolas"/>
                <w:sz w:val="18"/>
              </w:rPr>
              <w:t>docs/diagrams/01_system_architecture.png</w:t>
            </w:r>
          </w:p>
        </w:tc>
      </w:tr>
      <w:tr>
        <w:trPr>
          <w:cantSplit w:val="true"/>
        </w:trPr>
        <w:tc>
          <w:tcPr>
            <w:tcW w:type="dxa" w:w="720"/>
          </w:tcPr>
          <w:p>
            <w:pPr>
              <w:spacing w:line="240" w:lineRule="auto" w:after="40"/>
              <w:jc w:val="center"/>
            </w:pPr>
            <w:r/>
            <w:r>
              <w:rPr>
                <w:rFonts w:ascii="Times New Roman" w:hAnsi="Times New Roman" w:cs="Times New Roman" w:eastAsia="Times New Roman"/>
                <w:sz w:val="21"/>
              </w:rPr>
              <w:t>2</w:t>
            </w:r>
          </w:p>
        </w:tc>
        <w:tc>
          <w:tcPr>
            <w:tcW w:type="dxa" w:w="4320"/>
          </w:tcPr>
          <w:p>
            <w:pPr>
              <w:spacing w:line="240" w:lineRule="auto" w:after="40"/>
              <w:jc w:val="left"/>
            </w:pPr>
            <w:r/>
            <w:r>
              <w:rPr>
                <w:rFonts w:ascii="Times New Roman" w:hAnsi="Times New Roman" w:cs="Times New Roman" w:eastAsia="Times New Roman"/>
                <w:sz w:val="21"/>
              </w:rPr>
              <w:t>High-level workflow</w:t>
            </w:r>
          </w:p>
        </w:tc>
        <w:tc>
          <w:tcPr>
            <w:tcW w:type="dxa" w:w="4032"/>
          </w:tcPr>
          <w:p>
            <w:pPr>
              <w:spacing w:line="240" w:lineRule="auto" w:after="40"/>
              <w:jc w:val="left"/>
            </w:pPr>
            <w:r/>
            <w:r>
              <w:rPr>
                <w:rFonts w:ascii="Consolas" w:hAnsi="Consolas" w:cs="Consolas" w:eastAsia="Consolas"/>
                <w:sz w:val="18"/>
              </w:rPr>
              <w:t>docs/diagrams/02_high_level_workflow.png</w:t>
            </w:r>
          </w:p>
        </w:tc>
      </w:tr>
      <w:tr>
        <w:trPr>
          <w:cantSplit w:val="true"/>
        </w:trPr>
        <w:tc>
          <w:tcPr>
            <w:tcW w:type="dxa" w:w="720"/>
          </w:tcPr>
          <w:p>
            <w:pPr>
              <w:spacing w:line="240" w:lineRule="auto" w:after="40"/>
              <w:jc w:val="center"/>
            </w:pPr>
            <w:r/>
            <w:r>
              <w:rPr>
                <w:rFonts w:ascii="Times New Roman" w:hAnsi="Times New Roman" w:cs="Times New Roman" w:eastAsia="Times New Roman"/>
                <w:sz w:val="21"/>
              </w:rPr>
              <w:t>3</w:t>
            </w:r>
          </w:p>
        </w:tc>
        <w:tc>
          <w:tcPr>
            <w:tcW w:type="dxa" w:w="4320"/>
          </w:tcPr>
          <w:p>
            <w:pPr>
              <w:spacing w:line="240" w:lineRule="auto" w:after="40"/>
              <w:jc w:val="left"/>
            </w:pPr>
            <w:r/>
            <w:r>
              <w:rPr>
                <w:rFonts w:ascii="Times New Roman" w:hAnsi="Times New Roman" w:cs="Times New Roman" w:eastAsia="Times New Roman"/>
                <w:sz w:val="21"/>
              </w:rPr>
              <w:t>Data flow diagram, level 0</w:t>
            </w:r>
          </w:p>
        </w:tc>
        <w:tc>
          <w:tcPr>
            <w:tcW w:type="dxa" w:w="4032"/>
          </w:tcPr>
          <w:p>
            <w:pPr>
              <w:spacing w:line="240" w:lineRule="auto" w:after="40"/>
              <w:jc w:val="left"/>
            </w:pPr>
            <w:r/>
            <w:r>
              <w:rPr>
                <w:rFonts w:ascii="Consolas" w:hAnsi="Consolas" w:cs="Consolas" w:eastAsia="Consolas"/>
                <w:sz w:val="18"/>
              </w:rPr>
              <w:t>docs/diagrams/03_dfd_level0.png</w:t>
            </w:r>
          </w:p>
        </w:tc>
      </w:tr>
      <w:tr>
        <w:trPr>
          <w:cantSplit w:val="true"/>
        </w:trPr>
        <w:tc>
          <w:tcPr>
            <w:tcW w:type="dxa" w:w="720"/>
          </w:tcPr>
          <w:p>
            <w:pPr>
              <w:spacing w:line="240" w:lineRule="auto" w:after="40"/>
              <w:jc w:val="center"/>
            </w:pPr>
            <w:r/>
            <w:r>
              <w:rPr>
                <w:rFonts w:ascii="Times New Roman" w:hAnsi="Times New Roman" w:cs="Times New Roman" w:eastAsia="Times New Roman"/>
                <w:sz w:val="21"/>
              </w:rPr>
              <w:t>4</w:t>
            </w:r>
          </w:p>
        </w:tc>
        <w:tc>
          <w:tcPr>
            <w:tcW w:type="dxa" w:w="4320"/>
          </w:tcPr>
          <w:p>
            <w:pPr>
              <w:spacing w:line="240" w:lineRule="auto" w:after="40"/>
              <w:jc w:val="left"/>
            </w:pPr>
            <w:r/>
            <w:r>
              <w:rPr>
                <w:rFonts w:ascii="Times New Roman" w:hAnsi="Times New Roman" w:cs="Times New Roman" w:eastAsia="Times New Roman"/>
                <w:sz w:val="21"/>
              </w:rPr>
              <w:t>Data flow diagram, level 1</w:t>
            </w:r>
          </w:p>
        </w:tc>
        <w:tc>
          <w:tcPr>
            <w:tcW w:type="dxa" w:w="4032"/>
          </w:tcPr>
          <w:p>
            <w:pPr>
              <w:spacing w:line="240" w:lineRule="auto" w:after="40"/>
              <w:jc w:val="left"/>
            </w:pPr>
            <w:r/>
            <w:r>
              <w:rPr>
                <w:rFonts w:ascii="Consolas" w:hAnsi="Consolas" w:cs="Consolas" w:eastAsia="Consolas"/>
                <w:sz w:val="18"/>
              </w:rPr>
              <w:t>docs/diagrams/04_dfd_level1.png</w:t>
            </w:r>
          </w:p>
        </w:tc>
      </w:tr>
      <w:tr>
        <w:trPr>
          <w:cantSplit w:val="true"/>
        </w:trPr>
        <w:tc>
          <w:tcPr>
            <w:tcW w:type="dxa" w:w="720"/>
          </w:tcPr>
          <w:p>
            <w:pPr>
              <w:spacing w:line="240" w:lineRule="auto" w:after="40"/>
              <w:jc w:val="center"/>
            </w:pPr>
            <w:r/>
            <w:r>
              <w:rPr>
                <w:rFonts w:ascii="Times New Roman" w:hAnsi="Times New Roman" w:cs="Times New Roman" w:eastAsia="Times New Roman"/>
                <w:sz w:val="21"/>
              </w:rPr>
              <w:t>5</w:t>
            </w:r>
          </w:p>
        </w:tc>
        <w:tc>
          <w:tcPr>
            <w:tcW w:type="dxa" w:w="4320"/>
          </w:tcPr>
          <w:p>
            <w:pPr>
              <w:spacing w:line="240" w:lineRule="auto" w:after="40"/>
              <w:jc w:val="left"/>
            </w:pPr>
            <w:r/>
            <w:r>
              <w:rPr>
                <w:rFonts w:ascii="Times New Roman" w:hAnsi="Times New Roman" w:cs="Times New Roman" w:eastAsia="Times New Roman"/>
                <w:sz w:val="21"/>
              </w:rPr>
              <w:t>Data flow diagram, level 2</w:t>
            </w:r>
          </w:p>
        </w:tc>
        <w:tc>
          <w:tcPr>
            <w:tcW w:type="dxa" w:w="4032"/>
          </w:tcPr>
          <w:p>
            <w:pPr>
              <w:spacing w:line="240" w:lineRule="auto" w:after="40"/>
              <w:jc w:val="left"/>
            </w:pPr>
            <w:r/>
            <w:r>
              <w:rPr>
                <w:rFonts w:ascii="Consolas" w:hAnsi="Consolas" w:cs="Consolas" w:eastAsia="Consolas"/>
                <w:sz w:val="18"/>
              </w:rPr>
              <w:t>docs/diagrams/05_dfd_level2.png</w:t>
            </w:r>
          </w:p>
        </w:tc>
      </w:tr>
      <w:tr>
        <w:trPr>
          <w:cantSplit w:val="true"/>
        </w:trPr>
        <w:tc>
          <w:tcPr>
            <w:tcW w:type="dxa" w:w="720"/>
          </w:tcPr>
          <w:p>
            <w:pPr>
              <w:spacing w:line="240" w:lineRule="auto" w:after="40"/>
              <w:jc w:val="center"/>
            </w:pPr>
            <w:r/>
            <w:r>
              <w:rPr>
                <w:rFonts w:ascii="Times New Roman" w:hAnsi="Times New Roman" w:cs="Times New Roman" w:eastAsia="Times New Roman"/>
                <w:sz w:val="21"/>
              </w:rPr>
              <w:t>6</w:t>
            </w:r>
          </w:p>
        </w:tc>
        <w:tc>
          <w:tcPr>
            <w:tcW w:type="dxa" w:w="4320"/>
          </w:tcPr>
          <w:p>
            <w:pPr>
              <w:spacing w:line="240" w:lineRule="auto" w:after="40"/>
              <w:jc w:val="left"/>
            </w:pPr>
            <w:r/>
            <w:r>
              <w:rPr>
                <w:rFonts w:ascii="Times New Roman" w:hAnsi="Times New Roman" w:cs="Times New Roman" w:eastAsia="Times New Roman"/>
                <w:sz w:val="21"/>
              </w:rPr>
              <w:t>UML class diagram</w:t>
            </w:r>
          </w:p>
        </w:tc>
        <w:tc>
          <w:tcPr>
            <w:tcW w:type="dxa" w:w="4032"/>
          </w:tcPr>
          <w:p>
            <w:pPr>
              <w:spacing w:line="240" w:lineRule="auto" w:after="40"/>
              <w:jc w:val="left"/>
            </w:pPr>
            <w:r/>
            <w:r>
              <w:rPr>
                <w:rFonts w:ascii="Consolas" w:hAnsi="Consolas" w:cs="Consolas" w:eastAsia="Consolas"/>
                <w:sz w:val="18"/>
              </w:rPr>
              <w:t>docs/diagrams/06_uml_class_diagram.png</w:t>
            </w:r>
          </w:p>
        </w:tc>
      </w:tr>
      <w:tr>
        <w:trPr>
          <w:cantSplit w:val="true"/>
        </w:trPr>
        <w:tc>
          <w:tcPr>
            <w:tcW w:type="dxa" w:w="720"/>
          </w:tcPr>
          <w:p>
            <w:pPr>
              <w:spacing w:line="240" w:lineRule="auto" w:after="40"/>
              <w:jc w:val="center"/>
            </w:pPr>
            <w:r/>
            <w:r>
              <w:rPr>
                <w:rFonts w:ascii="Times New Roman" w:hAnsi="Times New Roman" w:cs="Times New Roman" w:eastAsia="Times New Roman"/>
                <w:sz w:val="21"/>
              </w:rPr>
              <w:t>7</w:t>
            </w:r>
          </w:p>
        </w:tc>
        <w:tc>
          <w:tcPr>
            <w:tcW w:type="dxa" w:w="4320"/>
          </w:tcPr>
          <w:p>
            <w:pPr>
              <w:spacing w:line="240" w:lineRule="auto" w:after="40"/>
              <w:jc w:val="left"/>
            </w:pPr>
            <w:r/>
            <w:r>
              <w:rPr>
                <w:rFonts w:ascii="Times New Roman" w:hAnsi="Times New Roman" w:cs="Times New Roman" w:eastAsia="Times New Roman"/>
                <w:sz w:val="21"/>
              </w:rPr>
              <w:t>Sequence diagram</w:t>
            </w:r>
          </w:p>
        </w:tc>
        <w:tc>
          <w:tcPr>
            <w:tcW w:type="dxa" w:w="4032"/>
          </w:tcPr>
          <w:p>
            <w:pPr>
              <w:spacing w:line="240" w:lineRule="auto" w:after="40"/>
              <w:jc w:val="left"/>
            </w:pPr>
            <w:r/>
            <w:r>
              <w:rPr>
                <w:rFonts w:ascii="Consolas" w:hAnsi="Consolas" w:cs="Consolas" w:eastAsia="Consolas"/>
                <w:sz w:val="18"/>
              </w:rPr>
              <w:t>docs/diagrams/07_sequence_diagram.png</w:t>
            </w:r>
          </w:p>
        </w:tc>
      </w:tr>
      <w:tr>
        <w:trPr>
          <w:cantSplit w:val="true"/>
        </w:trPr>
        <w:tc>
          <w:tcPr>
            <w:tcW w:type="dxa" w:w="720"/>
          </w:tcPr>
          <w:p>
            <w:pPr>
              <w:spacing w:line="240" w:lineRule="auto" w:after="40"/>
              <w:jc w:val="center"/>
            </w:pPr>
            <w:r/>
            <w:r>
              <w:rPr>
                <w:rFonts w:ascii="Times New Roman" w:hAnsi="Times New Roman" w:cs="Times New Roman" w:eastAsia="Times New Roman"/>
                <w:sz w:val="21"/>
              </w:rPr>
              <w:t>8</w:t>
            </w:r>
          </w:p>
        </w:tc>
        <w:tc>
          <w:tcPr>
            <w:tcW w:type="dxa" w:w="4320"/>
          </w:tcPr>
          <w:p>
            <w:pPr>
              <w:spacing w:line="240" w:lineRule="auto" w:after="40"/>
              <w:jc w:val="left"/>
            </w:pPr>
            <w:r/>
            <w:r>
              <w:rPr>
                <w:rFonts w:ascii="Times New Roman" w:hAnsi="Times New Roman" w:cs="Times New Roman" w:eastAsia="Times New Roman"/>
                <w:sz w:val="21"/>
              </w:rPr>
              <w:t>Use-case diagram</w:t>
            </w:r>
          </w:p>
        </w:tc>
        <w:tc>
          <w:tcPr>
            <w:tcW w:type="dxa" w:w="4032"/>
          </w:tcPr>
          <w:p>
            <w:pPr>
              <w:spacing w:line="240" w:lineRule="auto" w:after="40"/>
              <w:jc w:val="left"/>
            </w:pPr>
            <w:r/>
            <w:r>
              <w:rPr>
                <w:rFonts w:ascii="Consolas" w:hAnsi="Consolas" w:cs="Consolas" w:eastAsia="Consolas"/>
                <w:sz w:val="18"/>
              </w:rPr>
              <w:t>docs/diagrams/08_use_case_diagram.png</w:t>
            </w:r>
          </w:p>
        </w:tc>
      </w:tr>
      <w:tr>
        <w:trPr>
          <w:cantSplit w:val="true"/>
        </w:trPr>
        <w:tc>
          <w:tcPr>
            <w:tcW w:type="dxa" w:w="720"/>
          </w:tcPr>
          <w:p>
            <w:pPr>
              <w:spacing w:line="240" w:lineRule="auto" w:after="40"/>
              <w:jc w:val="center"/>
            </w:pPr>
            <w:r/>
            <w:r>
              <w:rPr>
                <w:rFonts w:ascii="Times New Roman" w:hAnsi="Times New Roman" w:cs="Times New Roman" w:eastAsia="Times New Roman"/>
                <w:sz w:val="21"/>
              </w:rPr>
              <w:t>9</w:t>
            </w:r>
          </w:p>
        </w:tc>
        <w:tc>
          <w:tcPr>
            <w:tcW w:type="dxa" w:w="4320"/>
          </w:tcPr>
          <w:p>
            <w:pPr>
              <w:spacing w:line="240" w:lineRule="auto" w:after="40"/>
              <w:jc w:val="left"/>
            </w:pPr>
            <w:r/>
            <w:r>
              <w:rPr>
                <w:rFonts w:ascii="Times New Roman" w:hAnsi="Times New Roman" w:cs="Times New Roman" w:eastAsia="Times New Roman"/>
                <w:sz w:val="21"/>
              </w:rPr>
              <w:t>Entity-relationship (data model) diagram</w:t>
            </w:r>
          </w:p>
        </w:tc>
        <w:tc>
          <w:tcPr>
            <w:tcW w:type="dxa" w:w="4032"/>
          </w:tcPr>
          <w:p>
            <w:pPr>
              <w:spacing w:line="240" w:lineRule="auto" w:after="40"/>
              <w:jc w:val="left"/>
            </w:pPr>
            <w:r/>
            <w:r>
              <w:rPr>
                <w:rFonts w:ascii="Consolas" w:hAnsi="Consolas" w:cs="Consolas" w:eastAsia="Consolas"/>
                <w:sz w:val="18"/>
              </w:rPr>
              <w:t>docs/diagrams/09_er_diagram.png</w:t>
            </w:r>
          </w:p>
        </w:tc>
      </w:tr>
      <w:tr>
        <w:trPr>
          <w:cantSplit w:val="true"/>
        </w:trPr>
        <w:tc>
          <w:tcPr>
            <w:tcW w:type="dxa" w:w="720"/>
          </w:tcPr>
          <w:p>
            <w:pPr>
              <w:spacing w:line="240" w:lineRule="auto" w:after="40"/>
              <w:jc w:val="center"/>
            </w:pPr>
            <w:r/>
            <w:r>
              <w:rPr>
                <w:rFonts w:ascii="Times New Roman" w:hAnsi="Times New Roman" w:cs="Times New Roman" w:eastAsia="Times New Roman"/>
                <w:sz w:val="21"/>
              </w:rPr>
              <w:t>10</w:t>
            </w:r>
          </w:p>
        </w:tc>
        <w:tc>
          <w:tcPr>
            <w:tcW w:type="dxa" w:w="4320"/>
          </w:tcPr>
          <w:p>
            <w:pPr>
              <w:spacing w:line="240" w:lineRule="auto" w:after="40"/>
              <w:jc w:val="left"/>
            </w:pPr>
            <w:r/>
            <w:r>
              <w:rPr>
                <w:rFonts w:ascii="Times New Roman" w:hAnsi="Times New Roman" w:cs="Times New Roman" w:eastAsia="Times New Roman"/>
                <w:sz w:val="21"/>
              </w:rPr>
              <w:t>Flowchart of the core algorithm</w:t>
            </w:r>
          </w:p>
        </w:tc>
        <w:tc>
          <w:tcPr>
            <w:tcW w:type="dxa" w:w="4032"/>
          </w:tcPr>
          <w:p>
            <w:pPr>
              <w:spacing w:line="240" w:lineRule="auto" w:after="40"/>
              <w:jc w:val="left"/>
            </w:pPr>
            <w:r/>
            <w:r>
              <w:rPr>
                <w:rFonts w:ascii="Consolas" w:hAnsi="Consolas" w:cs="Consolas" w:eastAsia="Consolas"/>
                <w:sz w:val="18"/>
              </w:rPr>
              <w:t>docs/diagrams/10_core_algorithm_flowchart.png</w:t>
            </w:r>
          </w:p>
        </w:tc>
      </w:tr>
      <w:tr>
        <w:trPr>
          <w:cantSplit w:val="true"/>
        </w:trPr>
        <w:tc>
          <w:tcPr>
            <w:tcW w:type="dxa" w:w="720"/>
          </w:tcPr>
          <w:p>
            <w:pPr>
              <w:spacing w:line="240" w:lineRule="auto" w:after="40"/>
              <w:jc w:val="center"/>
            </w:pPr>
            <w:r/>
            <w:r>
              <w:rPr>
                <w:rFonts w:ascii="Times New Roman" w:hAnsi="Times New Roman" w:cs="Times New Roman" w:eastAsia="Times New Roman"/>
                <w:sz w:val="21"/>
              </w:rPr>
              <w:t>11</w:t>
            </w:r>
          </w:p>
        </w:tc>
        <w:tc>
          <w:tcPr>
            <w:tcW w:type="dxa" w:w="4320"/>
          </w:tcPr>
          <w:p>
            <w:pPr>
              <w:spacing w:line="240" w:lineRule="auto" w:after="40"/>
              <w:jc w:val="left"/>
            </w:pPr>
            <w:r/>
            <w:r>
              <w:rPr>
                <w:rFonts w:ascii="Times New Roman" w:hAnsi="Times New Roman" w:cs="Times New Roman" w:eastAsia="Times New Roman"/>
                <w:sz w:val="21"/>
              </w:rPr>
              <w:t>Offline training and evaluation pipeline</w:t>
            </w:r>
          </w:p>
        </w:tc>
        <w:tc>
          <w:tcPr>
            <w:tcW w:type="dxa" w:w="4032"/>
          </w:tcPr>
          <w:p>
            <w:pPr>
              <w:spacing w:line="240" w:lineRule="auto" w:after="40"/>
              <w:jc w:val="left"/>
            </w:pPr>
            <w:r/>
            <w:r>
              <w:rPr>
                <w:rFonts w:ascii="Consolas" w:hAnsi="Consolas" w:cs="Consolas" w:eastAsia="Consolas"/>
                <w:sz w:val="18"/>
              </w:rPr>
              <w:t>docs/diagrams/11_training_pipeline.png</w:t>
            </w:r>
          </w:p>
        </w:tc>
      </w:tr>
    </w:tbl>
    <w:p>
      <w:pPr>
        <w:spacing w:after="120" w:line="192" w:lineRule="auto"/>
      </w:pPr>
    </w:p>
    <w:p>
      <w:pPr>
        <w:pStyle w:val="Heading1"/>
        <w:pageBreakBefore/>
      </w:pPr>
      <w:r>
        <w:t>2. DIAGRAMS</w:t>
      </w:r>
    </w:p>
    <w:p>
      <w:pPr>
        <w:pStyle w:val="Heading2"/>
      </w:pPr>
      <w:r>
        <w:t>System architecture</w:t>
      </w:r>
    </w:p>
    <w:p>
      <w:pPr>
        <w:keepNext/>
        <w:spacing w:line="240" w:lineRule="auto" w:after="80"/>
        <w:jc w:val="center"/>
      </w:pPr>
      <w:r>
        <w:drawing>
          <wp:inline xmlns:a="http://schemas.openxmlformats.org/drawingml/2006/main" xmlns:pic="http://schemas.openxmlformats.org/drawingml/2006/picture">
            <wp:extent cx="5486400" cy="4411745"/>
            <wp:docPr id="1" name="Picture 1"/>
            <wp:cNvGraphicFramePr>
              <a:graphicFrameLocks noChangeAspect="1"/>
            </wp:cNvGraphicFramePr>
            <a:graphic>
              <a:graphicData uri="http://schemas.openxmlformats.org/drawingml/2006/picture">
                <pic:pic>
                  <pic:nvPicPr>
                    <pic:cNvPr id="0" name="01_system_architecture.png"/>
                    <pic:cNvPicPr/>
                  </pic:nvPicPr>
                  <pic:blipFill>
                    <a:blip r:embed="rId11"/>
                    <a:stretch>
                      <a:fillRect/>
                    </a:stretch>
                  </pic:blipFill>
                  <pic:spPr>
                    <a:xfrm>
                      <a:off x="0" y="0"/>
                      <a:ext cx="5486400" cy="4411745"/>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Figure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1</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System architecture of FinSight AI</w:t>
      </w:r>
    </w:p>
    <w:p>
      <w:r>
        <w:rPr>
          <w:rFonts w:ascii="Times New Roman" w:hAnsi="Times New Roman" w:cs="Times New Roman" w:eastAsia="Times New Roman"/>
        </w:rPr>
        <w:t xml:space="preserve">The system has four tiers. In the presentation tier the React single-page application (served by Vite on port 5409) and the server-rendered Jinja pages of the original Flask project are the two ways a user reaches the system. The application tier is the Flask service on port 8409: </w:t>
      </w:r>
      <w:r>
        <w:rPr>
          <w:rFonts w:ascii="Consolas" w:hAnsi="Consolas" w:cs="Consolas" w:eastAsia="Consolas"/>
          <w:sz w:val="21"/>
        </w:rPr>
        <w:t>app/api.py</w:t>
      </w:r>
      <w:r>
        <w:rPr>
          <w:rFonts w:ascii="Times New Roman" w:hAnsi="Times New Roman" w:cs="Times New Roman" w:eastAsia="Times New Roman"/>
        </w:rPr>
        <w:t xml:space="preserve"> holds the JSON routes written for the React front end, </w:t>
      </w:r>
      <w:r>
        <w:rPr>
          <w:rFonts w:ascii="Consolas" w:hAnsi="Consolas" w:cs="Consolas" w:eastAsia="Consolas"/>
          <w:sz w:val="21"/>
        </w:rPr>
        <w:t>app/routes.py</w:t>
      </w:r>
      <w:r>
        <w:rPr>
          <w:rFonts w:ascii="Times New Roman" w:hAnsi="Times New Roman" w:cs="Times New Roman" w:eastAsia="Times New Roman"/>
        </w:rPr>
        <w:t xml:space="preserve"> holds the page routes plus </w:t>
      </w:r>
      <w:r>
        <w:rPr>
          <w:rFonts w:ascii="Consolas" w:hAnsi="Consolas" w:cs="Consolas" w:eastAsia="Consolas"/>
          <w:sz w:val="21"/>
        </w:rPr>
        <w:t>/api/predict</w:t>
      </w:r>
      <w:r>
        <w:rPr>
          <w:rFonts w:ascii="Times New Roman" w:hAnsi="Times New Roman" w:cs="Times New Roman" w:eastAsia="Times New Roman"/>
        </w:rPr>
        <w:t xml:space="preserve"> and </w:t>
      </w:r>
      <w:r>
        <w:rPr>
          <w:rFonts w:ascii="Consolas" w:hAnsi="Consolas" w:cs="Consolas" w:eastAsia="Consolas"/>
          <w:sz w:val="21"/>
        </w:rPr>
        <w:t>/api/forecast</w:t>
      </w:r>
      <w:r>
        <w:rPr>
          <w:rFonts w:ascii="Times New Roman" w:hAnsi="Times New Roman" w:cs="Times New Roman" w:eastAsia="Times New Roman"/>
        </w:rPr>
        <w:t xml:space="preserve">, </w:t>
      </w:r>
      <w:r>
        <w:rPr>
          <w:rFonts w:ascii="Consolas" w:hAnsi="Consolas" w:cs="Consolas" w:eastAsia="Consolas"/>
          <w:sz w:val="21"/>
        </w:rPr>
        <w:t>app/utils/validation.py</w:t>
      </w:r>
      <w:r>
        <w:rPr>
          <w:rFonts w:ascii="Times New Roman" w:hAnsi="Times New Roman" w:cs="Times New Roman" w:eastAsia="Times New Roman"/>
        </w:rPr>
        <w:t xml:space="preserve"> checks every input and </w:t>
      </w:r>
      <w:r>
        <w:rPr>
          <w:rFonts w:ascii="Consolas" w:hAnsi="Consolas" w:cs="Consolas" w:eastAsia="Consolas"/>
          <w:sz w:val="21"/>
        </w:rPr>
        <w:t>app/__init__.py</w:t>
      </w:r>
      <w:r>
        <w:rPr>
          <w:rFonts w:ascii="Times New Roman" w:hAnsi="Times New Roman" w:cs="Times New Roman" w:eastAsia="Times New Roman"/>
        </w:rPr>
        <w:t xml:space="preserve"> builds the application and preloads the model. The model and service tier contains </w:t>
      </w:r>
      <w:r>
        <w:rPr>
          <w:rFonts w:ascii="Consolas" w:hAnsi="Consolas" w:cs="Consolas" w:eastAsia="Consolas"/>
          <w:sz w:val="21"/>
        </w:rPr>
        <w:t>predictor.py</w:t>
      </w:r>
      <w:r>
        <w:rPr>
          <w:rFonts w:ascii="Times New Roman" w:hAnsi="Times New Roman" w:cs="Times New Roman" w:eastAsia="Times New Roman"/>
        </w:rPr>
        <w:t xml:space="preserve"> (prediction, SHAP and insights), </w:t>
      </w:r>
      <w:r>
        <w:rPr>
          <w:rFonts w:ascii="Consolas" w:hAnsi="Consolas" w:cs="Consolas" w:eastAsia="Consolas"/>
          <w:sz w:val="21"/>
        </w:rPr>
        <w:t>whatif.py</w:t>
      </w:r>
      <w:r>
        <w:rPr>
          <w:rFonts w:ascii="Times New Roman" w:hAnsi="Times New Roman" w:cs="Times New Roman" w:eastAsia="Times New Roman"/>
        </w:rPr>
        <w:t xml:space="preserve">, </w:t>
      </w:r>
      <w:r>
        <w:rPr>
          <w:rFonts w:ascii="Consolas" w:hAnsi="Consolas" w:cs="Consolas" w:eastAsia="Consolas"/>
          <w:sz w:val="21"/>
        </w:rPr>
        <w:t>forecaster.py</w:t>
      </w:r>
      <w:r>
        <w:rPr>
          <w:rFonts w:ascii="Times New Roman" w:hAnsi="Times New Roman" w:cs="Times New Roman" w:eastAsia="Times New Roman"/>
        </w:rPr>
        <w:t xml:space="preserve"> and the shared </w:t>
      </w:r>
      <w:r>
        <w:rPr>
          <w:rFonts w:ascii="Consolas" w:hAnsi="Consolas" w:cs="Consolas" w:eastAsia="Consolas"/>
          <w:sz w:val="21"/>
        </w:rPr>
        <w:t>feature_engineering.py</w:t>
      </w:r>
      <w:r>
        <w:rPr>
          <w:rFonts w:ascii="Times New Roman" w:hAnsi="Times New Roman" w:cs="Times New Roman" w:eastAsia="Times New Roman"/>
        </w:rPr>
        <w:t xml:space="preserve">. The data tier is made of files: the persisted pipeline in </w:t>
      </w:r>
      <w:r>
        <w:rPr>
          <w:rFonts w:ascii="Consolas" w:hAnsi="Consolas" w:cs="Consolas" w:eastAsia="Consolas"/>
          <w:sz w:val="21"/>
        </w:rPr>
        <w:t>models/</w:t>
      </w:r>
      <w:r>
        <w:rPr>
          <w:rFonts w:ascii="Times New Roman" w:hAnsi="Times New Roman" w:cs="Times New Roman" w:eastAsia="Times New Roman"/>
        </w:rPr>
        <w:t>, the JSON and PNG artifacts, the raw census files and browser storage.</w:t>
      </w:r>
    </w:p>
    <w:p>
      <w:pPr>
        <w:pStyle w:val="Heading2"/>
      </w:pPr>
      <w:r>
        <w:t>High-level workflow</w:t>
      </w:r>
    </w:p>
    <w:p>
      <w:pPr>
        <w:keepNext/>
        <w:spacing w:line="240" w:lineRule="auto" w:after="80"/>
        <w:jc w:val="center"/>
      </w:pPr>
      <w:r>
        <w:drawing>
          <wp:inline xmlns:a="http://schemas.openxmlformats.org/drawingml/2006/main" xmlns:pic="http://schemas.openxmlformats.org/drawingml/2006/picture">
            <wp:extent cx="5486400" cy="2912013"/>
            <wp:docPr id="2" name="Picture 2"/>
            <wp:cNvGraphicFramePr>
              <a:graphicFrameLocks noChangeAspect="1"/>
            </wp:cNvGraphicFramePr>
            <a:graphic>
              <a:graphicData uri="http://schemas.openxmlformats.org/drawingml/2006/picture">
                <pic:pic>
                  <pic:nvPicPr>
                    <pic:cNvPr id="0" name="02_high_level_workflow.png"/>
                    <pic:cNvPicPr/>
                  </pic:nvPicPr>
                  <pic:blipFill>
                    <a:blip r:embed="rId12"/>
                    <a:stretch>
                      <a:fillRect/>
                    </a:stretch>
                  </pic:blipFill>
                  <pic:spPr>
                    <a:xfrm>
                      <a:off x="0" y="0"/>
                      <a:ext cx="5486400" cy="2912013"/>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Figure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2</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High-level workflow of one assessment, from sign-in to exploration</w:t>
      </w:r>
    </w:p>
    <w:p>
      <w:r>
        <w:rPr>
          <w:rFonts w:ascii="Times New Roman" w:hAnsi="Times New Roman" w:cs="Times New Roman" w:eastAsia="Times New Roman"/>
        </w:rPr>
        <w:t>One assessment passes through eight steps. The user signs in through the demo gate and enters the twelve demographic and financial fields. The server validates that every field is present, belongs to its allowed set and lies in its numeric range; a failure ends the flow with HTTP 400 and a list of messages, and no model is run. Valid input is cleaned and extended with the derived features, and the saved XGBoost pipeline returns the probability of income above 50K, which is the financial-strength score. The probability is mapped to a profile and a risk band, and SHAP contributions plus rule-based insights explain it. The user can then open the forecast, the what-if comparison and the performance screens.</w:t>
      </w:r>
    </w:p>
    <w:p>
      <w:pPr>
        <w:pStyle w:val="Heading2"/>
      </w:pPr>
      <w:r>
        <w:t>Data flow diagram, level 0</w:t>
      </w:r>
    </w:p>
    <w:p>
      <w:pPr>
        <w:keepNext/>
        <w:spacing w:line="240" w:lineRule="auto" w:after="80"/>
        <w:jc w:val="center"/>
      </w:pPr>
      <w:r>
        <w:drawing>
          <wp:inline xmlns:a="http://schemas.openxmlformats.org/drawingml/2006/main" xmlns:pic="http://schemas.openxmlformats.org/drawingml/2006/picture">
            <wp:extent cx="5486400" cy="3232756"/>
            <wp:docPr id="3" name="Picture 3"/>
            <wp:cNvGraphicFramePr>
              <a:graphicFrameLocks noChangeAspect="1"/>
            </wp:cNvGraphicFramePr>
            <a:graphic>
              <a:graphicData uri="http://schemas.openxmlformats.org/drawingml/2006/picture">
                <pic:pic>
                  <pic:nvPicPr>
                    <pic:cNvPr id="0" name="03_dfd_level0.png"/>
                    <pic:cNvPicPr/>
                  </pic:nvPicPr>
                  <pic:blipFill>
                    <a:blip r:embed="rId13"/>
                    <a:stretch>
                      <a:fillRect/>
                    </a:stretch>
                  </pic:blipFill>
                  <pic:spPr>
                    <a:xfrm>
                      <a:off x="0" y="0"/>
                      <a:ext cx="5486400" cy="3232756"/>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Figure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3</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Data flow diagram, level 0 (context diagram)</w:t>
      </w:r>
    </w:p>
    <w:p>
      <w:r>
        <w:rPr>
          <w:rFonts w:ascii="Times New Roman" w:hAnsi="Times New Roman" w:cs="Times New Roman" w:eastAsia="Times New Roman"/>
        </w:rPr>
        <w:t>The context diagram shows FinSight AI as one process with one external entity, the user. The user sends profile fields, scenario changes and requests for the other screens; the system returns the profile, risk band, SHAP drivers, insights, forecast, metrics and what-if comparison. Three data stores surround the process. D1 holds the trained model files, which are loaded and never modified while the application runs. D2 holds the result artifacts (metrics, SHAP importance, forecast and validation reports as JSON and PNG), which are read. D3 is the Adult census data; it is touched only by the offline training run, drawn as a dashed arrow, which is the only place where D1 and D2 are written.</w:t>
      </w:r>
    </w:p>
    <w:p>
      <w:pPr>
        <w:pStyle w:val="Heading2"/>
      </w:pPr>
      <w:r>
        <w:t>Data flow diagram, level 1</w:t>
      </w:r>
    </w:p>
    <w:p>
      <w:pPr>
        <w:keepNext/>
        <w:spacing w:line="240" w:lineRule="auto" w:after="80"/>
        <w:jc w:val="center"/>
      </w:pPr>
      <w:r>
        <w:drawing>
          <wp:inline xmlns:a="http://schemas.openxmlformats.org/drawingml/2006/main" xmlns:pic="http://schemas.openxmlformats.org/drawingml/2006/picture">
            <wp:extent cx="5486400" cy="5380893"/>
            <wp:docPr id="4" name="Picture 4"/>
            <wp:cNvGraphicFramePr>
              <a:graphicFrameLocks noChangeAspect="1"/>
            </wp:cNvGraphicFramePr>
            <a:graphic>
              <a:graphicData uri="http://schemas.openxmlformats.org/drawingml/2006/picture">
                <pic:pic>
                  <pic:nvPicPr>
                    <pic:cNvPr id="0" name="04_dfd_level1.png"/>
                    <pic:cNvPicPr/>
                  </pic:nvPicPr>
                  <pic:blipFill>
                    <a:blip r:embed="rId14"/>
                    <a:stretch>
                      <a:fillRect/>
                    </a:stretch>
                  </pic:blipFill>
                  <pic:spPr>
                    <a:xfrm>
                      <a:off x="0" y="0"/>
                      <a:ext cx="5486400" cy="5380893"/>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Figure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4</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Data flow diagram, level 1</w:t>
      </w:r>
    </w:p>
    <w:p>
      <w:r>
        <w:rPr>
          <w:rFonts w:ascii="Times New Roman" w:hAnsi="Times New Roman" w:cs="Times New Roman" w:eastAsia="Times New Roman"/>
        </w:rPr>
        <w:t>Level 1 splits the system into six processes. Validate input (1.0) turns the raw form values into a valid record or an error list. Engineer features and predict (2.0) builds the feature row and obtains the probability from the pipeline stored in D1. Explain and advise (3.0) computes SHAP contributions and plain-language insights and returns the profile, risk band, drivers and insights to the user. What-if comparison (4.0) receives a baseline and a scenario and calls process 2.0 twice. Serve forecast and metrics (5.0) answers screen requests by reading D2. Train and evaluate (6.0) runs offline: it reads the census data (D3) and writes the model files (D1) and the artifacts (D2).</w:t>
      </w:r>
    </w:p>
    <w:p>
      <w:pPr>
        <w:pStyle w:val="Heading2"/>
      </w:pPr>
      <w:r>
        <w:t>Data flow diagram, level 2</w:t>
      </w:r>
    </w:p>
    <w:p>
      <w:pPr>
        <w:keepNext/>
        <w:spacing w:line="240" w:lineRule="auto" w:after="80"/>
        <w:jc w:val="center"/>
      </w:pPr>
      <w:r>
        <w:drawing>
          <wp:inline xmlns:a="http://schemas.openxmlformats.org/drawingml/2006/main" xmlns:pic="http://schemas.openxmlformats.org/drawingml/2006/picture">
            <wp:extent cx="5486400" cy="5380893"/>
            <wp:docPr id="5" name="Picture 5"/>
            <wp:cNvGraphicFramePr>
              <a:graphicFrameLocks noChangeAspect="1"/>
            </wp:cNvGraphicFramePr>
            <a:graphic>
              <a:graphicData uri="http://schemas.openxmlformats.org/drawingml/2006/picture">
                <pic:pic>
                  <pic:nvPicPr>
                    <pic:cNvPr id="0" name="05_dfd_level2.png"/>
                    <pic:cNvPicPr/>
                  </pic:nvPicPr>
                  <pic:blipFill>
                    <a:blip r:embed="rId15"/>
                    <a:stretch>
                      <a:fillRect/>
                    </a:stretch>
                  </pic:blipFill>
                  <pic:spPr>
                    <a:xfrm>
                      <a:off x="0" y="0"/>
                      <a:ext cx="5486400" cy="5380893"/>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Figure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5</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Data flow diagram, level 2: processes 2.0 and 3.0 expanded</w:t>
      </w:r>
    </w:p>
    <w:p>
      <w:r>
        <w:rPr>
          <w:rFonts w:ascii="Times New Roman" w:hAnsi="Times New Roman" w:cs="Times New Roman" w:eastAsia="Times New Roman"/>
        </w:rPr>
        <w:t xml:space="preserve">Level 2 expands the prediction and explanation processes in the order the code executes them. The validated record becomes a one-row frame in which the census weight is left missing (2.1); </w:t>
      </w:r>
      <w:r>
        <w:rPr>
          <w:rFonts w:ascii="Consolas" w:hAnsi="Consolas" w:cs="Consolas" w:eastAsia="Consolas"/>
          <w:sz w:val="21"/>
        </w:rPr>
        <w:t>clean_frame</w:t>
      </w:r>
      <w:r>
        <w:rPr>
          <w:rFonts w:ascii="Times New Roman" w:hAnsi="Times New Roman" w:cs="Times New Roman" w:eastAsia="Times New Roman"/>
        </w:rPr>
        <w:t xml:space="preserve"> converts '?' markers to missing values (2.2); </w:t>
      </w:r>
      <w:r>
        <w:rPr>
          <w:rFonts w:ascii="Consolas" w:hAnsi="Consolas" w:cs="Consolas" w:eastAsia="Consolas"/>
          <w:sz w:val="21"/>
        </w:rPr>
        <w:t>add_derived_features</w:t>
      </w:r>
      <w:r>
        <w:rPr>
          <w:rFonts w:ascii="Times New Roman" w:hAnsi="Times New Roman" w:cs="Times New Roman" w:eastAsia="Times New Roman"/>
        </w:rPr>
        <w:t xml:space="preserve"> adds the net-capital, band, tier, region and stability columns, giving 26 columns (2.3); the preprocessing step of the saved pipeline imputes, one-hot encodes and, for logistic regression only, scales (2.4); XGBoost returns the probability (2.5). The probability becomes a profile and risk band (2.6). In parallel the same row goes to the TreeExplainer (3.1), the five strongest positive and negative contributions are selected (3.2) and the insight rules write the advice (3.3). All of it is assembled into one result record.</w:t>
      </w:r>
    </w:p>
    <w:p>
      <w:pPr>
        <w:pStyle w:val="Heading2"/>
      </w:pPr>
      <w:r>
        <w:t>UML class diagram</w:t>
      </w:r>
    </w:p>
    <w:p>
      <w:pPr>
        <w:keepNext/>
        <w:spacing w:line="240" w:lineRule="auto" w:after="80"/>
        <w:jc w:val="center"/>
      </w:pPr>
      <w:r>
        <w:drawing>
          <wp:inline xmlns:a="http://schemas.openxmlformats.org/drawingml/2006/main" xmlns:pic="http://schemas.openxmlformats.org/drawingml/2006/picture">
            <wp:extent cx="5486400" cy="5486400"/>
            <wp:docPr id="6" name="Picture 6"/>
            <wp:cNvGraphicFramePr>
              <a:graphicFrameLocks noChangeAspect="1"/>
            </wp:cNvGraphicFramePr>
            <a:graphic>
              <a:graphicData uri="http://schemas.openxmlformats.org/drawingml/2006/picture">
                <pic:pic>
                  <pic:nvPicPr>
                    <pic:cNvPr id="0" name="06_uml_class_diagram.png"/>
                    <pic:cNvPicPr/>
                  </pic:nvPicPr>
                  <pic:blipFill>
                    <a:blip r:embed="rId16"/>
                    <a:stretch>
                      <a:fillRect/>
                    </a:stretch>
                  </pic:blipFill>
                  <pic:spPr>
                    <a:xfrm>
                      <a:off x="0" y="0"/>
                      <a:ext cx="5486400" cy="5486400"/>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Figure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6</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UML class diagram (modules drawn as classes)</w:t>
      </w:r>
    </w:p>
    <w:p>
      <w:r>
        <w:rPr>
          <w:rFonts w:ascii="Times New Roman" w:hAnsi="Times New Roman" w:cs="Times New Roman" w:eastAsia="Times New Roman"/>
        </w:rPr>
        <w:t xml:space="preserve">The code base is function-oriented, so each Python module is drawn as a class stereotyped as a module, listing its constants and public functions. </w:t>
      </w:r>
      <w:r>
        <w:rPr>
          <w:rFonts w:ascii="Consolas" w:hAnsi="Consolas" w:cs="Consolas" w:eastAsia="Consolas"/>
          <w:sz w:val="21"/>
        </w:rPr>
        <w:t>RoutesBlueprint</w:t>
      </w:r>
      <w:r>
        <w:rPr>
          <w:rFonts w:ascii="Times New Roman" w:hAnsi="Times New Roman" w:cs="Times New Roman" w:eastAsia="Times New Roman"/>
        </w:rPr>
        <w:t xml:space="preserve"> and </w:t>
      </w:r>
      <w:r>
        <w:rPr>
          <w:rFonts w:ascii="Consolas" w:hAnsi="Consolas" w:cs="Consolas" w:eastAsia="Consolas"/>
          <w:sz w:val="21"/>
        </w:rPr>
        <w:t>ApiBlueprint</w:t>
      </w:r>
      <w:r>
        <w:rPr>
          <w:rFonts w:ascii="Times New Roman" w:hAnsi="Times New Roman" w:cs="Times New Roman" w:eastAsia="Times New Roman"/>
        </w:rPr>
        <w:t xml:space="preserve"> are the two Flask blueprints; both depend on </w:t>
      </w:r>
      <w:r>
        <w:rPr>
          <w:rFonts w:ascii="Consolas" w:hAnsi="Consolas" w:cs="Consolas" w:eastAsia="Consolas"/>
          <w:sz w:val="21"/>
        </w:rPr>
        <w:t>Validation</w:t>
      </w:r>
      <w:r>
        <w:rPr>
          <w:rFonts w:ascii="Times New Roman" w:hAnsi="Times New Roman" w:cs="Times New Roman" w:eastAsia="Times New Roman"/>
        </w:rPr>
        <w:t xml:space="preserve"> for input checking, and the routes call </w:t>
      </w:r>
      <w:r>
        <w:rPr>
          <w:rFonts w:ascii="Consolas" w:hAnsi="Consolas" w:cs="Consolas" w:eastAsia="Consolas"/>
          <w:sz w:val="21"/>
        </w:rPr>
        <w:t>Predictor</w:t>
      </w:r>
      <w:r>
        <w:rPr>
          <w:rFonts w:ascii="Times New Roman" w:hAnsi="Times New Roman" w:cs="Times New Roman" w:eastAsia="Times New Roman"/>
        </w:rPr>
        <w:t xml:space="preserve">, which owns the cached model, the cached explainer and the prediction, SHAP and insight functions. </w:t>
      </w:r>
      <w:r>
        <w:rPr>
          <w:rFonts w:ascii="Consolas" w:hAnsi="Consolas" w:cs="Consolas" w:eastAsia="Consolas"/>
          <w:sz w:val="21"/>
        </w:rPr>
        <w:t>WhatIf</w:t>
      </w:r>
      <w:r>
        <w:rPr>
          <w:rFonts w:ascii="Times New Roman" w:hAnsi="Times New Roman" w:cs="Times New Roman" w:eastAsia="Times New Roman"/>
        </w:rPr>
        <w:t xml:space="preserve"> calls </w:t>
      </w:r>
      <w:r>
        <w:rPr>
          <w:rFonts w:ascii="Consolas" w:hAnsi="Consolas" w:cs="Consolas" w:eastAsia="Consolas"/>
          <w:sz w:val="21"/>
        </w:rPr>
        <w:t>predict_profile</w:t>
      </w:r>
      <w:r>
        <w:rPr>
          <w:rFonts w:ascii="Times New Roman" w:hAnsi="Times New Roman" w:cs="Times New Roman" w:eastAsia="Times New Roman"/>
        </w:rPr>
        <w:t xml:space="preserve"> twice, </w:t>
      </w:r>
      <w:r>
        <w:rPr>
          <w:rFonts w:ascii="Consolas" w:hAnsi="Consolas" w:cs="Consolas" w:eastAsia="Consolas"/>
          <w:sz w:val="21"/>
        </w:rPr>
        <w:t>Forecaster</w:t>
      </w:r>
      <w:r>
        <w:rPr>
          <w:rFonts w:ascii="Times New Roman" w:hAnsi="Times New Roman" w:cs="Times New Roman" w:eastAsia="Times New Roman"/>
        </w:rPr>
        <w:t xml:space="preserve"> reads the forecast artifact, and </w:t>
      </w:r>
      <w:r>
        <w:rPr>
          <w:rFonts w:ascii="Consolas" w:hAnsi="Consolas" w:cs="Consolas" w:eastAsia="Consolas"/>
          <w:sz w:val="21"/>
        </w:rPr>
        <w:t>FeatureEngineering</w:t>
      </w:r>
      <w:r>
        <w:rPr>
          <w:rFonts w:ascii="Times New Roman" w:hAnsi="Times New Roman" w:cs="Times New Roman" w:eastAsia="Times New Roman"/>
        </w:rPr>
        <w:t xml:space="preserve"> supplies cleaning, derived features and the preprocessor. A scikit-learn </w:t>
      </w:r>
      <w:r>
        <w:rPr>
          <w:rFonts w:ascii="Consolas" w:hAnsi="Consolas" w:cs="Consolas" w:eastAsia="Consolas"/>
          <w:sz w:val="21"/>
        </w:rPr>
        <w:t>Pipeline</w:t>
      </w:r>
      <w:r>
        <w:rPr>
          <w:rFonts w:ascii="Times New Roman" w:hAnsi="Times New Roman" w:cs="Times New Roman" w:eastAsia="Times New Roman"/>
        </w:rPr>
        <w:t xml:space="preserve"> combines the preprocessor with one of four classifier realisations, XGBoost being the selected one. </w:t>
      </w:r>
      <w:r>
        <w:rPr>
          <w:rFonts w:ascii="Consolas" w:hAnsi="Consolas" w:cs="Consolas" w:eastAsia="Consolas"/>
          <w:sz w:val="21"/>
        </w:rPr>
        <w:t>TrainScript</w:t>
      </w:r>
      <w:r>
        <w:rPr>
          <w:rFonts w:ascii="Times New Roman" w:hAnsi="Times New Roman" w:cs="Times New Roman" w:eastAsia="Times New Roman"/>
        </w:rPr>
        <w:t xml:space="preserve"> and </w:t>
      </w:r>
      <w:r>
        <w:rPr>
          <w:rFonts w:ascii="Consolas" w:hAnsi="Consolas" w:cs="Consolas" w:eastAsia="Consolas"/>
          <w:sz w:val="21"/>
        </w:rPr>
        <w:t>ForecastScript</w:t>
      </w:r>
      <w:r>
        <w:rPr>
          <w:rFonts w:ascii="Times New Roman" w:hAnsi="Times New Roman" w:cs="Times New Roman" w:eastAsia="Times New Roman"/>
        </w:rPr>
        <w:t xml:space="preserve"> are the offline modules.</w:t>
      </w:r>
    </w:p>
    <w:p>
      <w:pPr>
        <w:pStyle w:val="Heading2"/>
      </w:pPr>
      <w:r>
        <w:t>Sequence diagram</w:t>
      </w:r>
    </w:p>
    <w:p>
      <w:pPr>
        <w:keepNext/>
        <w:spacing w:line="240" w:lineRule="auto" w:after="80"/>
        <w:jc w:val="center"/>
      </w:pPr>
      <w:r>
        <w:drawing>
          <wp:inline xmlns:a="http://schemas.openxmlformats.org/drawingml/2006/main" xmlns:pic="http://schemas.openxmlformats.org/drawingml/2006/picture">
            <wp:extent cx="5486400" cy="5054114"/>
            <wp:docPr id="7" name="Picture 7"/>
            <wp:cNvGraphicFramePr>
              <a:graphicFrameLocks noChangeAspect="1"/>
            </wp:cNvGraphicFramePr>
            <a:graphic>
              <a:graphicData uri="http://schemas.openxmlformats.org/drawingml/2006/picture">
                <pic:pic>
                  <pic:nvPicPr>
                    <pic:cNvPr id="0" name="07_sequence_diagram.png"/>
                    <pic:cNvPicPr/>
                  </pic:nvPicPr>
                  <pic:blipFill>
                    <a:blip r:embed="rId17"/>
                    <a:stretch>
                      <a:fillRect/>
                    </a:stretch>
                  </pic:blipFill>
                  <pic:spPr>
                    <a:xfrm>
                      <a:off x="0" y="0"/>
                      <a:ext cx="5486400" cy="5054114"/>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Figure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7</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Sequence diagram: one financial assessment</w:t>
      </w:r>
    </w:p>
    <w:p>
      <w:r>
        <w:rPr>
          <w:rFonts w:ascii="Times New Roman" w:hAnsi="Times New Roman" w:cs="Times New Roman" w:eastAsia="Times New Roman"/>
        </w:rPr>
        <w:t xml:space="preserve">The sequence follows one assessment. The user fills the twelve fields in the React page, which first checks the ranges in the browser and then posts the values as JSON to </w:t>
      </w:r>
      <w:r>
        <w:rPr>
          <w:rFonts w:ascii="Consolas" w:hAnsi="Consolas" w:cs="Consolas" w:eastAsia="Consolas"/>
          <w:sz w:val="21"/>
        </w:rPr>
        <w:t>/api/predict</w:t>
      </w:r>
      <w:r>
        <w:rPr>
          <w:rFonts w:ascii="Times New Roman" w:hAnsi="Times New Roman" w:cs="Times New Roman" w:eastAsia="Times New Roman"/>
        </w:rPr>
        <w:t xml:space="preserve">. The route calls </w:t>
      </w:r>
      <w:r>
        <w:rPr>
          <w:rFonts w:ascii="Consolas" w:hAnsi="Consolas" w:cs="Consolas" w:eastAsia="Consolas"/>
          <w:sz w:val="21"/>
        </w:rPr>
        <w:t>validate_assessment</w:t>
      </w:r>
      <w:r>
        <w:rPr>
          <w:rFonts w:ascii="Times New Roman" w:hAnsi="Times New Roman" w:cs="Times New Roman" w:eastAsia="Times New Roman"/>
        </w:rPr>
        <w:t xml:space="preserve">; on success it calls </w:t>
      </w:r>
      <w:r>
        <w:rPr>
          <w:rFonts w:ascii="Consolas" w:hAnsi="Consolas" w:cs="Consolas" w:eastAsia="Consolas"/>
          <w:sz w:val="21"/>
        </w:rPr>
        <w:t>predict_profile</w:t>
      </w:r>
      <w:r>
        <w:rPr>
          <w:rFonts w:ascii="Times New Roman" w:hAnsi="Times New Roman" w:cs="Times New Roman" w:eastAsia="Times New Roman"/>
        </w:rPr>
        <w:t>, which builds the frame, derives the features and obtains the probability from the pipeline. It then asks the TreeExplainer for the SHAP values of that single row, maps the probability to a profile and band, and builds the insights. The result dictionary travels back as an HTTP 200 JSON body; the page stores it in the browser session and navigates to the result screen, which shows the profile, score bar, SHAP factors, insights and the forecast. Invalid input short-circuits with HTTP 400.</w:t>
      </w:r>
    </w:p>
    <w:p>
      <w:pPr>
        <w:pStyle w:val="Heading2"/>
      </w:pPr>
      <w:r>
        <w:t>Use-case diagram</w:t>
      </w:r>
    </w:p>
    <w:p>
      <w:pPr>
        <w:keepNext/>
        <w:spacing w:line="240" w:lineRule="auto" w:after="80"/>
        <w:jc w:val="center"/>
      </w:pPr>
      <w:r>
        <w:drawing>
          <wp:inline xmlns:a="http://schemas.openxmlformats.org/drawingml/2006/main" xmlns:pic="http://schemas.openxmlformats.org/drawingml/2006/picture">
            <wp:extent cx="4572000" cy="3678702"/>
            <wp:docPr id="8" name="Picture 8"/>
            <wp:cNvGraphicFramePr>
              <a:graphicFrameLocks noChangeAspect="1"/>
            </wp:cNvGraphicFramePr>
            <a:graphic>
              <a:graphicData uri="http://schemas.openxmlformats.org/drawingml/2006/picture">
                <pic:pic>
                  <pic:nvPicPr>
                    <pic:cNvPr id="0" name="08_use_case_diagram.png"/>
                    <pic:cNvPicPr/>
                  </pic:nvPicPr>
                  <pic:blipFill>
                    <a:blip r:embed="rId18"/>
                    <a:stretch>
                      <a:fillRect/>
                    </a:stretch>
                  </pic:blipFill>
                  <pic:spPr>
                    <a:xfrm>
                      <a:off x="0" y="0"/>
                      <a:ext cx="4572000" cy="3678702"/>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Figure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8</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Use-case diagram</w:t>
      </w:r>
    </w:p>
    <w:p>
      <w:r>
        <w:rPr>
          <w:rFonts w:ascii="Times New Roman" w:hAnsi="Times New Roman" w:cs="Times New Roman" w:eastAsia="Times New Roman"/>
        </w:rPr>
        <w:t>The user can sign in with the demo account, enter a demographic and financial profile, view the profile, risk band and strength score, read the SHAP drivers and insights, explore the global explainability charts, view the 12-month forecast, run a what-if scenario, review the model performance and switch between light and dark themes. Every case except signing in sits behind the sample login gate. The second actor, the developer, trains the models and runs the tests and smoke checks from the command line; those activities are outside the web interface and are drawn separately to show that the running application never retrains a model.</w:t>
      </w:r>
    </w:p>
    <w:p>
      <w:pPr>
        <w:pStyle w:val="Heading2"/>
      </w:pPr>
      <w:r>
        <w:t>Entity-relationship (data model) diagram</w:t>
      </w:r>
    </w:p>
    <w:p>
      <w:pPr>
        <w:keepNext/>
        <w:spacing w:line="240" w:lineRule="auto" w:after="80"/>
        <w:jc w:val="center"/>
      </w:pPr>
      <w:r>
        <w:drawing>
          <wp:inline xmlns:a="http://schemas.openxmlformats.org/drawingml/2006/main" xmlns:pic="http://schemas.openxmlformats.org/drawingml/2006/picture">
            <wp:extent cx="5486400" cy="4306703"/>
            <wp:docPr id="9" name="Picture 9"/>
            <wp:cNvGraphicFramePr>
              <a:graphicFrameLocks noChangeAspect="1"/>
            </wp:cNvGraphicFramePr>
            <a:graphic>
              <a:graphicData uri="http://schemas.openxmlformats.org/drawingml/2006/picture">
                <pic:pic>
                  <pic:nvPicPr>
                    <pic:cNvPr id="0" name="09_er_diagram.png"/>
                    <pic:cNvPicPr/>
                  </pic:nvPicPr>
                  <pic:blipFill>
                    <a:blip r:embed="rId19"/>
                    <a:stretch>
                      <a:fillRect/>
                    </a:stretch>
                  </pic:blipFill>
                  <pic:spPr>
                    <a:xfrm>
                      <a:off x="0" y="0"/>
                      <a:ext cx="5486400" cy="4306703"/>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Figure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9</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Entity-relationship (data model) diagram</w:t>
      </w:r>
    </w:p>
    <w:p>
      <w:r>
        <w:rPr>
          <w:rFonts w:ascii="Times New Roman" w:hAnsi="Times New Roman" w:cs="Times New Roman" w:eastAsia="Times New Roman"/>
        </w:rPr>
        <w:t>FinSight AI has no relational database, so the diagram shows the data model instead of tables. Dashed boxes are transient objects that exist only inside one request: the assessment record (the twelve inputs, with education-num derived), the prediction result and the SHAP contributions, between one and ten per result. Solid boxes are persisted as JSON: the model-metrics rows (four models, with test and cross-validation scores) and the forecast points (132 history points and 12 forecast points). One request produces one result, which holds many SHAP items. Nothing about a person is written to disk; the what-if baseline lives only in browser or session storage.</w:t>
      </w:r>
    </w:p>
    <w:p>
      <w:pPr>
        <w:pStyle w:val="Heading2"/>
      </w:pPr>
      <w:r>
        <w:t>Flowchart of the core algorithm</w:t>
      </w:r>
    </w:p>
    <w:p>
      <w:pPr>
        <w:keepNext/>
        <w:spacing w:line="240" w:lineRule="auto" w:after="80"/>
        <w:jc w:val="center"/>
      </w:pPr>
      <w:r>
        <w:drawing>
          <wp:inline xmlns:a="http://schemas.openxmlformats.org/drawingml/2006/main" xmlns:pic="http://schemas.openxmlformats.org/drawingml/2006/picture">
            <wp:extent cx="4572000" cy="4840725"/>
            <wp:docPr id="10" name="Picture 10"/>
            <wp:cNvGraphicFramePr>
              <a:graphicFrameLocks noChangeAspect="1"/>
            </wp:cNvGraphicFramePr>
            <a:graphic>
              <a:graphicData uri="http://schemas.openxmlformats.org/drawingml/2006/picture">
                <pic:pic>
                  <pic:nvPicPr>
                    <pic:cNvPr id="0" name="10_core_algorithm_flowchart.png"/>
                    <pic:cNvPicPr/>
                  </pic:nvPicPr>
                  <pic:blipFill>
                    <a:blip r:embed="rId20"/>
                    <a:stretch>
                      <a:fillRect/>
                    </a:stretch>
                  </pic:blipFill>
                  <pic:spPr>
                    <a:xfrm>
                      <a:off x="0" y="0"/>
                      <a:ext cx="4572000" cy="4840725"/>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Figure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10</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Flowchart of the core algorithm (POST /api/predict)</w:t>
      </w:r>
    </w:p>
    <w:p>
      <w:r>
        <w:rPr>
          <w:rFonts w:ascii="Times New Roman" w:hAnsi="Times New Roman" w:cs="Times New Roman" w:eastAsia="Times New Roman"/>
        </w:rPr>
        <w:t xml:space="preserve">The flowchart gives the decision logic of the prediction endpoint. A JSON profile is received and validated; a missing, disallowed or out-of-range field returns HTTP 400 with the error list. Otherwise the input frame is built (education-num looked up from the education level, census weight left missing), the cleaning and feature-derivation functions run, and </w:t>
      </w:r>
      <w:r>
        <w:rPr>
          <w:rFonts w:ascii="Consolas" w:hAnsi="Consolas" w:cs="Consolas" w:eastAsia="Consolas"/>
          <w:sz w:val="21"/>
        </w:rPr>
        <w:t>predict_proba</w:t>
      </w:r>
      <w:r>
        <w:rPr>
          <w:rFonts w:ascii="Times New Roman" w:hAnsi="Times New Roman" w:cs="Times New Roman" w:eastAsia="Times New Roman"/>
        </w:rPr>
        <w:t xml:space="preserve"> returns the probability p of income above 50K. Two comparisons decide the label: p of at least 0.60 gives Established with Low risk, p of at least 0.35 gives Developing with Moderate risk, and anything lower gives Emerging with High risk. The SHAP contributions and insights are then computed, strength is set to 100p and risk to 100(1-p), and a 200 response is returned.</w:t>
      </w:r>
    </w:p>
    <w:p>
      <w:pPr>
        <w:pStyle w:val="Heading2"/>
      </w:pPr>
      <w:r>
        <w:t>Offline training and evaluation pipeline</w:t>
      </w:r>
    </w:p>
    <w:p>
      <w:pPr>
        <w:keepNext/>
        <w:spacing w:line="240" w:lineRule="auto" w:after="80"/>
        <w:jc w:val="center"/>
      </w:pPr>
      <w:r>
        <w:drawing>
          <wp:inline xmlns:a="http://schemas.openxmlformats.org/drawingml/2006/main" xmlns:pic="http://schemas.openxmlformats.org/drawingml/2006/picture">
            <wp:extent cx="5486400" cy="3446171"/>
            <wp:docPr id="11" name="Picture 11"/>
            <wp:cNvGraphicFramePr>
              <a:graphicFrameLocks noChangeAspect="1"/>
            </wp:cNvGraphicFramePr>
            <a:graphic>
              <a:graphicData uri="http://schemas.openxmlformats.org/drawingml/2006/picture">
                <pic:pic>
                  <pic:nvPicPr>
                    <pic:cNvPr id="0" name="11_training_pipeline.png"/>
                    <pic:cNvPicPr/>
                  </pic:nvPicPr>
                  <pic:blipFill>
                    <a:blip r:embed="rId21"/>
                    <a:stretch>
                      <a:fillRect/>
                    </a:stretch>
                  </pic:blipFill>
                  <pic:spPr>
                    <a:xfrm>
                      <a:off x="0" y="0"/>
                      <a:ext cx="5486400" cy="3446171"/>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Figure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11</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Offline training and evaluation pipeline (scripts/train.py)</w:t>
      </w:r>
    </w:p>
    <w:p>
      <w:r>
        <w:rPr>
          <w:rFonts w:ascii="Times New Roman" w:hAnsi="Times New Roman" w:cs="Times New Roman" w:eastAsia="Times New Roman"/>
        </w:rPr>
        <w:t xml:space="preserve">Training is a separate offline script with eight steps. It loads </w:t>
      </w:r>
      <w:r>
        <w:rPr>
          <w:rFonts w:ascii="Consolas" w:hAnsi="Consolas" w:cs="Consolas" w:eastAsia="Consolas"/>
          <w:sz w:val="21"/>
        </w:rPr>
        <w:t>adult.data</w:t>
      </w:r>
      <w:r>
        <w:rPr>
          <w:rFonts w:ascii="Times New Roman" w:hAnsi="Times New Roman" w:cs="Times New Roman" w:eastAsia="Times New Roman"/>
        </w:rPr>
        <w:t xml:space="preserve"> and </w:t>
      </w:r>
      <w:r>
        <w:rPr>
          <w:rFonts w:ascii="Consolas" w:hAnsi="Consolas" w:cs="Consolas" w:eastAsia="Consolas"/>
          <w:sz w:val="21"/>
        </w:rPr>
        <w:t>adult.test</w:t>
      </w:r>
      <w:r>
        <w:rPr>
          <w:rFonts w:ascii="Times New Roman" w:hAnsi="Times New Roman" w:cs="Times New Roman" w:eastAsia="Times New Roman"/>
        </w:rPr>
        <w:t xml:space="preserve"> (48,842 rows), cleans them ('?' to missing, whitespace stripped, rows without a target dropped), engineers 26 feature columns from the 14 raw fields, and makes a stratified 80/20 split (39,073 training and 9,769 test rows). Each of four classifiers is wrapped in its own Pipeline together with its preprocessor, scored by 5-fold stratified cross-validation on the training split and then fitted and evaluated on the test split. The model with the highest test ROC-AUC is selected, and the pickles, JSON reports, charts, SHAP importance and forecast are persisted for the web application to load.</w:t>
      </w:r>
    </w:p>
    <w:sectPr w:rsidR="00FC693F" w:rsidRPr="0006063C" w:rsidSect="00034616">
      <w:footerReference w:type="default" r:id="rId9"/>
      <w:headerReference w:type="default" r:id="rId10"/>
      <w:pgSz w:w="11906" w:h="16838"/>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Times New Roman" w:hAnsi="Times New Roman" w:cs="Times New Roman" w:eastAsia="Times New Roman"/>
        <w:sz w:val="22"/>
      </w:rPr>
      <w:fldChar w:fldCharType="begin"/>
    </w:r>
    <w:r>
      <w:rPr>
        <w:rFonts w:ascii="Times New Roman" w:hAnsi="Times New Roman" w:cs="Times New Roman" w:eastAsia="Times New Roman"/>
        <w:sz w:val="22"/>
      </w:rPr>
      <w:instrText xml:space="preserve"> PAGE </w:instrText>
    </w:r>
    <w:r>
      <w:rPr>
        <w:rFonts w:ascii="Times New Roman" w:hAnsi="Times New Roman" w:cs="Times New Roman" w:eastAsia="Times New Roman"/>
        <w:sz w:val="22"/>
      </w:rPr>
      <w:fldChar w:fldCharType="separate"/>
    </w:r>
    <w:r>
      <w:rPr>
        <w:rFonts w:ascii="Times New Roman" w:hAnsi="Times New Roman" w:cs="Times New Roman" w:eastAsia="Times New Roman"/>
        <w:sz w:val="22"/>
      </w:rPr>
      <w:t>1</w:t>
    </w:r>
    <w:r>
      <w:rPr>
        <w:rFonts w:ascii="Times New Roman" w:hAnsi="Times New Roman" w:cs="Times New Roman" w:eastAsia="Times New Roman"/>
        <w:sz w:val="22"/>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center"/>
    </w:pPr>
    <w:r>
      <w:rPr>
        <w:rFonts w:ascii="Times New Roman" w:hAnsi="Times New Roman" w:cs="Times New Roman" w:eastAsia="Times New Roman"/>
        <w:b w:val="0"/>
        <w:i/>
        <w:color w:val="555555"/>
        <w:sz w:val="20"/>
      </w:rPr>
      <w:t>FinSight AI  |  Block Diagrams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ascii="Times New Roman" w:hAnsi="Times New Roman" w:cs="Times New Roman" w:eastAsia="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120" w:line="276" w:lineRule="auto"/>
      <w:jc w:val="left"/>
      <w:outlineLvl w:val="1"/>
    </w:pPr>
    <w:rPr>
      <w:rFonts w:ascii="Times New Roman" w:hAnsi="Times New Roman" w:cs="Times New Roman" w:eastAsia="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ascii="Times New Roman" w:hAnsi="Times New Roman" w:cs="Times New Roman" w:eastAsia="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after="200"/>
      <w:jc w:val="center"/>
    </w:pPr>
    <w:rPr>
      <w:rFonts w:ascii="Times New Roman" w:hAnsi="Times New Roman"/>
      <w:b/>
      <w:bCs/>
      <w:i w:val="0"/>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basedOn w:val="Normal"/>
    <w:pPr>
      <w:spacing w:line="240" w:lineRule="auto" w:after="40"/>
      <w:ind w:left="0"/>
      <w:jc w:val="left"/>
    </w:pPr>
    <w:rPr>
      <w:rFonts w:ascii="Times New Roman" w:hAnsi="Times New Roman"/>
      <w:sz w:val="22"/>
    </w:rPr>
  </w:style>
  <w:style w:type="paragraph" w:customStyle="1" w:styleId="TOC2">
    <w:name w:val="TOC 2"/>
    <w:basedOn w:val="Normal"/>
    <w:pPr>
      <w:spacing w:line="240" w:lineRule="auto" w:after="40"/>
      <w:ind w:left="360"/>
      <w:jc w:val="left"/>
    </w:pPr>
    <w:rPr>
      <w:rFonts w:ascii="Times New Roman" w:hAnsi="Times New Roman"/>
      <w:sz w:val="22"/>
    </w:rPr>
  </w:style>
  <w:style w:type="paragraph" w:customStyle="1" w:styleId="TableofFigures">
    <w:name w:val="Table of Figures"/>
    <w:basedOn w:val="Normal"/>
    <w:pPr>
      <w:spacing w:line="240" w:lineRule="auto" w:after="40"/>
      <w:ind w:left="0"/>
      <w:jc w:val="left"/>
    </w:pPr>
    <w:rPr>
      <w:rFonts w:ascii="Times New Roman" w:hAnsi="Times New Roman"/>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