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2"/>
        </w:rPr>
        <w:t>AI-BASED FINANCIAL IDENTIFICATION BASED ON DEMOGRAPHY AND FINANCIAL FORECASTING</w:t>
      </w:r>
    </w:p>
    <w:p>
      <w:pPr>
        <w:spacing w:after="280"/>
        <w:jc w:val="center"/>
      </w:pPr>
      <w:r>
        <w:rPr>
          <w:rFonts w:ascii="Times New Roman" w:hAnsi="Times New Roman" w:cs="Times New Roman" w:eastAsia="Times New Roman"/>
          <w:b/>
          <w:sz w:val="28"/>
        </w:rPr>
        <w:t>Conclusion, Future Scope and References</w:t>
      </w:r>
    </w:p>
    <w:p>
      <w:pPr>
        <w:spacing w:after="40"/>
        <w:jc w:val="center"/>
      </w:pPr>
      <w:r>
        <w:rPr>
          <w:rFonts w:ascii="Times New Roman" w:hAnsi="Times New Roman" w:cs="Times New Roman" w:eastAsia="Times New Roman"/>
          <w:sz w:val="24"/>
        </w:rPr>
        <w:t>Product: FinSight AI</w:t>
      </w:r>
    </w:p>
    <w:p>
      <w:pPr>
        <w:spacing w:after="40"/>
        <w:jc w:val="center"/>
      </w:pPr>
      <w:r>
        <w:rPr>
          <w:rFonts w:ascii="Times New Roman" w:hAnsi="Times New Roman" w:cs="Times New Roman" w:eastAsia="Times New Roman"/>
          <w:sz w:val="24"/>
        </w:rPr>
        <w:t>Department of Computer Science and Engineering, TKR College of Engineering and Technology (Autonomous)</w:t>
      </w:r>
    </w:p>
    <w:p>
      <w:pPr>
        <w:spacing w:after="240"/>
        <w:jc w:val="center"/>
      </w:pPr>
      <w:r>
        <w:rPr>
          <w:rFonts w:ascii="Times New Roman" w:hAnsi="Times New Roman" w:cs="Times New Roman" w:eastAsia="Times New Roman"/>
          <w:sz w:val="24"/>
        </w:rPr>
        <w:t>Batch C9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MOHD AHMED</w:t>
            </w:r>
          </w:p>
        </w:tc>
        <w:tc>
          <w:tcPr>
            <w:tcW w:type="dxa" w:w="2592"/>
          </w:tcPr>
          <w:p>
            <w:pPr>
              <w:spacing w:line="240" w:lineRule="auto" w:after="40"/>
              <w:jc w:val="center"/>
            </w:pPr>
            <w:r/>
            <w:r>
              <w:rPr>
                <w:rFonts w:ascii="Times New Roman" w:hAnsi="Times New Roman" w:cs="Times New Roman" w:eastAsia="Times New Roman"/>
                <w:sz w:val="22"/>
              </w:rPr>
              <w:t>23K91A05F7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MANNE UPENDER</w:t>
            </w:r>
          </w:p>
        </w:tc>
        <w:tc>
          <w:tcPr>
            <w:tcW w:type="dxa" w:w="2592"/>
          </w:tcPr>
          <w:p>
            <w:pPr>
              <w:spacing w:line="240" w:lineRule="auto" w:after="40"/>
              <w:jc w:val="center"/>
            </w:pPr>
            <w:r/>
            <w:r>
              <w:rPr>
                <w:rFonts w:ascii="Times New Roman" w:hAnsi="Times New Roman" w:cs="Times New Roman" w:eastAsia="Times New Roman"/>
                <w:sz w:val="22"/>
              </w:rPr>
              <w:t>23K91A05E6</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PADALA RAJESH</w:t>
            </w:r>
          </w:p>
        </w:tc>
        <w:tc>
          <w:tcPr>
            <w:tcW w:type="dxa" w:w="2592"/>
          </w:tcPr>
          <w:p>
            <w:pPr>
              <w:spacing w:line="240" w:lineRule="auto" w:after="40"/>
              <w:jc w:val="center"/>
            </w:pPr>
            <w:r/>
            <w:r>
              <w:rPr>
                <w:rFonts w:ascii="Times New Roman" w:hAnsi="Times New Roman" w:cs="Times New Roman" w:eastAsia="Times New Roman"/>
                <w:sz w:val="22"/>
              </w:rPr>
              <w:t>23K91A05H7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MADAGOUNI HARSHAVARDHAN GOUD</w:t>
            </w:r>
          </w:p>
        </w:tc>
        <w:tc>
          <w:tcPr>
            <w:tcW w:type="dxa" w:w="2592"/>
          </w:tcPr>
          <w:p>
            <w:pPr>
              <w:spacing w:line="240" w:lineRule="auto" w:after="40"/>
              <w:jc w:val="center"/>
            </w:pPr>
            <w:r/>
            <w:r>
              <w:rPr>
                <w:rFonts w:ascii="Times New Roman" w:hAnsi="Times New Roman" w:cs="Times New Roman" w:eastAsia="Times New Roman"/>
                <w:sz w:val="22"/>
              </w:rPr>
              <w:t>23K91A05D5</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B SRIKANTH</w:t>
      </w:r>
    </w:p>
    <w:p>
      <w:pPr>
        <w:spacing w:after="120"/>
      </w:pPr>
      <w:r>
        <w:rPr>
          <w:rFonts w:ascii="Times New Roman" w:hAnsi="Times New Roman" w:cs="Times New Roman" w:eastAsia="Times New Roman"/>
          <w:i/>
          <w:sz w:val="21"/>
        </w:rPr>
        <w:t>Chapter and section numbers quoted in the text (for example Section 6.6 or Chapter 8) refer to the full project report, 17.Final Document. Figures and tables in this document are numbered from 1.</w:t>
      </w:r>
    </w:p>
    <w:p>
      <w:pPr>
        <w:pStyle w:val="Heading1"/>
      </w:pPr>
      <w:r>
        <w:t>CONCLUSION AND KEY FINDINGS</w:t>
      </w:r>
    </w:p>
    <w:p>
      <w:r>
        <w:rPr>
          <w:rFonts w:ascii="Times New Roman" w:hAnsi="Times New Roman" w:cs="Times New Roman" w:eastAsia="Times New Roman"/>
        </w:rPr>
        <w:t>FinSight AI shows that the explainable machine-learning framework of the base paper [1] can be moved from organisations to individuals and wrapped in a working application: twelve demographic and financial inputs become a profile, a risk band, a strength score, a live explanation and a forecast context in about 69 ms on a desktop CPU.</w:t>
      </w:r>
    </w:p>
    <w:p>
      <w:pPr>
        <w:pStyle w:val="Heading2"/>
      </w:pPr>
      <w:r>
        <w:t>Objectives against outcomes</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The six project objectives and their status</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576"/>
            <w:shd w:val="clear" w:color="auto" w:fill="1B2A41"/>
          </w:tcPr>
          <w:p>
            <w:pPr>
              <w:spacing w:line="240" w:lineRule="auto" w:after="40"/>
              <w:jc w:val="center"/>
            </w:pPr>
            <w:r/>
            <w:r>
              <w:rPr>
                <w:rFonts w:ascii="Times New Roman" w:hAnsi="Times New Roman" w:cs="Times New Roman" w:eastAsia="Times New Roman"/>
                <w:b/>
                <w:color w:val="FFFFFF"/>
                <w:sz w:val="18"/>
              </w:rPr>
              <w:t>No.</w:t>
            </w:r>
          </w:p>
        </w:tc>
        <w:tc>
          <w:tcPr>
            <w:tcW w:type="dxa" w:w="2736"/>
            <w:shd w:val="clear" w:color="auto" w:fill="1B2A41"/>
          </w:tcPr>
          <w:p>
            <w:pPr>
              <w:spacing w:line="240" w:lineRule="auto" w:after="40"/>
              <w:jc w:val="center"/>
            </w:pPr>
            <w:r/>
            <w:r>
              <w:rPr>
                <w:rFonts w:ascii="Times New Roman" w:hAnsi="Times New Roman" w:cs="Times New Roman" w:eastAsia="Times New Roman"/>
                <w:b/>
                <w:color w:val="FFFFFF"/>
                <w:sz w:val="18"/>
              </w:rPr>
              <w:t>Objective</w:t>
            </w:r>
          </w:p>
        </w:tc>
        <w:tc>
          <w:tcPr>
            <w:tcW w:type="dxa" w:w="1152"/>
            <w:shd w:val="clear" w:color="auto" w:fill="1B2A41"/>
          </w:tcPr>
          <w:p>
            <w:pPr>
              <w:spacing w:line="240" w:lineRule="auto" w:after="40"/>
              <w:jc w:val="center"/>
            </w:pPr>
            <w:r/>
            <w:r>
              <w:rPr>
                <w:rFonts w:ascii="Times New Roman" w:hAnsi="Times New Roman" w:cs="Times New Roman" w:eastAsia="Times New Roman"/>
                <w:b/>
                <w:color w:val="FFFFFF"/>
                <w:sz w:val="18"/>
              </w:rPr>
              <w:t>Status</w:t>
            </w:r>
          </w:p>
        </w:tc>
        <w:tc>
          <w:tcPr>
            <w:tcW w:type="dxa" w:w="4608"/>
            <w:shd w:val="clear" w:color="auto" w:fill="1B2A41"/>
          </w:tcPr>
          <w:p>
            <w:pPr>
              <w:spacing w:line="240" w:lineRule="auto" w:after="40"/>
              <w:jc w:val="center"/>
            </w:pPr>
            <w:r/>
            <w:r>
              <w:rPr>
                <w:rFonts w:ascii="Times New Roman" w:hAnsi="Times New Roman" w:cs="Times New Roman" w:eastAsia="Times New Roman"/>
                <w:b/>
                <w:color w:val="FFFFFF"/>
                <w:sz w:val="18"/>
              </w:rPr>
              <w:t>Outcome</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1</w:t>
            </w:r>
          </w:p>
        </w:tc>
        <w:tc>
          <w:tcPr>
            <w:tcW w:type="dxa" w:w="2736"/>
          </w:tcPr>
          <w:p>
            <w:pPr>
              <w:spacing w:line="240" w:lineRule="auto" w:after="40"/>
              <w:jc w:val="left"/>
            </w:pPr>
            <w:r/>
            <w:r>
              <w:rPr>
                <w:rFonts w:ascii="Times New Roman" w:hAnsi="Times New Roman" w:cs="Times New Roman" w:eastAsia="Times New Roman"/>
                <w:sz w:val="18"/>
              </w:rPr>
              <w:t>Collect a dataset combining demographic attributes with financial and transactional parameters.</w:t>
            </w:r>
          </w:p>
        </w:tc>
        <w:tc>
          <w:tcPr>
            <w:tcW w:type="dxa" w:w="1152"/>
          </w:tcPr>
          <w:p>
            <w:pPr>
              <w:spacing w:line="240" w:lineRule="auto" w:after="40"/>
              <w:jc w:val="center"/>
            </w:pPr>
            <w:r/>
            <w:r>
              <w:rPr>
                <w:rFonts w:ascii="Times New Roman" w:hAnsi="Times New Roman" w:cs="Times New Roman" w:eastAsia="Times New Roman"/>
                <w:sz w:val="18"/>
              </w:rPr>
              <w:t>Met in part</w:t>
            </w:r>
          </w:p>
        </w:tc>
        <w:tc>
          <w:tcPr>
            <w:tcW w:type="dxa" w:w="4608"/>
          </w:tcPr>
          <w:p>
            <w:pPr>
              <w:spacing w:line="240" w:lineRule="auto" w:after="40"/>
              <w:jc w:val="left"/>
            </w:pPr>
            <w:r/>
            <w:r>
              <w:rPr>
                <w:rFonts w:ascii="Times New Roman" w:hAnsi="Times New Roman" w:cs="Times New Roman" w:eastAsia="Times New Roman"/>
                <w:sz w:val="18"/>
              </w:rPr>
              <w:t>UCI Adult / Census Income, 48,842 individual records with age, education, occupation, location (native country), and capital gains and losses. It has no transaction-level data, so the 'transactional parameters' part is not met.</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2</w:t>
            </w:r>
          </w:p>
        </w:tc>
        <w:tc>
          <w:tcPr>
            <w:tcW w:type="dxa" w:w="2736"/>
          </w:tcPr>
          <w:p>
            <w:pPr>
              <w:spacing w:line="240" w:lineRule="auto" w:after="40"/>
              <w:jc w:val="left"/>
            </w:pPr>
            <w:r/>
            <w:r>
              <w:rPr>
                <w:rFonts w:ascii="Times New Roman" w:hAnsi="Times New Roman" w:cs="Times New Roman" w:eastAsia="Times New Roman"/>
                <w:sz w:val="18"/>
              </w:rPr>
              <w:t>Preprocess the data, handle missing values and encode categorical demographic fields.</w:t>
            </w:r>
          </w:p>
        </w:tc>
        <w:tc>
          <w:tcPr>
            <w:tcW w:type="dxa" w:w="1152"/>
          </w:tcPr>
          <w:p>
            <w:pPr>
              <w:spacing w:line="240" w:lineRule="auto" w:after="40"/>
              <w:jc w:val="center"/>
            </w:pPr>
            <w:r/>
            <w:r>
              <w:rPr>
                <w:rFonts w:ascii="Times New Roman" w:hAnsi="Times New Roman" w:cs="Times New Roman" w:eastAsia="Times New Roman"/>
                <w:sz w:val="18"/>
              </w:rPr>
              <w:t>Met</w:t>
            </w:r>
          </w:p>
        </w:tc>
        <w:tc>
          <w:tcPr>
            <w:tcW w:type="dxa" w:w="4608"/>
          </w:tcPr>
          <w:p>
            <w:pPr>
              <w:spacing w:line="240" w:lineRule="auto" w:after="40"/>
              <w:jc w:val="left"/>
            </w:pPr>
            <w:r/>
            <w:r>
              <w:rPr>
                <w:rFonts w:ascii="Times New Roman" w:hAnsi="Times New Roman" w:cs="Times New Roman" w:eastAsia="Times New Roman"/>
                <w:sz w:val="18"/>
              </w:rPr>
              <w:t>'?' markers turned into missing values, median / 'Unknown' imputation and one-hot encoding inside each scikit-learn Pipeline, and 12 interpretable derived features.</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3</w:t>
            </w:r>
          </w:p>
        </w:tc>
        <w:tc>
          <w:tcPr>
            <w:tcW w:type="dxa" w:w="2736"/>
          </w:tcPr>
          <w:p>
            <w:pPr>
              <w:spacing w:line="240" w:lineRule="auto" w:after="40"/>
              <w:jc w:val="left"/>
            </w:pPr>
            <w:r/>
            <w:r>
              <w:rPr>
                <w:rFonts w:ascii="Times New Roman" w:hAnsi="Times New Roman" w:cs="Times New Roman" w:eastAsia="Times New Roman"/>
                <w:sz w:val="18"/>
              </w:rPr>
              <w:t>Train models to classify financial profile and estimate credit or distress risk.</w:t>
            </w:r>
          </w:p>
        </w:tc>
        <w:tc>
          <w:tcPr>
            <w:tcW w:type="dxa" w:w="1152"/>
          </w:tcPr>
          <w:p>
            <w:pPr>
              <w:spacing w:line="240" w:lineRule="auto" w:after="40"/>
              <w:jc w:val="center"/>
            </w:pPr>
            <w:r/>
            <w:r>
              <w:rPr>
                <w:rFonts w:ascii="Times New Roman" w:hAnsi="Times New Roman" w:cs="Times New Roman" w:eastAsia="Times New Roman"/>
                <w:sz w:val="18"/>
              </w:rPr>
              <w:t>Met in part</w:t>
            </w:r>
          </w:p>
        </w:tc>
        <w:tc>
          <w:tcPr>
            <w:tcW w:type="dxa" w:w="4608"/>
          </w:tcPr>
          <w:p>
            <w:pPr>
              <w:spacing w:line="240" w:lineRule="auto" w:after="40"/>
              <w:jc w:val="left"/>
            </w:pPr>
            <w:r/>
            <w:r>
              <w:rPr>
                <w:rFonts w:ascii="Times New Roman" w:hAnsi="Times New Roman" w:cs="Times New Roman" w:eastAsia="Times New Roman"/>
                <w:sz w:val="18"/>
              </w:rPr>
              <w:t>Four classifiers trained; XGBoost selected. The target is income above 50K, mapped to Emerging / Developing / Established profiles with Low / Moderate / High risk bands. It is not a credit-default or distress label.</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4</w:t>
            </w:r>
          </w:p>
        </w:tc>
        <w:tc>
          <w:tcPr>
            <w:tcW w:type="dxa" w:w="2736"/>
          </w:tcPr>
          <w:p>
            <w:pPr>
              <w:spacing w:line="240" w:lineRule="auto" w:after="40"/>
              <w:jc w:val="left"/>
            </w:pPr>
            <w:r/>
            <w:r>
              <w:rPr>
                <w:rFonts w:ascii="Times New Roman" w:hAnsi="Times New Roman" w:cs="Times New Roman" w:eastAsia="Times New Roman"/>
                <w:sz w:val="18"/>
              </w:rPr>
              <w:t>Build a forecasting component that projects future financial position.</w:t>
            </w:r>
          </w:p>
        </w:tc>
        <w:tc>
          <w:tcPr>
            <w:tcW w:type="dxa" w:w="1152"/>
          </w:tcPr>
          <w:p>
            <w:pPr>
              <w:spacing w:line="240" w:lineRule="auto" w:after="40"/>
              <w:jc w:val="center"/>
            </w:pPr>
            <w:r/>
            <w:r>
              <w:rPr>
                <w:rFonts w:ascii="Times New Roman" w:hAnsi="Times New Roman" w:cs="Times New Roman" w:eastAsia="Times New Roman"/>
                <w:sz w:val="18"/>
              </w:rPr>
              <w:t>Met in part</w:t>
            </w:r>
          </w:p>
        </w:tc>
        <w:tc>
          <w:tcPr>
            <w:tcW w:type="dxa" w:w="4608"/>
          </w:tcPr>
          <w:p>
            <w:pPr>
              <w:spacing w:line="240" w:lineRule="auto" w:after="40"/>
              <w:jc w:val="left"/>
            </w:pPr>
            <w:r/>
            <w:r>
              <w:rPr>
                <w:rFonts w:ascii="Times New Roman" w:hAnsi="Times New Roman" w:cs="Times New Roman" w:eastAsia="Times New Roman"/>
                <w:sz w:val="18"/>
              </w:rPr>
              <w:t>Holt-Winters 12-month forecast with a 95% band is built and served, but on a documented synthetic Household Financial Conditions Index; it does not forecast an individual's own finances.</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5</w:t>
            </w:r>
          </w:p>
        </w:tc>
        <w:tc>
          <w:tcPr>
            <w:tcW w:type="dxa" w:w="2736"/>
          </w:tcPr>
          <w:p>
            <w:pPr>
              <w:spacing w:line="240" w:lineRule="auto" w:after="40"/>
              <w:jc w:val="left"/>
            </w:pPr>
            <w:r/>
            <w:r>
              <w:rPr>
                <w:rFonts w:ascii="Times New Roman" w:hAnsi="Times New Roman" w:cs="Times New Roman" w:eastAsia="Times New Roman"/>
                <w:sz w:val="18"/>
              </w:rPr>
              <w:t>Add an explainability layer showing which factors drove each assessment.</w:t>
            </w:r>
          </w:p>
        </w:tc>
        <w:tc>
          <w:tcPr>
            <w:tcW w:type="dxa" w:w="1152"/>
          </w:tcPr>
          <w:p>
            <w:pPr>
              <w:spacing w:line="240" w:lineRule="auto" w:after="40"/>
              <w:jc w:val="center"/>
            </w:pPr>
            <w:r/>
            <w:r>
              <w:rPr>
                <w:rFonts w:ascii="Times New Roman" w:hAnsi="Times New Roman" w:cs="Times New Roman" w:eastAsia="Times New Roman"/>
                <w:sz w:val="18"/>
              </w:rPr>
              <w:t>Met</w:t>
            </w:r>
          </w:p>
        </w:tc>
        <w:tc>
          <w:tcPr>
            <w:tcW w:type="dxa" w:w="4608"/>
          </w:tcPr>
          <w:p>
            <w:pPr>
              <w:spacing w:line="240" w:lineRule="auto" w:after="40"/>
              <w:jc w:val="left"/>
            </w:pPr>
            <w:r/>
            <w:r>
              <w:rPr>
                <w:rFonts w:ascii="Times New Roman" w:hAnsi="Times New Roman" w:cs="Times New Roman" w:eastAsia="Times New Roman"/>
                <w:sz w:val="18"/>
              </w:rPr>
              <w:t>SHAP global importance, live per-assessment SHAP contributions in plain language, and a labelled non-causal what-if comparison.</w:t>
            </w:r>
          </w:p>
        </w:tc>
      </w:tr>
      <w:tr>
        <w:trPr>
          <w:cantSplit w:val="true"/>
        </w:trPr>
        <w:tc>
          <w:tcPr>
            <w:tcW w:type="dxa" w:w="576"/>
          </w:tcPr>
          <w:p>
            <w:pPr>
              <w:spacing w:line="240" w:lineRule="auto" w:after="40"/>
              <w:jc w:val="center"/>
            </w:pPr>
            <w:r/>
            <w:r>
              <w:rPr>
                <w:rFonts w:ascii="Times New Roman" w:hAnsi="Times New Roman" w:cs="Times New Roman" w:eastAsia="Times New Roman"/>
                <w:sz w:val="18"/>
              </w:rPr>
              <w:t>6</w:t>
            </w:r>
          </w:p>
        </w:tc>
        <w:tc>
          <w:tcPr>
            <w:tcW w:type="dxa" w:w="2736"/>
          </w:tcPr>
          <w:p>
            <w:pPr>
              <w:spacing w:line="240" w:lineRule="auto" w:after="40"/>
              <w:jc w:val="left"/>
            </w:pPr>
            <w:r/>
            <w:r>
              <w:rPr>
                <w:rFonts w:ascii="Times New Roman" w:hAnsi="Times New Roman" w:cs="Times New Roman" w:eastAsia="Times New Roman"/>
                <w:sz w:val="18"/>
              </w:rPr>
              <w:t>Evaluate using accuracy, precision, recall and ROC-AUC, and deploy through a web interface.</w:t>
            </w:r>
          </w:p>
        </w:tc>
        <w:tc>
          <w:tcPr>
            <w:tcW w:type="dxa" w:w="1152"/>
          </w:tcPr>
          <w:p>
            <w:pPr>
              <w:spacing w:line="240" w:lineRule="auto" w:after="40"/>
              <w:jc w:val="center"/>
            </w:pPr>
            <w:r/>
            <w:r>
              <w:rPr>
                <w:rFonts w:ascii="Times New Roman" w:hAnsi="Times New Roman" w:cs="Times New Roman" w:eastAsia="Times New Roman"/>
                <w:sz w:val="18"/>
              </w:rPr>
              <w:t>Met</w:t>
            </w:r>
          </w:p>
        </w:tc>
        <w:tc>
          <w:tcPr>
            <w:tcW w:type="dxa" w:w="4608"/>
          </w:tcPr>
          <w:p>
            <w:pPr>
              <w:spacing w:line="240" w:lineRule="auto" w:after="40"/>
              <w:jc w:val="left"/>
            </w:pPr>
            <w:r/>
            <w:r>
              <w:rPr>
                <w:rFonts w:ascii="Times New Roman" w:hAnsi="Times New Roman" w:cs="Times New Roman" w:eastAsia="Times New Roman"/>
                <w:sz w:val="18"/>
              </w:rPr>
              <w:t>Accuracy, precision, recall, F1 and ROC-AUC reported for all four models; the system is deployed as a Flask API with a React interface on ports 8409 and 5409.</w:t>
            </w:r>
          </w:p>
        </w:tc>
      </w:tr>
    </w:tbl>
    <w:p>
      <w:pPr>
        <w:spacing w:after="120" w:line="192" w:lineRule="auto"/>
      </w:pPr>
    </w:p>
    <w:p>
      <w:pPr>
        <w:pStyle w:val="Heading2"/>
      </w:pPr>
      <w:r>
        <w:t>Key findings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XGBoost is the best of the four.</w:t>
      </w:r>
      <w:r>
        <w:rPr>
          <w:rFonts w:ascii="Times New Roman" w:hAnsi="Times New Roman" w:cs="Times New Roman" w:eastAsia="Times New Roman"/>
        </w:rPr>
        <w:t xml:space="preserve"> On 9,769 held-out records it reaches accuracy 87.8%, precision 79.2%, recall 66.6%, F1 0.724 and ROC-AUC 0.932; its five-fold cross-validated AUC is 0.929 with a standard deviation of 0.001.</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Boosted trees beat the linear baseline, but not by a lot.</w:t>
      </w:r>
      <w:r>
        <w:rPr>
          <w:rFonts w:ascii="Times New Roman" w:hAnsi="Times New Roman" w:cs="Times New Roman" w:eastAsia="Times New Roman"/>
        </w:rPr>
        <w:t xml:space="preserve"> Logistic Regression reaches AUC 0.914 and F1 0.676; Random Forest has AUC 0.910 (below the linear model) but a higher recall (63.7% against 61.1%) and F1 (0.685). The ordering by AUC is XGBoost, Gradient Boosting, Logistic Regression, Random Forest, the same family ordering as in the base paper except for the position of Random Forest.</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Recall is the weak point.</w:t>
      </w:r>
      <w:r>
        <w:rPr>
          <w:rFonts w:ascii="Times New Roman" w:hAnsi="Times New Roman" w:cs="Times New Roman" w:eastAsia="Times New Roman"/>
        </w:rPr>
        <w:t xml:space="preserve"> At 0.5 the model finds 66.6% of the people with income above 50K. Moving the threshold to 0.35 gives recall 78.1%, precision 69.0% and the best F1 (0.733); the choice is a business decision, not a statistical one.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Probabilities are well calibrated on this data.</w:t>
      </w:r>
      <w:r>
        <w:rPr>
          <w:rFonts w:ascii="Times New Roman" w:hAnsi="Times New Roman" w:cs="Times New Roman" w:eastAsia="Times New Roman"/>
        </w:rPr>
        <w:t xml:space="preserve"> The mean prediction tracks the observed rate in nearly every one of ten bins (for example 0.984 predicted against 0.987 observed in the top bin) and the Brier score is 0.086; the largest gap is in the 0.4-0.5 bin (0.447 against 0.406).</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The profile bands carry information.</w:t>
      </w:r>
      <w:r>
        <w:rPr>
          <w:rFonts w:ascii="Times New Roman" w:hAnsi="Times New Roman" w:cs="Times New Roman" w:eastAsia="Times New Roman"/>
        </w:rPr>
        <w:t xml:space="preserve"> In the test split 7.2% of the Emerging band, 44.0% of the Developing band and 85.2% of the Established band actually earn more than 50K.</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What drives the model.</w:t>
      </w:r>
      <w:r>
        <w:rPr>
          <w:rFonts w:ascii="Times New Roman" w:hAnsi="Times New Roman" w:cs="Times New Roman" w:eastAsia="Times New Roman"/>
        </w:rPr>
        <w:t xml:space="preserve"> The five largest mean absolute SHAP values belong to marital status = Married-civ-spouse, Age, Years of education, Investment gains and hours worked per week. These are associations learned from 1994 census data, not causes.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The forecast works as software, but its series is synthetic.</w:t>
      </w:r>
      <w:r>
        <w:rPr>
          <w:rFonts w:ascii="Times New Roman" w:hAnsi="Times New Roman" w:cs="Times New Roman" w:eastAsia="Times New Roman"/>
        </w:rPr>
        <w:t xml:space="preserve"> The 12-month Holt-Winters forecast projects a +3.46% move of the index; against its own generator the back-test error is MAPE 1.00%, which says nothing about real economies.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b/>
        </w:rPr>
        <w:t>The system is fast and tested.</w:t>
      </w:r>
      <w:r>
        <w:rPr>
          <w:rFonts w:ascii="Times New Roman" w:hAnsi="Times New Roman" w:cs="Times New Roman" w:eastAsia="Times New Roman"/>
        </w:rPr>
        <w:t xml:space="preserve"> A prediction takes a median of 68.9 ms; 9 automated tests and 35 of 35 smoke checks pass.</w:t>
      </w:r>
    </w:p>
    <w:p>
      <w:r>
        <w:rPr>
          <w:rFonts w:ascii="Times New Roman" w:hAnsi="Times New Roman" w:cs="Times New Roman" w:eastAsia="Times New Roman"/>
        </w:rPr>
        <w:t>These findings are bounded by the limits described in the scope and limitations: old US data, an income target, a synthetic forecast series and no fairness audit.</w:t>
      </w:r>
    </w:p>
    <w:p>
      <w:r>
        <w:rPr>
          <w:rFonts w:ascii="Times New Roman" w:hAnsi="Times New Roman" w:cs="Times New Roman" w:eastAsia="Times New Roman"/>
        </w:rPr>
        <w:t>The figures below summarise the measurements behind the conclusions: the first chart compares the four classifiers on the same 9,769 held-out records and the second shows how precision and recall of the selected model trade off as the decision threshold moves.</w:t>
      </w:r>
    </w:p>
    <w:p>
      <w:pPr>
        <w:keepNext/>
        <w:spacing w:line="240" w:lineRule="auto" w:after="80"/>
        <w:jc w:val="center"/>
      </w:pPr>
      <w:r>
        <w:drawing>
          <wp:inline xmlns:a="http://schemas.openxmlformats.org/drawingml/2006/main" xmlns:pic="http://schemas.openxmlformats.org/drawingml/2006/picture">
            <wp:extent cx="5120640" cy="305853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120640" cy="305853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The four classifiers compared on the held-out test split</w:t>
      </w:r>
    </w:p>
    <w:p>
      <w:pPr>
        <w:keepNext/>
        <w:spacing w:line="240" w:lineRule="auto" w:after="80"/>
        <w:jc w:val="center"/>
      </w:pPr>
      <w:r>
        <w:drawing>
          <wp:inline xmlns:a="http://schemas.openxmlformats.org/drawingml/2006/main" xmlns:pic="http://schemas.openxmlformats.org/drawingml/2006/picture">
            <wp:extent cx="4572000" cy="3081359"/>
            <wp:docPr id="2" name="Picture 2"/>
            <wp:cNvGraphicFramePr>
              <a:graphicFrameLocks noChangeAspect="1"/>
            </wp:cNvGraphicFramePr>
            <a:graphic>
              <a:graphicData uri="http://schemas.openxmlformats.org/drawingml/2006/picture">
                <pic:pic>
                  <pic:nvPicPr>
                    <pic:cNvPr id="0" name="threshold_sweep.png"/>
                    <pic:cNvPicPr/>
                  </pic:nvPicPr>
                  <pic:blipFill>
                    <a:blip r:embed="rId12"/>
                    <a:stretch>
                      <a:fillRect/>
                    </a:stretch>
                  </pic:blipFill>
                  <pic:spPr>
                    <a:xfrm>
                      <a:off x="0" y="0"/>
                      <a:ext cx="4572000" cy="3081359"/>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Threshold analysis of the selected XGBoost model</w:t>
      </w:r>
    </w:p>
    <w:p>
      <w:pPr>
        <w:pStyle w:val="Heading1"/>
        <w:pageBreakBefore/>
      </w:pPr>
      <w:r>
        <w:t>FUTURE SCOPE</w:t>
      </w:r>
    </w:p>
    <w:p>
      <w:r>
        <w:rPr>
          <w:rFonts w:ascii="Times New Roman" w:hAnsi="Times New Roman" w:cs="Times New Roman" w:eastAsia="Times New Roman"/>
        </w:rPr>
        <w:t>The most valuable next steps follow directly from the limitations.</w:t>
      </w:r>
    </w:p>
    <w:p>
      <w:pPr>
        <w:spacing w:after="60"/>
        <w:ind w:left="720" w:hanging="432"/>
      </w:pPr>
      <w:r>
        <w:rPr>
          <w:rFonts w:ascii="Times New Roman" w:hAnsi="Times New Roman" w:cs="Times New Roman" w:eastAsia="Times New Roman"/>
        </w:rPr>
        <w:t xml:space="preserve">1.  </w:t>
      </w:r>
      <w:r>
        <w:rPr>
          <w:rFonts w:ascii="Times New Roman" w:hAnsi="Times New Roman" w:cs="Times New Roman" w:eastAsia="Times New Roman"/>
          <w:b/>
        </w:rPr>
        <w:t>Real data.</w:t>
      </w:r>
      <w:r>
        <w:rPr>
          <w:rFonts w:ascii="Times New Roman" w:hAnsi="Times New Roman" w:cs="Times New Roman" w:eastAsia="Times New Roman"/>
        </w:rPr>
        <w:t xml:space="preserve"> Replace the synthetic index with public macroeconomic series (inflation, unemployment, benchmark rates, GDP) as the abstract proposed, and retrain on a current, non-US household survey.</w:t>
      </w:r>
    </w:p>
    <w:p>
      <w:pPr>
        <w:spacing w:after="60"/>
        <w:ind w:left="720" w:hanging="432"/>
      </w:pPr>
      <w:r>
        <w:rPr>
          <w:rFonts w:ascii="Times New Roman" w:hAnsi="Times New Roman" w:cs="Times New Roman" w:eastAsia="Times New Roman"/>
        </w:rPr>
        <w:t xml:space="preserve">2.  </w:t>
      </w:r>
      <w:r>
        <w:rPr>
          <w:rFonts w:ascii="Times New Roman" w:hAnsi="Times New Roman" w:cs="Times New Roman" w:eastAsia="Times New Roman"/>
          <w:b/>
        </w:rPr>
        <w:t>Credit and distress targets.</w:t>
      </w:r>
      <w:r>
        <w:rPr>
          <w:rFonts w:ascii="Times New Roman" w:hAnsi="Times New Roman" w:cs="Times New Roman" w:eastAsia="Times New Roman"/>
        </w:rPr>
        <w:t xml:space="preserve"> Train on a labelled repayment or distress outcome and compare it with the income-based profile, with the base paper's entity-grouped and temporal validation.</w:t>
      </w:r>
    </w:p>
    <w:p>
      <w:pPr>
        <w:spacing w:after="60"/>
        <w:ind w:left="720" w:hanging="432"/>
      </w:pPr>
      <w:r>
        <w:rPr>
          <w:rFonts w:ascii="Times New Roman" w:hAnsi="Times New Roman" w:cs="Times New Roman" w:eastAsia="Times New Roman"/>
        </w:rPr>
        <w:t xml:space="preserve">3.  </w:t>
      </w:r>
      <w:r>
        <w:rPr>
          <w:rFonts w:ascii="Times New Roman" w:hAnsi="Times New Roman" w:cs="Times New Roman" w:eastAsia="Times New Roman"/>
          <w:b/>
        </w:rPr>
        <w:t>Fairness work.</w:t>
      </w:r>
      <w:r>
        <w:rPr>
          <w:rFonts w:ascii="Times New Roman" w:hAnsi="Times New Roman" w:cs="Times New Roman" w:eastAsia="Times New Roman"/>
        </w:rPr>
        <w:t xml:space="preserve"> Report error rates by sex, race and age group, test removing or masking sensitive inputs and apply a mitigation such as equalised odds post-processing.</w:t>
      </w:r>
    </w:p>
    <w:p>
      <w:pPr>
        <w:spacing w:after="60"/>
        <w:ind w:left="720" w:hanging="432"/>
      </w:pPr>
      <w:r>
        <w:rPr>
          <w:rFonts w:ascii="Times New Roman" w:hAnsi="Times New Roman" w:cs="Times New Roman" w:eastAsia="Times New Roman"/>
        </w:rPr>
        <w:t xml:space="preserve">4.  </w:t>
      </w:r>
      <w:r>
        <w:rPr>
          <w:rFonts w:ascii="Times New Roman" w:hAnsi="Times New Roman" w:cs="Times New Roman" w:eastAsia="Times New Roman"/>
          <w:b/>
        </w:rPr>
        <w:t>Calibration and thresholds.</w:t>
      </w:r>
      <w:r>
        <w:rPr>
          <w:rFonts w:ascii="Times New Roman" w:hAnsi="Times New Roman" w:cs="Times New Roman" w:eastAsia="Times New Roman"/>
        </w:rPr>
        <w:t xml:space="preserve"> Apply Platt or isotonic recalibration, add a validation set, search hyperparameters and test model differences for significance.</w:t>
      </w:r>
    </w:p>
    <w:p>
      <w:pPr>
        <w:spacing w:after="60"/>
        <w:ind w:left="720" w:hanging="432"/>
      </w:pPr>
      <w:r>
        <w:rPr>
          <w:rFonts w:ascii="Times New Roman" w:hAnsi="Times New Roman" w:cs="Times New Roman" w:eastAsia="Times New Roman"/>
        </w:rPr>
        <w:t xml:space="preserve">5.  </w:t>
      </w:r>
      <w:r>
        <w:rPr>
          <w:rFonts w:ascii="Times New Roman" w:hAnsi="Times New Roman" w:cs="Times New Roman" w:eastAsia="Times New Roman"/>
          <w:b/>
        </w:rPr>
        <w:t>Personal forecasting.</w:t>
      </w:r>
      <w:r>
        <w:rPr>
          <w:rFonts w:ascii="Times New Roman" w:hAnsi="Times New Roman" w:cs="Times New Roman" w:eastAsia="Times New Roman"/>
        </w:rPr>
        <w:t xml:space="preserve"> Let a user enter a short income and expense history and forecast it with a state-space or machine-learning model, with prediction intervals.</w:t>
      </w:r>
    </w:p>
    <w:p>
      <w:pPr>
        <w:spacing w:after="60"/>
        <w:ind w:left="720" w:hanging="432"/>
      </w:pPr>
      <w:r>
        <w:rPr>
          <w:rFonts w:ascii="Times New Roman" w:hAnsi="Times New Roman" w:cs="Times New Roman" w:eastAsia="Times New Roman"/>
        </w:rPr>
        <w:t xml:space="preserve">6.  </w:t>
      </w:r>
      <w:r>
        <w:rPr>
          <w:rFonts w:ascii="Times New Roman" w:hAnsi="Times New Roman" w:cs="Times New Roman" w:eastAsia="Times New Roman"/>
          <w:b/>
        </w:rPr>
        <w:t>Production hardening.</w:t>
      </w:r>
      <w:r>
        <w:rPr>
          <w:rFonts w:ascii="Times New Roman" w:hAnsi="Times New Roman" w:cs="Times New Roman" w:eastAsia="Times New Roman"/>
        </w:rPr>
        <w:t xml:space="preserve"> Real authentication, secret management, a database for optional history, containerised deployment of both services, and load and security testing.</w:t>
      </w:r>
    </w:p>
    <w:p>
      <w:pPr>
        <w:pStyle w:val="Heading1"/>
        <w:pageBreakBefore/>
      </w:pPr>
      <w:r>
        <w:t>REFERENCES</w:t>
      </w:r>
    </w:p>
    <w:p>
      <w:pPr>
        <w:spacing w:line="276" w:lineRule="auto" w:after="100"/>
        <w:ind w:left="648" w:hanging="648"/>
      </w:pPr>
      <w:r>
        <w:rPr>
          <w:rFonts w:ascii="Times New Roman" w:hAnsi="Times New Roman" w:cs="Times New Roman" w:eastAsia="Times New Roman"/>
          <w:sz w:val="20"/>
        </w:rPr>
        <w:t>[1]  Y. Kim and E. J. Sun, "An explainable machine learning framework for organizational financial distress detection: Evidence from Korean hospital panel data," IEEE Access, vol. 14, pp. 100337-100350, 2026, doi: 10.1109/ACCESS.2026.3709346.</w:t>
      </w:r>
    </w:p>
    <w:p>
      <w:pPr>
        <w:spacing w:line="276" w:lineRule="auto" w:after="100"/>
        <w:ind w:left="648" w:hanging="648"/>
      </w:pPr>
      <w:r>
        <w:rPr>
          <w:rFonts w:ascii="Times New Roman" w:hAnsi="Times New Roman" w:cs="Times New Roman" w:eastAsia="Times New Roman"/>
          <w:sz w:val="20"/>
        </w:rPr>
        <w:t>[2]  A. Abid, "Forecasting sovereign credit risk amidst a political crisis: A machine learning and deep learning approach," J. Risk Financial Manag., vol. 18, no. 6, Art. no. 300, Jun. 2025, doi: 10.3390/jrfm18060300.</w:t>
      </w:r>
    </w:p>
    <w:p>
      <w:pPr>
        <w:spacing w:line="276" w:lineRule="auto" w:after="100"/>
        <w:ind w:left="648" w:hanging="648"/>
      </w:pPr>
      <w:r>
        <w:rPr>
          <w:rFonts w:ascii="Times New Roman" w:hAnsi="Times New Roman" w:cs="Times New Roman" w:eastAsia="Times New Roman"/>
          <w:sz w:val="20"/>
        </w:rPr>
        <w:t>[3]  A. Maurino, "How data quality affects machine learning models for credit risk assessment," in Proc. Workshop AI Data Sci. Digit. Finance, held with ACM Int. Conf. AI Finance (ICAIF), Singapore, 2025.</w:t>
      </w:r>
    </w:p>
    <w:p>
      <w:pPr>
        <w:spacing w:line="276" w:lineRule="auto" w:after="100"/>
        <w:ind w:left="648" w:hanging="648"/>
      </w:pPr>
      <w:r>
        <w:rPr>
          <w:rFonts w:ascii="Times New Roman" w:hAnsi="Times New Roman" w:cs="Times New Roman" w:eastAsia="Times New Roman"/>
          <w:sz w:val="20"/>
        </w:rPr>
        <w:t>[4]  H. Zhang, J. Xu, J. He, and X. Fang, "Privacy-preserving credit risk prediction with alternative data," arXiv:2606.10333, Jun. 2026.</w:t>
      </w:r>
    </w:p>
    <w:p>
      <w:pPr>
        <w:spacing w:line="276" w:lineRule="auto" w:after="100"/>
        <w:ind w:left="648" w:hanging="648"/>
      </w:pPr>
      <w:r>
        <w:rPr>
          <w:rFonts w:ascii="Times New Roman" w:hAnsi="Times New Roman" w:cs="Times New Roman" w:eastAsia="Times New Roman"/>
          <w:sz w:val="20"/>
        </w:rPr>
        <w:t>[5]  E. I. Altman, "Financial ratios, discriminant analysis and the prediction of corporate bankruptcy," J. Finance, vol. 23, no. 4, pp. 589-609, Sep. 1968.</w:t>
      </w:r>
    </w:p>
    <w:p>
      <w:pPr>
        <w:spacing w:line="276" w:lineRule="auto" w:after="100"/>
        <w:ind w:left="648" w:hanging="648"/>
      </w:pPr>
      <w:r>
        <w:rPr>
          <w:rFonts w:ascii="Times New Roman" w:hAnsi="Times New Roman" w:cs="Times New Roman" w:eastAsia="Times New Roman"/>
          <w:sz w:val="20"/>
        </w:rPr>
        <w:t>[6]  J. A. Ohlson, "Financial ratios and the probabilistic prediction of bankruptcy," J. Accounting Res., vol. 18, no. 1, pp. 109-131, 1980.</w:t>
      </w:r>
    </w:p>
    <w:p>
      <w:pPr>
        <w:spacing w:line="276" w:lineRule="auto" w:after="100"/>
        <w:ind w:left="648" w:hanging="648"/>
      </w:pPr>
      <w:r>
        <w:rPr>
          <w:rFonts w:ascii="Times New Roman" w:hAnsi="Times New Roman" w:cs="Times New Roman" w:eastAsia="Times New Roman"/>
          <w:sz w:val="20"/>
        </w:rPr>
        <w:t>[7]  L. Breiman, "Random forests," Mach. Learn., vol. 45, no. 1, pp. 5-32, 2001.</w:t>
      </w:r>
    </w:p>
    <w:p>
      <w:pPr>
        <w:spacing w:line="276" w:lineRule="auto" w:after="100"/>
        <w:ind w:left="648" w:hanging="648"/>
      </w:pPr>
      <w:r>
        <w:rPr>
          <w:rFonts w:ascii="Times New Roman" w:hAnsi="Times New Roman" w:cs="Times New Roman" w:eastAsia="Times New Roman"/>
          <w:sz w:val="20"/>
        </w:rPr>
        <w:t>[8]  J. H. Friedman, "Greedy function approximation: A gradient boosting machine," Ann. Statist., vol. 29, no. 5, pp. 1189-1232, Oct. 2001.</w:t>
      </w:r>
    </w:p>
    <w:p>
      <w:pPr>
        <w:spacing w:line="276" w:lineRule="auto" w:after="100"/>
        <w:ind w:left="648" w:hanging="648"/>
      </w:pPr>
      <w:r>
        <w:rPr>
          <w:rFonts w:ascii="Times New Roman" w:hAnsi="Times New Roman" w:cs="Times New Roman" w:eastAsia="Times New Roman"/>
          <w:sz w:val="20"/>
        </w:rPr>
        <w:t>[9]  T. Chen and C. Guestrin, "XGBoost: A scalable tree boosting system," in Proc. 22nd ACM SIGKDD Int. Conf. Knowl. Discovery Data Mining, Aug. 2016, pp. 785-794.</w:t>
      </w:r>
    </w:p>
    <w:p>
      <w:pPr>
        <w:spacing w:line="276" w:lineRule="auto" w:after="100"/>
        <w:ind w:left="648" w:hanging="648"/>
      </w:pPr>
      <w:r>
        <w:rPr>
          <w:rFonts w:ascii="Times New Roman" w:hAnsi="Times New Roman" w:cs="Times New Roman" w:eastAsia="Times New Roman"/>
          <w:sz w:val="20"/>
        </w:rPr>
        <w:t>[10]  F. Barboza, H. Kimura, and E. Altman, "Machine learning models and bankruptcy prediction," Expert Syst. Appl., vol. 83, pp. 405-417, Oct. 2017.</w:t>
      </w:r>
    </w:p>
    <w:p>
      <w:pPr>
        <w:spacing w:line="276" w:lineRule="auto" w:after="100"/>
        <w:ind w:left="648" w:hanging="648"/>
      </w:pPr>
      <w:r>
        <w:rPr>
          <w:rFonts w:ascii="Times New Roman" w:hAnsi="Times New Roman" w:cs="Times New Roman" w:eastAsia="Times New Roman"/>
          <w:sz w:val="20"/>
        </w:rPr>
        <w:t>[11]  M. Zieba, S. K. Tomczak, and J. M. Tomczak, "Ensemble boosted trees with synthetic features generation in application to bankruptcy prediction," Expert Syst. Appl., vol. 58, pp. 93-101, Oct. 2016.</w:t>
      </w:r>
    </w:p>
    <w:p>
      <w:pPr>
        <w:spacing w:line="276" w:lineRule="auto" w:after="100"/>
        <w:ind w:left="648" w:hanging="648"/>
      </w:pPr>
      <w:r>
        <w:rPr>
          <w:rFonts w:ascii="Times New Roman" w:hAnsi="Times New Roman" w:cs="Times New Roman" w:eastAsia="Times New Roman"/>
          <w:sz w:val="20"/>
        </w:rPr>
        <w:t>[12]  M. Moscatelli, F. Parlapiano, S. Narizzano, and G. Viggiano, "Corporate default forecasting with machine learning," Expert Syst. Appl., vol. 161, Art. no. 113567, Dec. 2020.</w:t>
      </w:r>
    </w:p>
    <w:p>
      <w:pPr>
        <w:spacing w:line="276" w:lineRule="auto" w:after="100"/>
        <w:ind w:left="648" w:hanging="648"/>
      </w:pPr>
      <w:r>
        <w:rPr>
          <w:rFonts w:ascii="Times New Roman" w:hAnsi="Times New Roman" w:cs="Times New Roman" w:eastAsia="Times New Roman"/>
          <w:sz w:val="20"/>
        </w:rPr>
        <w:t>[13]  F. Mai, S. Tian, C. Lee, and L. Ma, "Deep learning models for bankruptcy prediction using textual disclosures," Eur. J. Oper. Res., vol. 272, no. 2, pp. 743-758, 2019.</w:t>
      </w:r>
    </w:p>
    <w:p>
      <w:pPr>
        <w:spacing w:line="276" w:lineRule="auto" w:after="100"/>
        <w:ind w:left="648" w:hanging="648"/>
      </w:pPr>
      <w:r>
        <w:rPr>
          <w:rFonts w:ascii="Times New Roman" w:hAnsi="Times New Roman" w:cs="Times New Roman" w:eastAsia="Times New Roman"/>
          <w:sz w:val="20"/>
        </w:rPr>
        <w:t>[14]  S. M. Lundberg and S.-I. Lee, "A unified approach to interpreting model predictions," in Proc. Adv. Neural Inf. Process. Syst., vol. 30, 2017, pp. 4765-4774.</w:t>
      </w:r>
    </w:p>
    <w:p>
      <w:pPr>
        <w:spacing w:line="276" w:lineRule="auto" w:after="100"/>
        <w:ind w:left="648" w:hanging="648"/>
      </w:pPr>
      <w:r>
        <w:rPr>
          <w:rFonts w:ascii="Times New Roman" w:hAnsi="Times New Roman" w:cs="Times New Roman" w:eastAsia="Times New Roman"/>
          <w:sz w:val="20"/>
        </w:rPr>
        <w:t>[15]  S. M. Lundberg et al., "From local explanations to global understanding with explainable AI for trees," Nature Mach. Intell., vol. 2, no. 1, pp. 56-67, Jan. 2020.</w:t>
      </w:r>
    </w:p>
    <w:p>
      <w:pPr>
        <w:spacing w:line="276" w:lineRule="auto" w:after="100"/>
        <w:ind w:left="648" w:hanging="648"/>
      </w:pPr>
      <w:r>
        <w:rPr>
          <w:rFonts w:ascii="Times New Roman" w:hAnsi="Times New Roman" w:cs="Times New Roman" w:eastAsia="Times New Roman"/>
          <w:sz w:val="20"/>
        </w:rPr>
        <w:t>[16]  M. T. Ribeiro, S. Singh, and C. Guestrin, "'Why should I trust you?': Explaining the predictions of any classifier," in Proc. 22nd ACM SIGKDD Int. Conf. Knowl. Discovery Data Mining, 2016, pp. 1135-1144.</w:t>
      </w:r>
    </w:p>
    <w:p>
      <w:pPr>
        <w:spacing w:line="276" w:lineRule="auto" w:after="100"/>
        <w:ind w:left="648" w:hanging="648"/>
      </w:pPr>
      <w:r>
        <w:rPr>
          <w:rFonts w:ascii="Times New Roman" w:hAnsi="Times New Roman" w:cs="Times New Roman" w:eastAsia="Times New Roman"/>
          <w:sz w:val="20"/>
        </w:rPr>
        <w:t>[17]  N. Bussmann, P. Giudici, D. Marinelli, and J. Papenbrock, "Explainable machine learning in credit risk management," Comput. Econ., vol. 57, no. 1, pp. 203-216, Jan. 2021.</w:t>
      </w:r>
    </w:p>
    <w:p>
      <w:pPr>
        <w:spacing w:line="276" w:lineRule="auto" w:after="100"/>
        <w:ind w:left="648" w:hanging="648"/>
      </w:pPr>
      <w:r>
        <w:rPr>
          <w:rFonts w:ascii="Times New Roman" w:hAnsi="Times New Roman" w:cs="Times New Roman" w:eastAsia="Times New Roman"/>
          <w:sz w:val="20"/>
        </w:rPr>
        <w:t>[18]  A. Gramegna and P. Giudici, "SHAP and LIME: An evaluation of discriminative power in credit risk," Frontiers Artif. Intell., vol. 4, Art. no. 752558, Sep. 2021.</w:t>
      </w:r>
    </w:p>
    <w:p>
      <w:pPr>
        <w:spacing w:line="276" w:lineRule="auto" w:after="100"/>
        <w:ind w:left="648" w:hanging="648"/>
      </w:pPr>
      <w:r>
        <w:rPr>
          <w:rFonts w:ascii="Times New Roman" w:hAnsi="Times New Roman" w:cs="Times New Roman" w:eastAsia="Times New Roman"/>
          <w:sz w:val="20"/>
        </w:rPr>
        <w:t>[19]  J. Cerneviciene and A. Kabasinskas, "Explainable artificial intelligence (XAI) in finance: A systematic literature review," Artif. Intell. Rev., vol. 57, no. 8, pp. 1-80, Jul. 2024.</w:t>
      </w:r>
    </w:p>
    <w:p>
      <w:pPr>
        <w:spacing w:line="276" w:lineRule="auto" w:after="100"/>
        <w:ind w:left="648" w:hanging="648"/>
      </w:pPr>
      <w:r>
        <w:rPr>
          <w:rFonts w:ascii="Times New Roman" w:hAnsi="Times New Roman" w:cs="Times New Roman" w:eastAsia="Times New Roman"/>
          <w:sz w:val="20"/>
        </w:rPr>
        <w:t>[20]  A. Barredo Arrieta et al., "Explainable artificial intelligence (XAI): Concepts, taxonomies, opportunities and challenges toward responsible AI," Inf. Fusion, vol. 58, pp. 82-115, Jun. 2020.</w:t>
      </w:r>
    </w:p>
    <w:p>
      <w:pPr>
        <w:spacing w:line="276" w:lineRule="auto" w:after="100"/>
        <w:ind w:left="648" w:hanging="648"/>
      </w:pPr>
      <w:r>
        <w:rPr>
          <w:rFonts w:ascii="Times New Roman" w:hAnsi="Times New Roman" w:cs="Times New Roman" w:eastAsia="Times New Roman"/>
          <w:sz w:val="20"/>
        </w:rPr>
        <w:t>[21]  F. Doshi-Velez and B. Kim, "Towards a rigorous science of interpretable machine learning," arXiv:1702.08608, 2017.</w:t>
      </w:r>
    </w:p>
    <w:p>
      <w:pPr>
        <w:spacing w:line="276" w:lineRule="auto" w:after="100"/>
        <w:ind w:left="648" w:hanging="648"/>
      </w:pPr>
      <w:r>
        <w:rPr>
          <w:rFonts w:ascii="Times New Roman" w:hAnsi="Times New Roman" w:cs="Times New Roman" w:eastAsia="Times New Roman"/>
          <w:sz w:val="20"/>
        </w:rPr>
        <w:t>[22]  C. Molnar, G. Casalicchio, and B. Bischl, "Interpretable machine learning - A brief history, state-of-the-art and challenges," in Proc. ECML PKDD Workshops, 2020, pp. 417-431.</w:t>
      </w:r>
    </w:p>
    <w:p>
      <w:pPr>
        <w:spacing w:line="276" w:lineRule="auto" w:after="100"/>
        <w:ind w:left="648" w:hanging="648"/>
      </w:pPr>
      <w:r>
        <w:rPr>
          <w:rFonts w:ascii="Times New Roman" w:hAnsi="Times New Roman" w:cs="Times New Roman" w:eastAsia="Times New Roman"/>
          <w:sz w:val="20"/>
        </w:rPr>
        <w:t>[23]  L. Grinsztajn, E. Oyallon, and G. Varoquaux, "Why do tree-based models still outperform deep learning on typical tabular data?" in Proc. Adv. Neural Inf. Process. Syst., 2022, pp. 507-520.</w:t>
      </w:r>
    </w:p>
    <w:p>
      <w:pPr>
        <w:spacing w:line="276" w:lineRule="auto" w:after="100"/>
        <w:ind w:left="648" w:hanging="648"/>
      </w:pPr>
      <w:r>
        <w:rPr>
          <w:rFonts w:ascii="Times New Roman" w:hAnsi="Times New Roman" w:cs="Times New Roman" w:eastAsia="Times New Roman"/>
          <w:sz w:val="20"/>
        </w:rPr>
        <w:t>[24]  F. Pedregosa et al., "Scikit-learn: Machine learning in Python," J. Mach. Learn. Res., vol. 12, pp. 2825-2830, 2011.</w:t>
      </w:r>
    </w:p>
    <w:p>
      <w:pPr>
        <w:spacing w:line="276" w:lineRule="auto" w:after="100"/>
        <w:ind w:left="648" w:hanging="648"/>
      </w:pPr>
      <w:r>
        <w:rPr>
          <w:rFonts w:ascii="Times New Roman" w:hAnsi="Times New Roman" w:cs="Times New Roman" w:eastAsia="Times New Roman"/>
          <w:sz w:val="20"/>
        </w:rPr>
        <w:t>[25]  T. Hastie, R. Tibshirani, and J. Friedman, The Elements of Statistical Learning: Data Mining, Inference, and Prediction, 2nd ed. New York, NY, USA: Springer, 2009.</w:t>
      </w:r>
    </w:p>
    <w:p>
      <w:pPr>
        <w:spacing w:line="276" w:lineRule="auto" w:after="100"/>
        <w:ind w:left="648" w:hanging="648"/>
      </w:pPr>
      <w:r>
        <w:rPr>
          <w:rFonts w:ascii="Times New Roman" w:hAnsi="Times New Roman" w:cs="Times New Roman" w:eastAsia="Times New Roman"/>
          <w:sz w:val="20"/>
        </w:rPr>
        <w:t>[26]  M. Stone, "Cross-validatory choice and assessment of statistical predictions," J. Roy. Stat. Soc., Ser. B, vol. 36, no. 2, pp. 111-133, 1974.</w:t>
      </w:r>
    </w:p>
    <w:p>
      <w:pPr>
        <w:spacing w:line="276" w:lineRule="auto" w:after="100"/>
        <w:ind w:left="648" w:hanging="648"/>
      </w:pPr>
      <w:r>
        <w:rPr>
          <w:rFonts w:ascii="Times New Roman" w:hAnsi="Times New Roman" w:cs="Times New Roman" w:eastAsia="Times New Roman"/>
          <w:sz w:val="20"/>
        </w:rPr>
        <w:t>[27]  D. W. Hosmer, S. Lemeshow, and R. X. Sturdivant, Applied Logistic Regression, 3rd ed. Hoboken, NJ, USA: Wiley, 2013.</w:t>
      </w:r>
    </w:p>
    <w:p>
      <w:pPr>
        <w:spacing w:line="276" w:lineRule="auto" w:after="100"/>
        <w:ind w:left="648" w:hanging="648"/>
      </w:pPr>
      <w:r>
        <w:rPr>
          <w:rFonts w:ascii="Times New Roman" w:hAnsi="Times New Roman" w:cs="Times New Roman" w:eastAsia="Times New Roman"/>
          <w:sz w:val="20"/>
        </w:rPr>
        <w:t>[28]  T. Fawcett, "An introduction to ROC analysis," Pattern Recognit. Lett., vol. 27, no. 8, pp. 861-874, Jun. 2006.</w:t>
      </w:r>
    </w:p>
    <w:p>
      <w:pPr>
        <w:spacing w:line="276" w:lineRule="auto" w:after="100"/>
        <w:ind w:left="648" w:hanging="648"/>
      </w:pPr>
      <w:r>
        <w:rPr>
          <w:rFonts w:ascii="Times New Roman" w:hAnsi="Times New Roman" w:cs="Times New Roman" w:eastAsia="Times New Roman"/>
          <w:sz w:val="20"/>
        </w:rPr>
        <w:t>[29]  J. A. Hanley and B. J. McNeil, "The meaning and use of the area under a receiver operating characteristic (ROC) curve," Radiology, vol. 143, no. 1, pp. 29-36, 1982.</w:t>
      </w:r>
    </w:p>
    <w:p>
      <w:pPr>
        <w:spacing w:line="276" w:lineRule="auto" w:after="100"/>
        <w:ind w:left="648" w:hanging="648"/>
      </w:pPr>
      <w:r>
        <w:rPr>
          <w:rFonts w:ascii="Times New Roman" w:hAnsi="Times New Roman" w:cs="Times New Roman" w:eastAsia="Times New Roman"/>
          <w:sz w:val="20"/>
        </w:rPr>
        <w:t>[30]  E. R. DeLong, D. M. DeLong, and D. L. Clarke-Pearson, "Comparing the areas under two or more correlated receiver operating characteristic curves: A nonparametric approach," Biometrics, vol. 44, no. 3, pp. 837-845, Sep. 1988.</w:t>
      </w:r>
    </w:p>
    <w:p>
      <w:pPr>
        <w:spacing w:line="276" w:lineRule="auto" w:after="100"/>
        <w:ind w:left="648" w:hanging="648"/>
      </w:pPr>
      <w:r>
        <w:rPr>
          <w:rFonts w:ascii="Times New Roman" w:hAnsi="Times New Roman" w:cs="Times New Roman" w:eastAsia="Times New Roman"/>
          <w:sz w:val="20"/>
        </w:rPr>
        <w:t>[31]  R. Kohavi, "Scaling up the accuracy of Naive-Bayes classifiers: A decision-tree hybrid," in Proc. 2nd Int. Conf. Knowl. Discovery Data Mining (KDD), 1996, pp. 202-207.</w:t>
      </w:r>
    </w:p>
    <w:p>
      <w:pPr>
        <w:spacing w:line="276" w:lineRule="auto" w:after="100"/>
        <w:ind w:left="648" w:hanging="648"/>
      </w:pPr>
      <w:r>
        <w:rPr>
          <w:rFonts w:ascii="Times New Roman" w:hAnsi="Times New Roman" w:cs="Times New Roman" w:eastAsia="Times New Roman"/>
          <w:sz w:val="20"/>
        </w:rPr>
        <w:t>[32]  UCI Machine Learning Repository, "Adult (Census Income) data set." [Online]. Available: https://archive.ics.uci.edu/dataset/20/census+income</w:t>
      </w:r>
    </w:p>
    <w:p>
      <w:pPr>
        <w:spacing w:line="276" w:lineRule="auto" w:after="100"/>
        <w:ind w:left="648" w:hanging="648"/>
      </w:pPr>
      <w:r>
        <w:rPr>
          <w:rFonts w:ascii="Times New Roman" w:hAnsi="Times New Roman" w:cs="Times New Roman" w:eastAsia="Times New Roman"/>
          <w:sz w:val="20"/>
        </w:rPr>
        <w:t>[33]  P. R. Winters, "Forecasting sales by exponentially weighted moving averages," Manage. Sci., vol. 6, no. 3, pp. 324-342, Apr. 1960.</w:t>
      </w:r>
    </w:p>
    <w:p>
      <w:pPr>
        <w:spacing w:line="276" w:lineRule="auto" w:after="100"/>
        <w:ind w:left="648" w:hanging="648"/>
      </w:pPr>
      <w:r>
        <w:rPr>
          <w:rFonts w:ascii="Times New Roman" w:hAnsi="Times New Roman" w:cs="Times New Roman" w:eastAsia="Times New Roman"/>
          <w:sz w:val="20"/>
        </w:rPr>
        <w:t>[34]  C. C. Holt, "Forecasting seasonals and trends by exponentially weighted moving averages," Int. J. Forecasting, vol. 20, no. 1, pp. 5-10, 2004.</w:t>
      </w:r>
    </w:p>
    <w:p>
      <w:pPr>
        <w:spacing w:line="276" w:lineRule="auto" w:after="100"/>
        <w:ind w:left="648" w:hanging="648"/>
      </w:pPr>
      <w:r>
        <w:rPr>
          <w:rFonts w:ascii="Times New Roman" w:hAnsi="Times New Roman" w:cs="Times New Roman" w:eastAsia="Times New Roman"/>
          <w:sz w:val="20"/>
        </w:rPr>
        <w:t>[35]  R. J. Hyndman and A. B. Koehler, "Another look at measures of forecast accuracy," Int. J. Forecasting, vol. 22, no. 4, pp. 679-688, 2006.</w:t>
      </w:r>
    </w:p>
    <w:p>
      <w:pPr>
        <w:spacing w:line="276" w:lineRule="auto" w:after="100"/>
        <w:ind w:left="648" w:hanging="648"/>
      </w:pPr>
      <w:r>
        <w:rPr>
          <w:rFonts w:ascii="Times New Roman" w:hAnsi="Times New Roman" w:cs="Times New Roman" w:eastAsia="Times New Roman"/>
          <w:sz w:val="20"/>
        </w:rPr>
        <w:t>[36]  R. J. Hyndman and G. Athanasopoulos, Forecasting: Principles and Practice, 3rd ed. Melbourne, Australia: OTexts, 2021.</w:t>
      </w:r>
    </w:p>
    <w:p>
      <w:pPr>
        <w:spacing w:line="276" w:lineRule="auto" w:after="100"/>
        <w:ind w:left="648" w:hanging="648"/>
      </w:pPr>
      <w:r>
        <w:rPr>
          <w:rFonts w:ascii="Times New Roman" w:hAnsi="Times New Roman" w:cs="Times New Roman" w:eastAsia="Times New Roman"/>
          <w:sz w:val="20"/>
        </w:rPr>
        <w:t>[37]  C. Guo, G. Pleiss, Y. Sun, and K. Q. Weinberger, "On calibration of modern neural networks," in Proc. Int. Conf. Mach. Learn. (ICML), 2017, pp. 1321-1330.</w:t>
      </w:r>
    </w:p>
    <w:p>
      <w:pPr>
        <w:spacing w:line="276" w:lineRule="auto" w:after="100"/>
        <w:ind w:left="648" w:hanging="648"/>
      </w:pPr>
      <w:r>
        <w:rPr>
          <w:rFonts w:ascii="Times New Roman" w:hAnsi="Times New Roman" w:cs="Times New Roman" w:eastAsia="Times New Roman"/>
          <w:sz w:val="20"/>
        </w:rPr>
        <w:t>[38]  A. Niculescu-Mizil and R. Caruana, "Predicting good probabilities with supervised learning," in Proc. 22nd Int. Conf. Mach. Learn. (ICML), 2005, pp. 625-632.</w:t>
      </w:r>
    </w:p>
    <w:p>
      <w:pPr>
        <w:spacing w:line="276" w:lineRule="auto" w:after="100"/>
        <w:ind w:left="648" w:hanging="648"/>
      </w:pPr>
      <w:r>
        <w:rPr>
          <w:rFonts w:ascii="Times New Roman" w:hAnsi="Times New Roman" w:cs="Times New Roman" w:eastAsia="Times New Roman"/>
          <w:sz w:val="20"/>
        </w:rPr>
        <w:t>[39]  M. Hardt, E. Price, and N. Srebro, "Equality of opportunity in supervised learning," in Proc. Adv. Neural Inf. Process. Syst., vol. 29, 2016, pp. 3315-3323.</w:t>
      </w:r>
    </w:p>
    <w:p>
      <w:pPr>
        <w:spacing w:line="276" w:lineRule="auto" w:after="100"/>
        <w:ind w:left="648" w:hanging="648"/>
      </w:pPr>
      <w:r>
        <w:rPr>
          <w:rFonts w:ascii="Times New Roman" w:hAnsi="Times New Roman" w:cs="Times New Roman" w:eastAsia="Times New Roman"/>
          <w:sz w:val="20"/>
        </w:rPr>
        <w:t>[40]  N. Mehrabi, F. Morstatter, N. Saxena, K. Lerman, and A. Galstyan, "A survey on bias and fairness in machine learning," ACM Comput. Surv., vol. 54, no. 6, Art. no. 115, 2021.</w:t>
      </w:r>
    </w:p>
    <w:p>
      <w:pPr>
        <w:spacing w:line="276" w:lineRule="auto" w:after="100"/>
        <w:ind w:left="648" w:hanging="648"/>
      </w:pPr>
      <w:r>
        <w:rPr>
          <w:rFonts w:ascii="Times New Roman" w:hAnsi="Times New Roman" w:cs="Times New Roman" w:eastAsia="Times New Roman"/>
          <w:sz w:val="20"/>
        </w:rPr>
        <w:t>[41]  S. Seabold and J. Perktold, "Statsmodels: Econometric and statistical modeling with Python," in Proc. 9th Python Sci. Conf. (SciPy), 2010, pp. 92-96.</w:t>
      </w:r>
    </w:p>
    <w:p>
      <w:pPr>
        <w:spacing w:line="276" w:lineRule="auto" w:after="100"/>
        <w:ind w:left="648" w:hanging="648"/>
      </w:pPr>
      <w:r>
        <w:rPr>
          <w:rFonts w:ascii="Times New Roman" w:hAnsi="Times New Roman" w:cs="Times New Roman" w:eastAsia="Times New Roman"/>
          <w:sz w:val="20"/>
        </w:rPr>
        <w:t>[42]  Pallets Projects, "Flask: Web development, one drop at a time." [Online]. Available: https://flask.palletsprojects.com</w:t>
      </w:r>
    </w:p>
    <w:p>
      <w:pPr>
        <w:spacing w:line="276" w:lineRule="auto" w:after="100"/>
        <w:ind w:left="648" w:hanging="648"/>
      </w:pPr>
      <w:r>
        <w:rPr>
          <w:rFonts w:ascii="Times New Roman" w:hAnsi="Times New Roman" w:cs="Times New Roman" w:eastAsia="Times New Roman"/>
          <w:sz w:val="20"/>
        </w:rPr>
        <w:t>[43]  Meta Platforms, Inc., "React: The library for web and native user interfaces." [Online]. Available: https://react.dev</w:t>
      </w:r>
    </w:p>
    <w:p>
      <w:pPr>
        <w:spacing w:line="276" w:lineRule="auto" w:after="100"/>
        <w:ind w:left="648" w:hanging="648"/>
      </w:pPr>
      <w:r>
        <w:rPr>
          <w:rFonts w:ascii="Times New Roman" w:hAnsi="Times New Roman" w:cs="Times New Roman" w:eastAsia="Times New Roman"/>
          <w:sz w:val="20"/>
        </w:rPr>
        <w:t>[44]  Vite contributors, "Vite: Next generation frontend tooling." [Online]. Available: https://vite.dev</w:t>
      </w:r>
    </w:p>
    <w:p>
      <w:pPr>
        <w:spacing w:line="276" w:lineRule="auto" w:after="100"/>
        <w:ind w:left="648" w:hanging="648"/>
      </w:pPr>
      <w:r>
        <w:rPr>
          <w:rFonts w:ascii="Times New Roman" w:hAnsi="Times New Roman" w:cs="Times New Roman" w:eastAsia="Times New Roman"/>
          <w:sz w:val="20"/>
        </w:rPr>
        <w:t>[45]  "Credit and financial cycle synchronization: Impact on sovereign credit risk," 2025 (entry recorded in the batch literature survey; not independently verified).</w:t>
      </w:r>
    </w:p>
    <w:p>
      <w:pPr>
        <w:spacing w:line="276" w:lineRule="auto" w:after="100"/>
        <w:ind w:left="648" w:hanging="648"/>
      </w:pPr>
      <w:r>
        <w:rPr>
          <w:rFonts w:ascii="Times New Roman" w:hAnsi="Times New Roman" w:cs="Times New Roman" w:eastAsia="Times New Roman"/>
          <w:sz w:val="20"/>
        </w:rPr>
        <w:t>[46]  "Financial and credit risk research," 2024 (entry recorded in the batch literature survey; not independently verified).</w:t>
      </w:r>
    </w:p>
    <w:p>
      <w:pPr>
        <w:spacing w:line="276" w:lineRule="auto" w:after="100"/>
        <w:ind w:left="648" w:hanging="648"/>
      </w:pPr>
      <w:r>
        <w:rPr>
          <w:rFonts w:ascii="Times New Roman" w:hAnsi="Times New Roman" w:cs="Times New Roman" w:eastAsia="Times New Roman"/>
          <w:sz w:val="20"/>
        </w:rPr>
        <w:t>[47]  "Design of a multimodal credit risk forecasting system for financial text analysis," in Proc. 2nd Int. Symp. Integr. Circuit Design Integr. Syst., 2025 (entry recorded in the batch literature survey; not independently verified).</w:t>
      </w:r>
    </w:p>
    <w:sectPr w:rsidR="00FC693F" w:rsidRPr="0006063C" w:rsidSect="00034616">
      <w:footerReference w:type="default" r:id="rId9"/>
      <w:head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FinSight AI  |  Conclusion, Future Scope and References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40"/>
      <w:ind w:left="0"/>
      <w:jc w:val="left"/>
    </w:pPr>
    <w:rPr>
      <w:rFonts w:ascii="Times New Roman" w:hAnsi="Times New Roman"/>
      <w:sz w:val="22"/>
    </w:rPr>
  </w:style>
  <w:style w:type="paragraph" w:customStyle="1" w:styleId="TOC2">
    <w:name w:val="TOC 2"/>
    <w:basedOn w:val="Normal"/>
    <w:pPr>
      <w:spacing w:line="240" w:lineRule="auto" w:after="40"/>
      <w:ind w:left="360"/>
      <w:jc w:val="left"/>
    </w:pPr>
    <w:rPr>
      <w:rFonts w:ascii="Times New Roman" w:hAnsi="Times New Roman"/>
      <w:sz w:val="22"/>
    </w:rPr>
  </w:style>
  <w:style w:type="paragraph" w:customStyle="1" w:styleId="TableofFigures">
    <w:name w:val="Table of Figures"/>
    <w:basedOn w:val="Normal"/>
    <w:pPr>
      <w:spacing w:line="240" w:lineRule="auto" w:after="40"/>
      <w:ind w:left="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