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458A" w:rsidRDefault="00AA3AFA">
      <w:pPr>
        <w:spacing w:after="160"/>
        <w:jc w:val="center"/>
      </w:pPr>
      <w:bookmarkStart w:id="0" w:name="_GoBack"/>
      <w:bookmarkEnd w:id="0"/>
      <w:r>
        <w:rPr>
          <w:rFonts w:cs="Times New Roman"/>
          <w:sz w:val="48"/>
        </w:rPr>
        <w:t>FinSight AI: Explainable Financial Profiling from Demographic Data with XGBoost, SHAP and Holt-Winters Forecasting</w:t>
      </w:r>
    </w:p>
    <w:tbl>
      <w:tblPr>
        <w:tblW w:w="0" w:type="auto"/>
        <w:jc w:val="center"/>
        <w:tblLayout w:type="fixed"/>
        <w:tblLook w:val="04A0" w:firstRow="1" w:lastRow="0" w:firstColumn="1" w:lastColumn="0" w:noHBand="0" w:noVBand="1"/>
      </w:tblPr>
      <w:tblGrid>
        <w:gridCol w:w="2051"/>
        <w:gridCol w:w="2051"/>
        <w:gridCol w:w="2051"/>
        <w:gridCol w:w="2051"/>
        <w:gridCol w:w="2051"/>
      </w:tblGrid>
      <w:tr w:rsidR="007F458A">
        <w:trPr>
          <w:jc w:val="center"/>
        </w:trPr>
        <w:tc>
          <w:tcPr>
            <w:tcW w:w="2051" w:type="dxa"/>
          </w:tcPr>
          <w:p w:rsidR="007F458A" w:rsidRDefault="00AA3AFA">
            <w:pPr>
              <w:jc w:val="center"/>
            </w:pPr>
            <w:r>
              <w:rPr>
                <w:rFonts w:cs="Times New Roman"/>
                <w:b/>
                <w:sz w:val="18"/>
              </w:rPr>
              <w:t>Mohd Ahmed</w:t>
            </w:r>
          </w:p>
          <w:p w:rsidR="007F458A" w:rsidRDefault="00AA3AFA">
            <w:pPr>
              <w:jc w:val="center"/>
            </w:pPr>
            <w:r>
              <w:rPr>
                <w:rFonts w:cs="Times New Roman"/>
                <w:sz w:val="18"/>
              </w:rPr>
              <w:t>Dept. of Computer Science and Engineering</w:t>
            </w:r>
          </w:p>
          <w:p w:rsidR="007F458A" w:rsidRDefault="00AA3AFA">
            <w:pPr>
              <w:jc w:val="center"/>
            </w:pPr>
            <w:r>
              <w:rPr>
                <w:rFonts w:cs="Times New Roman"/>
                <w:sz w:val="18"/>
              </w:rPr>
              <w:t>TKR College of Engineering and Technology (Autonomous)</w:t>
            </w:r>
          </w:p>
          <w:p w:rsidR="007F458A" w:rsidRDefault="00AA3AFA">
            <w:pPr>
              <w:jc w:val="center"/>
            </w:pPr>
            <w:r>
              <w:rPr>
                <w:rFonts w:cs="Times New Roman"/>
                <w:sz w:val="18"/>
              </w:rPr>
              <w:t>Hyderabad, India</w:t>
            </w:r>
          </w:p>
          <w:p w:rsidR="007F458A" w:rsidRDefault="00AA3AFA">
            <w:pPr>
              <w:jc w:val="center"/>
            </w:pPr>
            <w:r>
              <w:rPr>
                <w:rFonts w:cs="Times New Roman"/>
                <w:sz w:val="18"/>
              </w:rPr>
              <w:t>[EMAIL]</w:t>
            </w:r>
          </w:p>
        </w:tc>
        <w:tc>
          <w:tcPr>
            <w:tcW w:w="2051" w:type="dxa"/>
          </w:tcPr>
          <w:p w:rsidR="007F458A" w:rsidRDefault="00AA3AFA">
            <w:pPr>
              <w:jc w:val="center"/>
            </w:pPr>
            <w:r>
              <w:rPr>
                <w:rFonts w:cs="Times New Roman"/>
                <w:b/>
                <w:sz w:val="18"/>
              </w:rPr>
              <w:t xml:space="preserve">Manne </w:t>
            </w:r>
            <w:r>
              <w:rPr>
                <w:rFonts w:cs="Times New Roman"/>
                <w:b/>
                <w:sz w:val="18"/>
              </w:rPr>
              <w:t>Upender</w:t>
            </w:r>
          </w:p>
          <w:p w:rsidR="007F458A" w:rsidRDefault="00AA3AFA">
            <w:pPr>
              <w:jc w:val="center"/>
            </w:pPr>
            <w:r>
              <w:rPr>
                <w:rFonts w:cs="Times New Roman"/>
                <w:sz w:val="18"/>
              </w:rPr>
              <w:t>Dept. of Computer Science and Engineering</w:t>
            </w:r>
          </w:p>
          <w:p w:rsidR="007F458A" w:rsidRDefault="00AA3AFA">
            <w:pPr>
              <w:jc w:val="center"/>
            </w:pPr>
            <w:r>
              <w:rPr>
                <w:rFonts w:cs="Times New Roman"/>
                <w:sz w:val="18"/>
              </w:rPr>
              <w:t>TKR College of Engineering and Technology (Autonomous)</w:t>
            </w:r>
          </w:p>
          <w:p w:rsidR="007F458A" w:rsidRDefault="00AA3AFA">
            <w:pPr>
              <w:jc w:val="center"/>
            </w:pPr>
            <w:r>
              <w:rPr>
                <w:rFonts w:cs="Times New Roman"/>
                <w:sz w:val="18"/>
              </w:rPr>
              <w:t>Hyderabad, India</w:t>
            </w:r>
          </w:p>
          <w:p w:rsidR="007F458A" w:rsidRDefault="00AA3AFA">
            <w:pPr>
              <w:jc w:val="center"/>
            </w:pPr>
            <w:r>
              <w:rPr>
                <w:rFonts w:cs="Times New Roman"/>
                <w:sz w:val="18"/>
              </w:rPr>
              <w:t>[EMAIL]</w:t>
            </w:r>
          </w:p>
        </w:tc>
        <w:tc>
          <w:tcPr>
            <w:tcW w:w="2051" w:type="dxa"/>
          </w:tcPr>
          <w:p w:rsidR="007F458A" w:rsidRDefault="00AA3AFA">
            <w:pPr>
              <w:jc w:val="center"/>
            </w:pPr>
            <w:r>
              <w:rPr>
                <w:rFonts w:cs="Times New Roman"/>
                <w:b/>
                <w:sz w:val="18"/>
              </w:rPr>
              <w:t>Padala Rajesh</w:t>
            </w:r>
          </w:p>
          <w:p w:rsidR="007F458A" w:rsidRDefault="00AA3AFA">
            <w:pPr>
              <w:jc w:val="center"/>
            </w:pPr>
            <w:r>
              <w:rPr>
                <w:rFonts w:cs="Times New Roman"/>
                <w:sz w:val="18"/>
              </w:rPr>
              <w:t>Dept. of Computer Science and Engineering</w:t>
            </w:r>
          </w:p>
          <w:p w:rsidR="007F458A" w:rsidRDefault="00AA3AFA">
            <w:pPr>
              <w:jc w:val="center"/>
            </w:pPr>
            <w:r>
              <w:rPr>
                <w:rFonts w:cs="Times New Roman"/>
                <w:sz w:val="18"/>
              </w:rPr>
              <w:t>TKR College of Engineering and Technology (Autonomous)</w:t>
            </w:r>
          </w:p>
          <w:p w:rsidR="007F458A" w:rsidRDefault="00AA3AFA">
            <w:pPr>
              <w:jc w:val="center"/>
            </w:pPr>
            <w:r>
              <w:rPr>
                <w:rFonts w:cs="Times New Roman"/>
                <w:sz w:val="18"/>
              </w:rPr>
              <w:t>Hyderabad, Indi</w:t>
            </w:r>
            <w:r>
              <w:rPr>
                <w:rFonts w:cs="Times New Roman"/>
                <w:sz w:val="18"/>
              </w:rPr>
              <w:t>a</w:t>
            </w:r>
          </w:p>
          <w:p w:rsidR="007F458A" w:rsidRDefault="00AA3AFA">
            <w:pPr>
              <w:jc w:val="center"/>
            </w:pPr>
            <w:r>
              <w:rPr>
                <w:rFonts w:cs="Times New Roman"/>
                <w:sz w:val="18"/>
              </w:rPr>
              <w:t>[EMAIL]</w:t>
            </w:r>
          </w:p>
        </w:tc>
        <w:tc>
          <w:tcPr>
            <w:tcW w:w="2051" w:type="dxa"/>
          </w:tcPr>
          <w:p w:rsidR="007F458A" w:rsidRDefault="00AA3AFA">
            <w:pPr>
              <w:jc w:val="center"/>
            </w:pPr>
            <w:r>
              <w:rPr>
                <w:rFonts w:cs="Times New Roman"/>
                <w:b/>
                <w:sz w:val="18"/>
              </w:rPr>
              <w:t>Madagouni Harshavardhan Goud</w:t>
            </w:r>
          </w:p>
          <w:p w:rsidR="007F458A" w:rsidRDefault="00AA3AFA">
            <w:pPr>
              <w:jc w:val="center"/>
            </w:pPr>
            <w:r>
              <w:rPr>
                <w:rFonts w:cs="Times New Roman"/>
                <w:sz w:val="18"/>
              </w:rPr>
              <w:t>Dept. of Computer Science and Engineering</w:t>
            </w:r>
          </w:p>
          <w:p w:rsidR="007F458A" w:rsidRDefault="00AA3AFA">
            <w:pPr>
              <w:jc w:val="center"/>
            </w:pPr>
            <w:r>
              <w:rPr>
                <w:rFonts w:cs="Times New Roman"/>
                <w:sz w:val="18"/>
              </w:rPr>
              <w:t>TKR College of Engineering and Technology (Autonomous)</w:t>
            </w:r>
          </w:p>
          <w:p w:rsidR="007F458A" w:rsidRDefault="00AA3AFA">
            <w:pPr>
              <w:jc w:val="center"/>
            </w:pPr>
            <w:r>
              <w:rPr>
                <w:rFonts w:cs="Times New Roman"/>
                <w:sz w:val="18"/>
              </w:rPr>
              <w:t>Hyderabad, India</w:t>
            </w:r>
          </w:p>
          <w:p w:rsidR="007F458A" w:rsidRDefault="00AA3AFA">
            <w:pPr>
              <w:jc w:val="center"/>
            </w:pPr>
            <w:r>
              <w:rPr>
                <w:rFonts w:cs="Times New Roman"/>
                <w:sz w:val="18"/>
              </w:rPr>
              <w:t>[EMAIL]</w:t>
            </w:r>
          </w:p>
        </w:tc>
        <w:tc>
          <w:tcPr>
            <w:tcW w:w="2051" w:type="dxa"/>
          </w:tcPr>
          <w:p w:rsidR="007F458A" w:rsidRDefault="00AA3AFA">
            <w:pPr>
              <w:jc w:val="center"/>
            </w:pPr>
            <w:r>
              <w:rPr>
                <w:rFonts w:cs="Times New Roman"/>
                <w:b/>
                <w:sz w:val="18"/>
              </w:rPr>
              <w:t>B Srikanth</w:t>
            </w:r>
          </w:p>
          <w:p w:rsidR="007F458A" w:rsidRDefault="00AA3AFA">
            <w:pPr>
              <w:jc w:val="center"/>
            </w:pPr>
            <w:r>
              <w:rPr>
                <w:rFonts w:cs="Times New Roman"/>
                <w:sz w:val="18"/>
              </w:rPr>
              <w:t>[DESIGNATION], Dept. of Computer Science and Engineering</w:t>
            </w:r>
          </w:p>
          <w:p w:rsidR="007F458A" w:rsidRDefault="00AA3AFA">
            <w:pPr>
              <w:jc w:val="center"/>
            </w:pPr>
            <w:r>
              <w:rPr>
                <w:rFonts w:cs="Times New Roman"/>
                <w:sz w:val="18"/>
              </w:rPr>
              <w:t xml:space="preserve">TKR College of Engineering </w:t>
            </w:r>
            <w:r>
              <w:rPr>
                <w:rFonts w:cs="Times New Roman"/>
                <w:sz w:val="18"/>
              </w:rPr>
              <w:t>and Technology (Autonomous)</w:t>
            </w:r>
          </w:p>
          <w:p w:rsidR="007F458A" w:rsidRDefault="00AA3AFA">
            <w:pPr>
              <w:jc w:val="center"/>
            </w:pPr>
            <w:r>
              <w:rPr>
                <w:rFonts w:cs="Times New Roman"/>
                <w:sz w:val="18"/>
              </w:rPr>
              <w:t>Hyderabad, India</w:t>
            </w:r>
          </w:p>
          <w:p w:rsidR="007F458A" w:rsidRDefault="00AA3AFA">
            <w:pPr>
              <w:jc w:val="center"/>
            </w:pPr>
            <w:r>
              <w:rPr>
                <w:rFonts w:cs="Times New Roman"/>
                <w:sz w:val="18"/>
              </w:rPr>
              <w:t>[EMAIL]</w:t>
            </w:r>
          </w:p>
        </w:tc>
      </w:tr>
    </w:tbl>
    <w:p w:rsidR="007F458A" w:rsidRDefault="007F458A">
      <w:pPr>
        <w:spacing w:after="80"/>
      </w:pPr>
    </w:p>
    <w:p w:rsidR="007F458A" w:rsidRDefault="007F458A">
      <w:pPr>
        <w:sectPr w:rsidR="007F458A">
          <w:pgSz w:w="12240" w:h="15840"/>
          <w:pgMar w:top="1080" w:right="994" w:bottom="1440" w:left="994" w:header="720" w:footer="720" w:gutter="0"/>
          <w:cols w:space="720"/>
          <w:docGrid w:linePitch="360"/>
        </w:sectPr>
      </w:pPr>
    </w:p>
    <w:p w:rsidR="007F458A" w:rsidRDefault="00AA3AFA">
      <w:pPr>
        <w:spacing w:after="80"/>
        <w:jc w:val="both"/>
      </w:pPr>
      <w:r>
        <w:rPr>
          <w:rFonts w:cs="Times New Roman"/>
          <w:b/>
          <w:i/>
          <w:sz w:val="18"/>
        </w:rPr>
        <w:t>Abstract---</w:t>
      </w:r>
      <w:r>
        <w:rPr>
          <w:rFonts w:cs="Times New Roman"/>
          <w:sz w:val="18"/>
        </w:rPr>
        <w:t xml:space="preserve">Assessing an individual's financial position usually relies on a narrow set of financial parameters, a static score and no explanation, so non-linear interactions between </w:t>
      </w:r>
      <w:r>
        <w:rPr>
          <w:rFonts w:cs="Times New Roman"/>
          <w:sz w:val="18"/>
        </w:rPr>
        <w:t>demographic and financial factors are missed and decisions are hard to justify. This paper presents FinSight AI, a web application that converts twelve demographic and financial inputs into a financial profile, a risk band, a strength score, a per-person S</w:t>
      </w:r>
      <w:r>
        <w:rPr>
          <w:rFonts w:cs="Times New Roman"/>
          <w:sz w:val="18"/>
        </w:rPr>
        <w:t>HAP explanation and a twelve-month economic forecast. Four classifiers were trained on the public UCI Adult data (48,842 records) inside leakage-safe pipelines. On 9,769 held-out records the selected XGBoost model reaches accuracy 87.8%, recall 66.6% and R</w:t>
      </w:r>
      <w:r>
        <w:rPr>
          <w:rFonts w:cs="Times New Roman"/>
          <w:sz w:val="18"/>
        </w:rPr>
        <w:t>OC-AUC 0.932 (cross-validated AUC 0.929). The target is income above 50K, not creditworthiness, and the forecast uses a documented synthetic index, so results are reported with these limits; the comparison with the base paper, which studies hospitals, is g</w:t>
      </w:r>
      <w:r>
        <w:rPr>
          <w:rFonts w:cs="Times New Roman"/>
          <w:sz w:val="18"/>
        </w:rPr>
        <w:t>iven as context only.</w:t>
      </w:r>
    </w:p>
    <w:p w:rsidR="007F458A" w:rsidRDefault="00AA3AFA">
      <w:pPr>
        <w:spacing w:after="80"/>
        <w:jc w:val="both"/>
      </w:pPr>
      <w:r>
        <w:rPr>
          <w:rFonts w:cs="Times New Roman"/>
          <w:b/>
          <w:i/>
          <w:sz w:val="18"/>
        </w:rPr>
        <w:t>Index Terms---</w:t>
      </w:r>
      <w:r>
        <w:rPr>
          <w:rFonts w:cs="Times New Roman"/>
          <w:sz w:val="18"/>
        </w:rPr>
        <w:t>demographic analytics, economic forecasting, explainable AI, financial profiling, Holt-Winters, SHAP, XGBoost.</w:t>
      </w:r>
    </w:p>
    <w:p w:rsidR="007F458A" w:rsidRDefault="00AA3AFA">
      <w:pPr>
        <w:keepNext/>
        <w:spacing w:before="160" w:after="80"/>
        <w:jc w:val="center"/>
      </w:pPr>
      <w:r>
        <w:rPr>
          <w:rFonts w:cs="Times New Roman"/>
          <w:b/>
        </w:rPr>
        <w:t>I. INTRODUCTION</w:t>
      </w:r>
    </w:p>
    <w:p w:rsidR="007F458A" w:rsidRDefault="00AA3AFA">
      <w:pPr>
        <w:ind w:firstLine="288"/>
        <w:jc w:val="both"/>
      </w:pPr>
      <w:r>
        <w:rPr>
          <w:rFonts w:cs="Times New Roman"/>
        </w:rPr>
        <w:t xml:space="preserve">Financial decisions depend on an accurate picture of a person's economic position. Classical </w:t>
      </w:r>
      <w:r>
        <w:rPr>
          <w:rFonts w:cs="Times New Roman"/>
        </w:rPr>
        <w:t xml:space="preserve">scoring starts from a few financial ratios and a linear or logistic model [2], [3]; it ignores the demographic context in which people earn, spend and save, such as age, education, occupation and household. The cost is twofold: non-linear interactions are </w:t>
      </w:r>
      <w:r>
        <w:rPr>
          <w:rFonts w:cs="Times New Roman"/>
        </w:rPr>
        <w:t>missed, which makes assessments inaccurate for people whose profile does not fit the average, and a bare score cannot be explained to the customer or a regulator. Ensemble learners such as random forests, gradient boosting and XGBoost capture these interac</w:t>
      </w:r>
      <w:r>
        <w:rPr>
          <w:rFonts w:cs="Times New Roman"/>
        </w:rPr>
        <w:t>tions [4], [5], [6] and post-hoc attribution with SHAP [7], [8] makes their output inspectable, but most published systems stop at a trained model and a metric.</w:t>
      </w:r>
    </w:p>
    <w:p w:rsidR="007F458A" w:rsidRDefault="00AA3AFA">
      <w:pPr>
        <w:ind w:firstLine="288"/>
        <w:jc w:val="both"/>
      </w:pPr>
      <w:r>
        <w:rPr>
          <w:rFonts w:cs="Times New Roman"/>
        </w:rPr>
        <w:t xml:space="preserve">The base paper [1] builds an explainable framework for organisational financial distress using </w:t>
      </w:r>
      <w:r>
        <w:rPr>
          <w:rFonts w:cs="Times New Roman"/>
        </w:rPr>
        <w:t>Korean hospital panel data. The gap addressed here is to extend the same approach to individuals, where demographic attributes carry much of the signal, and to deliver it as a usable system. The contributions are:</w:t>
      </w:r>
    </w:p>
    <w:p w:rsidR="007F458A" w:rsidRDefault="00AA3AFA">
      <w:pPr>
        <w:ind w:firstLine="288"/>
        <w:jc w:val="both"/>
      </w:pPr>
      <w:r>
        <w:rPr>
          <w:rFonts w:cs="Times New Roman"/>
        </w:rPr>
        <w:t>1) an end-to-end application that validate</w:t>
      </w:r>
      <w:r>
        <w:rPr>
          <w:rFonts w:cs="Times New Roman"/>
        </w:rPr>
        <w:t xml:space="preserve">s a twelve-field profile, engineers features, predicts a financial-strength score, </w:t>
      </w:r>
      <w:r>
        <w:rPr>
          <w:rFonts w:cs="Times New Roman"/>
        </w:rPr>
        <w:t>maps it to a profile and risk band, and explains it with live SHAP contributions; 2) a leakage-safe comparison of four classifiers with stratified cross-validation and resul</w:t>
      </w:r>
      <w:r>
        <w:rPr>
          <w:rFonts w:cs="Times New Roman"/>
        </w:rPr>
        <w:t>ts beyond a single score (confusion matrices, threshold, calibration, band-level rates); 3) a twelve-month Holt-Winters forecast and a what-if comparison, both labelled as non-causal; and 4) an honest account of limits, including a synthetic forecasting se</w:t>
      </w:r>
      <w:r>
        <w:rPr>
          <w:rFonts w:cs="Times New Roman"/>
        </w:rPr>
        <w:t>ries and the absence of a fairness audit.</w:t>
      </w:r>
    </w:p>
    <w:p w:rsidR="007F458A" w:rsidRDefault="00AA3AFA">
      <w:pPr>
        <w:ind w:firstLine="288"/>
        <w:jc w:val="both"/>
      </w:pPr>
      <w:r>
        <w:rPr>
          <w:rFonts w:cs="Times New Roman"/>
        </w:rPr>
        <w:t>Section II surveys related work, Section III describes the method and system, Section IV reports measurements and Section V concludes.</w:t>
      </w:r>
    </w:p>
    <w:p w:rsidR="007F458A" w:rsidRDefault="00AA3AFA">
      <w:pPr>
        <w:keepNext/>
        <w:spacing w:before="80" w:after="40"/>
      </w:pPr>
      <w:r>
        <w:rPr>
          <w:rFonts w:cs="Times New Roman"/>
          <w:i/>
        </w:rPr>
        <w:t>A. System Hardware</w:t>
      </w:r>
    </w:p>
    <w:p w:rsidR="007F458A" w:rsidRDefault="00AA3AFA">
      <w:pPr>
        <w:ind w:firstLine="288"/>
        <w:jc w:val="both"/>
      </w:pPr>
      <w:r>
        <w:rPr>
          <w:rFonts w:cs="Times New Roman"/>
        </w:rPr>
        <w:t xml:space="preserve">All training, evaluation and timing ran on one desktop: </w:t>
      </w:r>
      <w:r>
        <w:rPr>
          <w:rFonts w:cs="Times New Roman"/>
        </w:rPr>
        <w:t>Intel Core i5-12500 (12th Gen), 15.7 GB RAM, Windows 11 Pro, CPU only (no GPU was used).</w:t>
      </w:r>
    </w:p>
    <w:p w:rsidR="007F458A" w:rsidRDefault="00AA3AFA">
      <w:pPr>
        <w:keepNext/>
        <w:spacing w:before="80" w:after="40"/>
      </w:pPr>
      <w:r>
        <w:rPr>
          <w:rFonts w:cs="Times New Roman"/>
          <w:i/>
        </w:rPr>
        <w:t>B. Software Requirements</w:t>
      </w:r>
    </w:p>
    <w:p w:rsidR="007F458A" w:rsidRDefault="00AA3AFA">
      <w:pPr>
        <w:ind w:firstLine="288"/>
        <w:jc w:val="both"/>
      </w:pPr>
      <w:r>
        <w:rPr>
          <w:rFonts w:cs="Times New Roman"/>
        </w:rPr>
        <w:t>Python 3.11.9, scikit-learn 1.9.1 [9], XGBoost 3.2.0, SHAP 0.51.0, statsmodels 0.15.0, Flask 3.1.3, and a React 19 / Vite front end on Node.js</w:t>
      </w:r>
      <w:r>
        <w:rPr>
          <w:rFonts w:cs="Times New Roman"/>
        </w:rPr>
        <w:t xml:space="preserve"> 24.19.0. Tests use pytest.</w:t>
      </w:r>
    </w:p>
    <w:p w:rsidR="007F458A" w:rsidRDefault="00AA3AFA">
      <w:pPr>
        <w:keepNext/>
        <w:spacing w:before="160" w:after="80"/>
        <w:jc w:val="center"/>
      </w:pPr>
      <w:r>
        <w:rPr>
          <w:rFonts w:cs="Times New Roman"/>
          <w:b/>
        </w:rPr>
        <w:t>II. LITERATURE SURVEY</w:t>
      </w:r>
    </w:p>
    <w:p w:rsidR="007F458A" w:rsidRDefault="00AA3AFA">
      <w:pPr>
        <w:keepNext/>
        <w:spacing w:before="80" w:after="40"/>
      </w:pPr>
      <w:r>
        <w:rPr>
          <w:rFonts w:cs="Times New Roman"/>
          <w:i/>
        </w:rPr>
        <w:t>A. Base paper</w:t>
      </w:r>
    </w:p>
    <w:p w:rsidR="007F458A" w:rsidRDefault="00AA3AFA">
      <w:pPr>
        <w:ind w:firstLine="288"/>
        <w:jc w:val="both"/>
      </w:pPr>
      <w:r>
        <w:rPr>
          <w:rFonts w:cs="Times New Roman"/>
        </w:rPr>
        <w:t>Kim and Sun [1] present a four-stage explainable framework: domain-adaptive feature engineering, multi-model training, SHAP interpretation and domain-specific validation. They instantiate it o</w:t>
      </w:r>
      <w:r>
        <w:rPr>
          <w:rFonts w:cs="Times New Roman"/>
        </w:rPr>
        <w:t>n a balanced panel of 165 Korean hospitals (825 hospital-year rows, 2019-2023) built from 236 disclosed line items, reduced to 11 engineered features, with net-income deficit as target (41.2 % positive). Under hospital-level Group K-Fold, XGBoost reaches A</w:t>
      </w:r>
      <w:r>
        <w:rPr>
          <w:rFonts w:cs="Times New Roman"/>
        </w:rPr>
        <w:t xml:space="preserve">UC 0.842, Gradient Boosting 0.840, Random Forest 0.831, Logistic Regression 0.776 and an MLP 0.772; training on 2019-2022 and testing on 2023 gives 0.780, and a modified Altman Z''-score only 0.680. SHAP ranks material-cost (0.777) and labour-cost (0.729) </w:t>
      </w:r>
      <w:r>
        <w:rPr>
          <w:rFonts w:cs="Times New Roman"/>
        </w:rPr>
        <w:t xml:space="preserve">ratios first. Pairwise DeLong tests show the three ensembles are not significantly different, hyperparameters are left at defaults, and the authors stress </w:t>
      </w:r>
      <w:r>
        <w:rPr>
          <w:rFonts w:cs="Times New Roman"/>
        </w:rPr>
        <w:lastRenderedPageBreak/>
        <w:t xml:space="preserve">that SHAP explains associations, not causes. Their framework is organisational; individual profiling </w:t>
      </w:r>
      <w:r>
        <w:rPr>
          <w:rFonts w:cs="Times New Roman"/>
        </w:rPr>
        <w:t>is left open.</w:t>
      </w:r>
    </w:p>
    <w:p w:rsidR="007F458A" w:rsidRDefault="00AA3AFA">
      <w:pPr>
        <w:keepNext/>
        <w:spacing w:before="80" w:after="40"/>
      </w:pPr>
      <w:r>
        <w:rPr>
          <w:rFonts w:cs="Times New Roman"/>
          <w:i/>
        </w:rPr>
        <w:t>B. Related work</w:t>
      </w:r>
    </w:p>
    <w:p w:rsidR="007F458A" w:rsidRDefault="00AA3AFA">
      <w:pPr>
        <w:ind w:firstLine="288"/>
        <w:jc w:val="both"/>
      </w:pPr>
      <w:r>
        <w:rPr>
          <w:rFonts w:cs="Times New Roman"/>
        </w:rPr>
        <w:t>Distress and bankruptcy prediction moved from Altman's discriminant function [2] and Ohlson's logit [3] to ensembles, which Barboza et al. [10] report to outperform traditional statistical models. Abid [11] forecasts CDS-impli</w:t>
      </w:r>
      <w:r>
        <w:rPr>
          <w:rFonts w:cs="Times New Roman"/>
        </w:rPr>
        <w:t>ed sovereign default probabilities with five machine-learning and four deep models for Egypt, Morocco and Saudi Arabia, and finds linear regression best with RNN and GRU competitive. Maurino [12] shows on an open credit-risk dataset that missing values, no</w:t>
      </w:r>
      <w:r>
        <w:rPr>
          <w:rFonts w:cs="Times New Roman"/>
        </w:rPr>
        <w:t>ise, outliers and label errors affect ten models differently, with some corruptions even helping specific models. Zhang et al. [13] propose PrivacyCredit, a vertical federated method that adds alternative data to credit-risk models without exposing it, mat</w:t>
      </w:r>
      <w:r>
        <w:rPr>
          <w:rFonts w:cs="Times New Roman"/>
        </w:rPr>
        <w:t>ching the plaintext combination.</w:t>
      </w:r>
    </w:p>
    <w:p w:rsidR="007F458A" w:rsidRDefault="00AA3AFA">
      <w:pPr>
        <w:ind w:firstLine="288"/>
        <w:jc w:val="both"/>
      </w:pPr>
      <w:r>
        <w:rPr>
          <w:rFonts w:cs="Times New Roman"/>
        </w:rPr>
        <w:t>On explainability, Bussmann et al. [14] use Shapley values to explain SME credit-risk models and Gramegna and Giudici [15] compare SHAP with LIME in credit risk. For tabular data, Grinsztajn et al. [16] find that tree-based</w:t>
      </w:r>
      <w:r>
        <w:rPr>
          <w:rFonts w:cs="Times New Roman"/>
        </w:rPr>
        <w:t xml:space="preserve"> models still outperform deep learning, which supports using boosted trees here.</w:t>
      </w:r>
    </w:p>
    <w:p w:rsidR="007F458A" w:rsidRDefault="00AA3AFA">
      <w:pPr>
        <w:ind w:firstLine="288"/>
        <w:jc w:val="both"/>
      </w:pPr>
      <w:r>
        <w:rPr>
          <w:rFonts w:cs="Times New Roman"/>
        </w:rPr>
        <w:t>Positioning. Compared with these works, this project keeps the base paper's recipe of boosted trees, SHAP and default hyperparameters but changes the unit of analysis from the</w:t>
      </w:r>
      <w:r>
        <w:rPr>
          <w:rFonts w:cs="Times New Roman"/>
        </w:rPr>
        <w:t xml:space="preserve"> organisation to the person, drops the panel structure (one row is one person, so a stratified split is appropriate), and adds what the surveyed studies leave out: a per-assessment explanation in plain language, a forecast component and a working interface</w:t>
      </w:r>
      <w:r>
        <w:rPr>
          <w:rFonts w:cs="Times New Roman"/>
        </w:rPr>
        <w:t>. It does not reproduce the base paper's counterfactual or econometric analyses.</w:t>
      </w:r>
    </w:p>
    <w:p w:rsidR="007F458A" w:rsidRDefault="00AA3AFA">
      <w:pPr>
        <w:keepNext/>
        <w:spacing w:before="80"/>
        <w:jc w:val="center"/>
      </w:pPr>
      <w:r>
        <w:rPr>
          <w:rFonts w:cs="Times New Roman"/>
          <w:sz w:val="16"/>
        </w:rPr>
        <w:t>TABLE I</w:t>
      </w:r>
    </w:p>
    <w:p w:rsidR="007F458A" w:rsidRDefault="00AA3AFA">
      <w:pPr>
        <w:keepNext/>
        <w:spacing w:after="40"/>
        <w:jc w:val="center"/>
      </w:pPr>
      <w:r>
        <w:rPr>
          <w:rFonts w:cs="Times New Roman"/>
          <w:sz w:val="16"/>
        </w:rPr>
        <w:t>SUMMARY OF THE SURVEYED WORK</w:t>
      </w:r>
    </w:p>
    <w:tbl>
      <w:tblPr>
        <w:tblStyle w:val="TableGrid"/>
        <w:tblW w:w="0" w:type="auto"/>
        <w:jc w:val="center"/>
        <w:tblLook w:val="04A0" w:firstRow="1" w:lastRow="0" w:firstColumn="1" w:lastColumn="0" w:noHBand="0" w:noVBand="1"/>
      </w:tblPr>
      <w:tblGrid>
        <w:gridCol w:w="893"/>
        <w:gridCol w:w="1037"/>
        <w:gridCol w:w="864"/>
        <w:gridCol w:w="1123"/>
        <w:gridCol w:w="979"/>
      </w:tblGrid>
      <w:tr w:rsidR="007F458A">
        <w:trPr>
          <w:cantSplit/>
          <w:jc w:val="center"/>
        </w:trPr>
        <w:tc>
          <w:tcPr>
            <w:tcW w:w="893" w:type="dxa"/>
          </w:tcPr>
          <w:p w:rsidR="007F458A" w:rsidRDefault="00AA3AFA">
            <w:pPr>
              <w:keepNext/>
              <w:jc w:val="center"/>
            </w:pPr>
            <w:r>
              <w:rPr>
                <w:rFonts w:cs="Times New Roman"/>
                <w:b/>
                <w:sz w:val="13"/>
              </w:rPr>
              <w:t>Work</w:t>
            </w:r>
          </w:p>
        </w:tc>
        <w:tc>
          <w:tcPr>
            <w:tcW w:w="1037" w:type="dxa"/>
          </w:tcPr>
          <w:p w:rsidR="007F458A" w:rsidRDefault="00AA3AFA">
            <w:pPr>
              <w:keepNext/>
              <w:jc w:val="center"/>
            </w:pPr>
            <w:r>
              <w:rPr>
                <w:rFonts w:cs="Times New Roman"/>
                <w:b/>
                <w:sz w:val="13"/>
              </w:rPr>
              <w:t>Approach</w:t>
            </w:r>
          </w:p>
        </w:tc>
        <w:tc>
          <w:tcPr>
            <w:tcW w:w="864" w:type="dxa"/>
          </w:tcPr>
          <w:p w:rsidR="007F458A" w:rsidRDefault="00AA3AFA">
            <w:pPr>
              <w:keepNext/>
              <w:jc w:val="center"/>
            </w:pPr>
            <w:r>
              <w:rPr>
                <w:rFonts w:cs="Times New Roman"/>
                <w:b/>
                <w:sz w:val="13"/>
              </w:rPr>
              <w:t>Data</w:t>
            </w:r>
          </w:p>
        </w:tc>
        <w:tc>
          <w:tcPr>
            <w:tcW w:w="1123" w:type="dxa"/>
          </w:tcPr>
          <w:p w:rsidR="007F458A" w:rsidRDefault="00AA3AFA">
            <w:pPr>
              <w:keepNext/>
              <w:jc w:val="center"/>
            </w:pPr>
            <w:r>
              <w:rPr>
                <w:rFonts w:cs="Times New Roman"/>
                <w:b/>
                <w:sz w:val="13"/>
              </w:rPr>
              <w:t>Reported result</w:t>
            </w:r>
          </w:p>
        </w:tc>
        <w:tc>
          <w:tcPr>
            <w:tcW w:w="979" w:type="dxa"/>
          </w:tcPr>
          <w:p w:rsidR="007F458A" w:rsidRDefault="00AA3AFA">
            <w:pPr>
              <w:keepNext/>
              <w:jc w:val="center"/>
            </w:pPr>
            <w:r>
              <w:rPr>
                <w:rFonts w:cs="Times New Roman"/>
                <w:b/>
                <w:sz w:val="13"/>
              </w:rPr>
              <w:t>Limitation</w:t>
            </w:r>
          </w:p>
        </w:tc>
      </w:tr>
      <w:tr w:rsidR="007F458A">
        <w:trPr>
          <w:cantSplit/>
          <w:jc w:val="center"/>
        </w:trPr>
        <w:tc>
          <w:tcPr>
            <w:tcW w:w="893" w:type="dxa"/>
          </w:tcPr>
          <w:p w:rsidR="007F458A" w:rsidRDefault="00AA3AFA">
            <w:pPr>
              <w:keepNext/>
            </w:pPr>
            <w:r>
              <w:rPr>
                <w:rFonts w:cs="Times New Roman"/>
                <w:sz w:val="13"/>
              </w:rPr>
              <w:t>Kim, Sun [1]</w:t>
            </w:r>
          </w:p>
        </w:tc>
        <w:tc>
          <w:tcPr>
            <w:tcW w:w="1037" w:type="dxa"/>
          </w:tcPr>
          <w:p w:rsidR="007F458A" w:rsidRDefault="00AA3AFA">
            <w:pPr>
              <w:keepNext/>
            </w:pPr>
            <w:r>
              <w:rPr>
                <w:rFonts w:cs="Times New Roman"/>
                <w:sz w:val="13"/>
              </w:rPr>
              <w:t>Explainable ML, SHAP</w:t>
            </w:r>
          </w:p>
        </w:tc>
        <w:tc>
          <w:tcPr>
            <w:tcW w:w="864" w:type="dxa"/>
          </w:tcPr>
          <w:p w:rsidR="007F458A" w:rsidRDefault="00AA3AFA">
            <w:pPr>
              <w:keepNext/>
            </w:pPr>
            <w:r>
              <w:rPr>
                <w:rFonts w:cs="Times New Roman"/>
                <w:sz w:val="13"/>
              </w:rPr>
              <w:t>165 hospitals</w:t>
            </w:r>
          </w:p>
        </w:tc>
        <w:tc>
          <w:tcPr>
            <w:tcW w:w="1123" w:type="dxa"/>
          </w:tcPr>
          <w:p w:rsidR="007F458A" w:rsidRDefault="00AA3AFA">
            <w:pPr>
              <w:keepNext/>
            </w:pPr>
            <w:r>
              <w:rPr>
                <w:rFonts w:cs="Times New Roman"/>
                <w:sz w:val="13"/>
              </w:rPr>
              <w:t>XGB AUC 0.842</w:t>
            </w:r>
          </w:p>
        </w:tc>
        <w:tc>
          <w:tcPr>
            <w:tcW w:w="979" w:type="dxa"/>
          </w:tcPr>
          <w:p w:rsidR="007F458A" w:rsidRDefault="00AA3AFA">
            <w:pPr>
              <w:keepNext/>
            </w:pPr>
            <w:r>
              <w:rPr>
                <w:rFonts w:cs="Times New Roman"/>
                <w:sz w:val="13"/>
              </w:rPr>
              <w:t>Organisations only</w:t>
            </w:r>
          </w:p>
        </w:tc>
      </w:tr>
      <w:tr w:rsidR="007F458A">
        <w:trPr>
          <w:cantSplit/>
          <w:jc w:val="center"/>
        </w:trPr>
        <w:tc>
          <w:tcPr>
            <w:tcW w:w="893" w:type="dxa"/>
          </w:tcPr>
          <w:p w:rsidR="007F458A" w:rsidRDefault="00AA3AFA">
            <w:pPr>
              <w:keepNext/>
            </w:pPr>
            <w:r>
              <w:rPr>
                <w:rFonts w:cs="Times New Roman"/>
                <w:sz w:val="13"/>
              </w:rPr>
              <w:t>Abid [11]</w:t>
            </w:r>
          </w:p>
        </w:tc>
        <w:tc>
          <w:tcPr>
            <w:tcW w:w="1037" w:type="dxa"/>
          </w:tcPr>
          <w:p w:rsidR="007F458A" w:rsidRDefault="00AA3AFA">
            <w:pPr>
              <w:keepNext/>
            </w:pPr>
            <w:r>
              <w:rPr>
                <w:rFonts w:cs="Times New Roman"/>
                <w:sz w:val="13"/>
              </w:rPr>
              <w:t>5 ML + 4 DL models</w:t>
            </w:r>
          </w:p>
        </w:tc>
        <w:tc>
          <w:tcPr>
            <w:tcW w:w="864" w:type="dxa"/>
          </w:tcPr>
          <w:p w:rsidR="007F458A" w:rsidRDefault="00AA3AFA">
            <w:pPr>
              <w:keepNext/>
            </w:pPr>
            <w:r>
              <w:rPr>
                <w:rFonts w:cs="Times New Roman"/>
                <w:sz w:val="13"/>
              </w:rPr>
              <w:t>3 sovereigns</w:t>
            </w:r>
          </w:p>
        </w:tc>
        <w:tc>
          <w:tcPr>
            <w:tcW w:w="1123" w:type="dxa"/>
          </w:tcPr>
          <w:p w:rsidR="007F458A" w:rsidRDefault="00AA3AFA">
            <w:pPr>
              <w:keepNext/>
            </w:pPr>
            <w:r>
              <w:rPr>
                <w:rFonts w:cs="Times New Roman"/>
                <w:sz w:val="13"/>
              </w:rPr>
              <w:t>Linear reg. best</w:t>
            </w:r>
          </w:p>
        </w:tc>
        <w:tc>
          <w:tcPr>
            <w:tcW w:w="979" w:type="dxa"/>
          </w:tcPr>
          <w:p w:rsidR="007F458A" w:rsidRDefault="00AA3AFA">
            <w:pPr>
              <w:keepNext/>
            </w:pPr>
            <w:r>
              <w:rPr>
                <w:rFonts w:cs="Times New Roman"/>
                <w:sz w:val="13"/>
              </w:rPr>
              <w:t>Not individuals</w:t>
            </w:r>
          </w:p>
        </w:tc>
      </w:tr>
      <w:tr w:rsidR="007F458A">
        <w:trPr>
          <w:cantSplit/>
          <w:jc w:val="center"/>
        </w:trPr>
        <w:tc>
          <w:tcPr>
            <w:tcW w:w="893" w:type="dxa"/>
          </w:tcPr>
          <w:p w:rsidR="007F458A" w:rsidRDefault="00AA3AFA">
            <w:pPr>
              <w:keepNext/>
            </w:pPr>
            <w:r>
              <w:rPr>
                <w:rFonts w:cs="Times New Roman"/>
                <w:sz w:val="13"/>
              </w:rPr>
              <w:t>Maurino [12]</w:t>
            </w:r>
          </w:p>
        </w:tc>
        <w:tc>
          <w:tcPr>
            <w:tcW w:w="1037" w:type="dxa"/>
          </w:tcPr>
          <w:p w:rsidR="007F458A" w:rsidRDefault="00AA3AFA">
            <w:pPr>
              <w:keepNext/>
            </w:pPr>
            <w:r>
              <w:rPr>
                <w:rFonts w:cs="Times New Roman"/>
                <w:sz w:val="13"/>
              </w:rPr>
              <w:t>Data-quality robustness</w:t>
            </w:r>
          </w:p>
        </w:tc>
        <w:tc>
          <w:tcPr>
            <w:tcW w:w="864" w:type="dxa"/>
          </w:tcPr>
          <w:p w:rsidR="007F458A" w:rsidRDefault="00AA3AFA">
            <w:pPr>
              <w:keepNext/>
            </w:pPr>
            <w:r>
              <w:rPr>
                <w:rFonts w:cs="Times New Roman"/>
                <w:sz w:val="13"/>
              </w:rPr>
              <w:t>1 open dataset</w:t>
            </w:r>
          </w:p>
        </w:tc>
        <w:tc>
          <w:tcPr>
            <w:tcW w:w="1123" w:type="dxa"/>
          </w:tcPr>
          <w:p w:rsidR="007F458A" w:rsidRDefault="00AA3AFA">
            <w:pPr>
              <w:keepNext/>
            </w:pPr>
            <w:r>
              <w:rPr>
                <w:rFonts w:cs="Times New Roman"/>
                <w:sz w:val="13"/>
              </w:rPr>
              <w:t>Errors affect models unevenly</w:t>
            </w:r>
          </w:p>
        </w:tc>
        <w:tc>
          <w:tcPr>
            <w:tcW w:w="979" w:type="dxa"/>
          </w:tcPr>
          <w:p w:rsidR="007F458A" w:rsidRDefault="00AA3AFA">
            <w:pPr>
              <w:keepNext/>
            </w:pPr>
            <w:r>
              <w:rPr>
                <w:rFonts w:cs="Times New Roman"/>
                <w:sz w:val="13"/>
              </w:rPr>
              <w:t>Binary, one dataset</w:t>
            </w:r>
          </w:p>
        </w:tc>
      </w:tr>
      <w:tr w:rsidR="007F458A">
        <w:trPr>
          <w:cantSplit/>
          <w:jc w:val="center"/>
        </w:trPr>
        <w:tc>
          <w:tcPr>
            <w:tcW w:w="893" w:type="dxa"/>
          </w:tcPr>
          <w:p w:rsidR="007F458A" w:rsidRDefault="00AA3AFA">
            <w:pPr>
              <w:keepNext/>
            </w:pPr>
            <w:r>
              <w:rPr>
                <w:rFonts w:cs="Times New Roman"/>
                <w:sz w:val="13"/>
              </w:rPr>
              <w:t>Zhang [13]</w:t>
            </w:r>
          </w:p>
        </w:tc>
        <w:tc>
          <w:tcPr>
            <w:tcW w:w="1037" w:type="dxa"/>
          </w:tcPr>
          <w:p w:rsidR="007F458A" w:rsidRDefault="00AA3AFA">
            <w:pPr>
              <w:keepNext/>
            </w:pPr>
            <w:r>
              <w:rPr>
                <w:rFonts w:cs="Times New Roman"/>
                <w:sz w:val="13"/>
              </w:rPr>
              <w:t>Federated credit risk</w:t>
            </w:r>
          </w:p>
        </w:tc>
        <w:tc>
          <w:tcPr>
            <w:tcW w:w="864" w:type="dxa"/>
          </w:tcPr>
          <w:p w:rsidR="007F458A" w:rsidRDefault="00AA3AFA">
            <w:pPr>
              <w:keepNext/>
            </w:pPr>
            <w:r>
              <w:rPr>
                <w:rFonts w:cs="Times New Roman"/>
                <w:sz w:val="13"/>
              </w:rPr>
              <w:t>Credit + alt. data</w:t>
            </w:r>
          </w:p>
        </w:tc>
        <w:tc>
          <w:tcPr>
            <w:tcW w:w="1123" w:type="dxa"/>
          </w:tcPr>
          <w:p w:rsidR="007F458A" w:rsidRDefault="00AA3AFA">
            <w:pPr>
              <w:keepNext/>
            </w:pPr>
            <w:r>
              <w:rPr>
                <w:rFonts w:cs="Times New Roman"/>
                <w:sz w:val="13"/>
              </w:rPr>
              <w:t>Equals plaintext</w:t>
            </w:r>
          </w:p>
        </w:tc>
        <w:tc>
          <w:tcPr>
            <w:tcW w:w="979" w:type="dxa"/>
          </w:tcPr>
          <w:p w:rsidR="007F458A" w:rsidRDefault="00AA3AFA">
            <w:pPr>
              <w:keepNext/>
            </w:pPr>
            <w:r>
              <w:rPr>
                <w:rFonts w:cs="Times New Roman"/>
                <w:sz w:val="13"/>
              </w:rPr>
              <w:t xml:space="preserve">Needs partner </w:t>
            </w:r>
            <w:r>
              <w:rPr>
                <w:rFonts w:cs="Times New Roman"/>
                <w:sz w:val="13"/>
              </w:rPr>
              <w:t>data</w:t>
            </w:r>
          </w:p>
        </w:tc>
      </w:tr>
      <w:tr w:rsidR="007F458A">
        <w:trPr>
          <w:cantSplit/>
          <w:jc w:val="center"/>
        </w:trPr>
        <w:tc>
          <w:tcPr>
            <w:tcW w:w="893" w:type="dxa"/>
          </w:tcPr>
          <w:p w:rsidR="007F458A" w:rsidRDefault="00AA3AFA">
            <w:pPr>
              <w:keepNext/>
            </w:pPr>
            <w:r>
              <w:rPr>
                <w:rFonts w:cs="Times New Roman"/>
                <w:sz w:val="13"/>
              </w:rPr>
              <w:t>Barboza [10]</w:t>
            </w:r>
          </w:p>
        </w:tc>
        <w:tc>
          <w:tcPr>
            <w:tcW w:w="1037" w:type="dxa"/>
          </w:tcPr>
          <w:p w:rsidR="007F458A" w:rsidRDefault="00AA3AFA">
            <w:pPr>
              <w:keepNext/>
            </w:pPr>
            <w:r>
              <w:rPr>
                <w:rFonts w:cs="Times New Roman"/>
                <w:sz w:val="13"/>
              </w:rPr>
              <w:t>Ensembles vs statistics</w:t>
            </w:r>
          </w:p>
        </w:tc>
        <w:tc>
          <w:tcPr>
            <w:tcW w:w="864" w:type="dxa"/>
          </w:tcPr>
          <w:p w:rsidR="007F458A" w:rsidRDefault="00AA3AFA">
            <w:pPr>
              <w:keepNext/>
            </w:pPr>
            <w:r>
              <w:rPr>
                <w:rFonts w:cs="Times New Roman"/>
                <w:sz w:val="13"/>
              </w:rPr>
              <w:t>Listed firms</w:t>
            </w:r>
          </w:p>
        </w:tc>
        <w:tc>
          <w:tcPr>
            <w:tcW w:w="1123" w:type="dxa"/>
          </w:tcPr>
          <w:p w:rsidR="007F458A" w:rsidRDefault="00AA3AFA">
            <w:pPr>
              <w:keepNext/>
            </w:pPr>
            <w:r>
              <w:rPr>
                <w:rFonts w:cs="Times New Roman"/>
                <w:sz w:val="13"/>
              </w:rPr>
              <w:t>Ensembles better</w:t>
            </w:r>
          </w:p>
        </w:tc>
        <w:tc>
          <w:tcPr>
            <w:tcW w:w="979" w:type="dxa"/>
          </w:tcPr>
          <w:p w:rsidR="007F458A" w:rsidRDefault="00AA3AFA">
            <w:pPr>
              <w:keepNext/>
            </w:pPr>
            <w:r>
              <w:rPr>
                <w:rFonts w:cs="Times New Roman"/>
                <w:sz w:val="13"/>
              </w:rPr>
              <w:t>Corporate</w:t>
            </w:r>
          </w:p>
        </w:tc>
      </w:tr>
      <w:tr w:rsidR="007F458A">
        <w:trPr>
          <w:cantSplit/>
          <w:jc w:val="center"/>
        </w:trPr>
        <w:tc>
          <w:tcPr>
            <w:tcW w:w="893" w:type="dxa"/>
          </w:tcPr>
          <w:p w:rsidR="007F458A" w:rsidRDefault="00AA3AFA">
            <w:pPr>
              <w:keepNext/>
            </w:pPr>
            <w:r>
              <w:rPr>
                <w:rFonts w:cs="Times New Roman"/>
                <w:sz w:val="13"/>
              </w:rPr>
              <w:t>Bussmann [14]</w:t>
            </w:r>
          </w:p>
        </w:tc>
        <w:tc>
          <w:tcPr>
            <w:tcW w:w="1037" w:type="dxa"/>
          </w:tcPr>
          <w:p w:rsidR="007F458A" w:rsidRDefault="00AA3AFA">
            <w:pPr>
              <w:keepNext/>
            </w:pPr>
            <w:r>
              <w:rPr>
                <w:rFonts w:cs="Times New Roman"/>
                <w:sz w:val="13"/>
              </w:rPr>
              <w:t>Shapley explanations</w:t>
            </w:r>
          </w:p>
        </w:tc>
        <w:tc>
          <w:tcPr>
            <w:tcW w:w="864" w:type="dxa"/>
          </w:tcPr>
          <w:p w:rsidR="007F458A" w:rsidRDefault="00AA3AFA">
            <w:pPr>
              <w:keepNext/>
            </w:pPr>
            <w:r>
              <w:rPr>
                <w:rFonts w:cs="Times New Roman"/>
                <w:sz w:val="13"/>
              </w:rPr>
              <w:t>SME lending</w:t>
            </w:r>
          </w:p>
        </w:tc>
        <w:tc>
          <w:tcPr>
            <w:tcW w:w="1123" w:type="dxa"/>
          </w:tcPr>
          <w:p w:rsidR="007F458A" w:rsidRDefault="00AA3AFA">
            <w:pPr>
              <w:keepNext/>
            </w:pPr>
            <w:r>
              <w:rPr>
                <w:rFonts w:cs="Times New Roman"/>
                <w:sz w:val="13"/>
              </w:rPr>
              <w:t>Explains credit risk</w:t>
            </w:r>
          </w:p>
        </w:tc>
        <w:tc>
          <w:tcPr>
            <w:tcW w:w="979" w:type="dxa"/>
          </w:tcPr>
          <w:p w:rsidR="007F458A" w:rsidRDefault="00AA3AFA">
            <w:pPr>
              <w:keepNext/>
            </w:pPr>
            <w:r>
              <w:rPr>
                <w:rFonts w:cs="Times New Roman"/>
                <w:sz w:val="13"/>
              </w:rPr>
              <w:t>SME level</w:t>
            </w:r>
          </w:p>
        </w:tc>
      </w:tr>
      <w:tr w:rsidR="007F458A">
        <w:trPr>
          <w:cantSplit/>
          <w:jc w:val="center"/>
        </w:trPr>
        <w:tc>
          <w:tcPr>
            <w:tcW w:w="893" w:type="dxa"/>
          </w:tcPr>
          <w:p w:rsidR="007F458A" w:rsidRDefault="00AA3AFA">
            <w:r>
              <w:rPr>
                <w:rFonts w:cs="Times New Roman"/>
                <w:sz w:val="13"/>
              </w:rPr>
              <w:t>Grinsztajn [16]</w:t>
            </w:r>
          </w:p>
        </w:tc>
        <w:tc>
          <w:tcPr>
            <w:tcW w:w="1037" w:type="dxa"/>
          </w:tcPr>
          <w:p w:rsidR="007F458A" w:rsidRDefault="00AA3AFA">
            <w:r>
              <w:rPr>
                <w:rFonts w:cs="Times New Roman"/>
                <w:sz w:val="13"/>
              </w:rPr>
              <w:t>Trees vs deep learning</w:t>
            </w:r>
          </w:p>
        </w:tc>
        <w:tc>
          <w:tcPr>
            <w:tcW w:w="864" w:type="dxa"/>
          </w:tcPr>
          <w:p w:rsidR="007F458A" w:rsidRDefault="00AA3AFA">
            <w:r>
              <w:rPr>
                <w:rFonts w:cs="Times New Roman"/>
                <w:sz w:val="13"/>
              </w:rPr>
              <w:t>Tabular sets</w:t>
            </w:r>
          </w:p>
        </w:tc>
        <w:tc>
          <w:tcPr>
            <w:tcW w:w="1123" w:type="dxa"/>
          </w:tcPr>
          <w:p w:rsidR="007F458A" w:rsidRDefault="00AA3AFA">
            <w:r>
              <w:rPr>
                <w:rFonts w:cs="Times New Roman"/>
                <w:sz w:val="13"/>
              </w:rPr>
              <w:t>Trees still win</w:t>
            </w:r>
          </w:p>
        </w:tc>
        <w:tc>
          <w:tcPr>
            <w:tcW w:w="979" w:type="dxa"/>
          </w:tcPr>
          <w:p w:rsidR="007F458A" w:rsidRDefault="00AA3AFA">
            <w:r>
              <w:rPr>
                <w:rFonts w:cs="Times New Roman"/>
                <w:sz w:val="13"/>
              </w:rPr>
              <w:t>Not finance</w:t>
            </w:r>
          </w:p>
        </w:tc>
      </w:tr>
    </w:tbl>
    <w:p w:rsidR="007F458A" w:rsidRDefault="007F458A">
      <w:pPr>
        <w:spacing w:after="60"/>
      </w:pPr>
    </w:p>
    <w:p w:rsidR="007F458A" w:rsidRDefault="00AA3AFA">
      <w:pPr>
        <w:ind w:firstLine="288"/>
        <w:jc w:val="both"/>
      </w:pPr>
      <w:r>
        <w:rPr>
          <w:rFonts w:cs="Times New Roman"/>
        </w:rPr>
        <w:t xml:space="preserve">Research </w:t>
      </w:r>
      <w:r>
        <w:rPr>
          <w:rFonts w:cs="Times New Roman"/>
        </w:rPr>
        <w:t>gap: explainable machine learning for financial risk has been developed for organisations and sovereigns, while work on individuals centres on accuracy with few parameters. None of the surveyed works joins individual demographic profiling, a per-person exp</w:t>
      </w:r>
      <w:r>
        <w:rPr>
          <w:rFonts w:cs="Times New Roman"/>
        </w:rPr>
        <w:t>lanation, an economic forecast and a usable web interface in one reproducible system; this project does so on public data.</w:t>
      </w:r>
    </w:p>
    <w:p w:rsidR="007F458A" w:rsidRDefault="00AA3AFA">
      <w:pPr>
        <w:keepNext/>
        <w:spacing w:before="160" w:after="80"/>
        <w:jc w:val="center"/>
      </w:pPr>
      <w:r>
        <w:rPr>
          <w:rFonts w:cs="Times New Roman"/>
          <w:b/>
        </w:rPr>
        <w:t>III. METHODOLOGY</w:t>
      </w:r>
    </w:p>
    <w:p w:rsidR="007F458A" w:rsidRDefault="00AA3AFA">
      <w:pPr>
        <w:keepNext/>
        <w:spacing w:before="80" w:after="40"/>
      </w:pPr>
      <w:r>
        <w:rPr>
          <w:rFonts w:cs="Times New Roman"/>
          <w:i/>
        </w:rPr>
        <w:t>A. Data</w:t>
      </w:r>
    </w:p>
    <w:p w:rsidR="007F458A" w:rsidRDefault="00AA3AFA">
      <w:pPr>
        <w:ind w:firstLine="288"/>
        <w:jc w:val="both"/>
      </w:pPr>
      <w:r>
        <w:rPr>
          <w:rFonts w:cs="Times New Roman"/>
        </w:rPr>
        <w:t>Classification uses the UCI Adult / Census Income data [17]: 48,842 records (32,561 + 16,281), 15 columns, o</w:t>
      </w:r>
      <w:r>
        <w:rPr>
          <w:rFonts w:cs="Times New Roman"/>
        </w:rPr>
        <w:t>f which 23.93% earn above 50K. Missing values are marked '?' in workclass (2,799), occupation (2,809) and native country (857). The label (income above 50K) is adapted as a financial-profile signal; it is not a credit score. A stratified 80/20 split with s</w:t>
      </w:r>
      <w:r>
        <w:rPr>
          <w:rFonts w:cs="Times New Roman"/>
        </w:rPr>
        <w:t>eed 42 gives 39,073 training and 9,769 test records (7,431 and 2,338 of the two classes). One row is one person, so entity-grouped validation is unnecessary. Because the census records have no time axis, forecasting uses a separate monthly Household Financ</w:t>
      </w:r>
      <w:r>
        <w:rPr>
          <w:rFonts w:cs="Times New Roman"/>
        </w:rPr>
        <w:t>ial Conditions Index, January 2015 to December 2025 (132 points), which is synthetic (trend, yearly seasonality, noise and a mid-2020 dip, seed 42) and documented as such.</w:t>
      </w:r>
    </w:p>
    <w:p w:rsidR="007F458A" w:rsidRDefault="00AA3AFA">
      <w:pPr>
        <w:keepNext/>
        <w:spacing w:before="80" w:after="40"/>
      </w:pPr>
      <w:r>
        <w:rPr>
          <w:rFonts w:cs="Times New Roman"/>
          <w:i/>
        </w:rPr>
        <w:t>B. Preprocessing and features</w:t>
      </w:r>
    </w:p>
    <w:p w:rsidR="007F458A" w:rsidRDefault="00AA3AFA">
      <w:pPr>
        <w:ind w:firstLine="288"/>
        <w:jc w:val="both"/>
      </w:pPr>
      <w:r>
        <w:rPr>
          <w:rFonts w:cs="Times New Roman"/>
        </w:rPr>
        <w:t>'?' becomes missing; numeric gaps take the training me</w:t>
      </w:r>
      <w:r>
        <w:rPr>
          <w:rFonts w:cs="Times New Roman"/>
        </w:rPr>
        <w:t>dian and categorical gaps the constant 'Unknown', followed by one-hot encoding and, for logistic regression only, standard scaling, all inside a scikit-learn ColumnTransformer within each Pipeline [9] so that nothing is fitted on test data. Twelve interpre</w:t>
      </w:r>
      <w:r>
        <w:rPr>
          <w:rFonts w:cs="Times New Roman"/>
        </w:rPr>
        <w:t>table features are derived from the 14 raw fields (26 columns): net capital, capital intensity, log gains and losses, gain and loss flags, capital position, hours band, age band, education tier, region from country and employment stability. The census weig</w:t>
      </w:r>
      <w:r>
        <w:rPr>
          <w:rFonts w:cs="Times New Roman"/>
        </w:rPr>
        <w:t>ht is meaningless for a new user and is imputed with the training median at prediction time.</w:t>
      </w:r>
    </w:p>
    <w:p w:rsidR="007F458A" w:rsidRDefault="00AA3AFA">
      <w:pPr>
        <w:keepNext/>
        <w:spacing w:before="80" w:after="40"/>
      </w:pPr>
      <w:r>
        <w:rPr>
          <w:rFonts w:cs="Times New Roman"/>
          <w:i/>
        </w:rPr>
        <w:t>C. Models and formulation</w:t>
      </w:r>
    </w:p>
    <w:p w:rsidR="007F458A" w:rsidRDefault="00AA3AFA">
      <w:pPr>
        <w:ind w:firstLine="288"/>
        <w:jc w:val="both"/>
      </w:pPr>
      <w:r>
        <w:rPr>
          <w:rFonts w:cs="Times New Roman"/>
        </w:rPr>
        <w:t xml:space="preserve">Four classifiers are compared: logistic regression (C = 1, 2000 iterations), random forest (300 trees) [4], scikit-learn gradient </w:t>
      </w:r>
      <w:r>
        <w:rPr>
          <w:rFonts w:cs="Times New Roman"/>
        </w:rPr>
        <w:t>boosting [5] and XGBoost (400 trees, depth 6, learning rate 0.05, subsample and column sample 0.9, L2 weight 1) [6]. No hyperparameter search or class re-balancing was used, in line with the base paper's default-parameter practice. XGBoost adds regularised</w:t>
      </w:r>
      <w:r>
        <w:rPr>
          <w:rFonts w:cs="Times New Roman"/>
        </w:rPr>
        <w:t xml:space="preserve"> trees; its score is</w:t>
      </w:r>
    </w:p>
    <w:p w:rsidR="007F458A" w:rsidRDefault="00AA3AFA">
      <w:pPr>
        <w:spacing w:before="40" w:after="40"/>
        <w:jc w:val="center"/>
      </w:pPr>
      <w:r>
        <w:rPr>
          <w:rFonts w:ascii="Cambria Math" w:eastAsia="Cambria Math" w:hAnsi="Cambria Math" w:cs="Cambria Math"/>
          <w:i/>
          <w:sz w:val="19"/>
        </w:rPr>
        <w:t>p(x) = σ( Σₖ fₖ(x) ),   L = Σ</w:t>
      </w:r>
      <w:r>
        <w:rPr>
          <w:rFonts w:ascii="Cambria Math" w:eastAsia="Cambria Math" w:hAnsi="Cambria Math" w:cs="Cambria Math"/>
          <w:i/>
          <w:sz w:val="19"/>
        </w:rPr>
        <w:t>ᵢ</w:t>
      </w:r>
      <w:r>
        <w:rPr>
          <w:rFonts w:ascii="Cambria Math" w:eastAsia="Cambria Math" w:hAnsi="Cambria Math" w:cs="Cambria Math"/>
          <w:i/>
          <w:sz w:val="19"/>
        </w:rPr>
        <w:t xml:space="preserve"> ℓ(y</w:t>
      </w:r>
      <w:r>
        <w:rPr>
          <w:rFonts w:ascii="Cambria Math" w:eastAsia="Cambria Math" w:hAnsi="Cambria Math" w:cs="Cambria Math"/>
          <w:i/>
          <w:sz w:val="19"/>
        </w:rPr>
        <w:t>ᵢ</w:t>
      </w:r>
      <w:r>
        <w:rPr>
          <w:rFonts w:ascii="Cambria Math" w:eastAsia="Cambria Math" w:hAnsi="Cambria Math" w:cs="Cambria Math"/>
          <w:i/>
          <w:sz w:val="19"/>
        </w:rPr>
        <w:t>, ŷ</w:t>
      </w:r>
      <w:r>
        <w:rPr>
          <w:rFonts w:ascii="Cambria Math" w:eastAsia="Cambria Math" w:hAnsi="Cambria Math" w:cs="Cambria Math"/>
          <w:i/>
          <w:sz w:val="19"/>
        </w:rPr>
        <w:t>ᵢ</w:t>
      </w:r>
      <w:r>
        <w:rPr>
          <w:rFonts w:ascii="Cambria Math" w:eastAsia="Cambria Math" w:hAnsi="Cambria Math" w:cs="Cambria Math"/>
          <w:i/>
          <w:sz w:val="19"/>
        </w:rPr>
        <w:t>) + Σₖ ( γTₖ + ½λ‖wₖ‖² )</w:t>
      </w:r>
      <w:r>
        <w:rPr>
          <w:rFonts w:cs="Times New Roman"/>
        </w:rPr>
        <w:t xml:space="preserve">   (1)</w:t>
      </w:r>
    </w:p>
    <w:p w:rsidR="007F458A" w:rsidRDefault="00AA3AFA">
      <w:pPr>
        <w:ind w:firstLine="288"/>
        <w:jc w:val="both"/>
      </w:pPr>
      <w:r>
        <w:rPr>
          <w:rFonts w:cs="Times New Roman"/>
        </w:rPr>
        <w:t>and p(x) is read as the financial-strength score. It is mapped to a profile by fixed bands: p ≥ 0.60 Established (Low risk), 0.35 ≤ p &lt; 0.60 Developing (Moderate), o</w:t>
      </w:r>
      <w:r>
        <w:rPr>
          <w:rFonts w:cs="Times New Roman"/>
        </w:rPr>
        <w:t>therwise Emerging (High). The model is selected by ROC-AUC. Explanations use TreeExplainer [8], which decomposes each prediction exactly into</w:t>
      </w:r>
    </w:p>
    <w:p w:rsidR="007F458A" w:rsidRDefault="00AA3AFA">
      <w:pPr>
        <w:spacing w:before="40" w:after="40"/>
        <w:jc w:val="center"/>
      </w:pPr>
      <w:r>
        <w:rPr>
          <w:rFonts w:ascii="Cambria Math" w:eastAsia="Cambria Math" w:hAnsi="Cambria Math" w:cs="Cambria Math"/>
          <w:i/>
          <w:sz w:val="19"/>
        </w:rPr>
        <w:t>f(x) = φ₀ + Σⱼ φⱼ(x)</w:t>
      </w:r>
      <w:r>
        <w:rPr>
          <w:rFonts w:cs="Times New Roman"/>
        </w:rPr>
        <w:t xml:space="preserve">   (2)</w:t>
      </w:r>
    </w:p>
    <w:p w:rsidR="007F458A" w:rsidRDefault="00AA3AFA">
      <w:pPr>
        <w:ind w:firstLine="288"/>
        <w:jc w:val="both"/>
      </w:pPr>
      <w:r>
        <w:rPr>
          <w:rFonts w:cs="Times New Roman"/>
        </w:rPr>
        <w:t>where φⱼ is the contribution of feature j in log-odds; the five largest positive and ne</w:t>
      </w:r>
      <w:r>
        <w:rPr>
          <w:rFonts w:cs="Times New Roman"/>
        </w:rPr>
        <w:t>gative terms are shown with plain-language sentences, and one-hot features with value 0 are worded as the absence of a category. The forecast is an additive Holt-Winters model [18] with period 12:</w:t>
      </w:r>
    </w:p>
    <w:p w:rsidR="007F458A" w:rsidRDefault="00AA3AFA">
      <w:pPr>
        <w:spacing w:before="40" w:after="40"/>
        <w:jc w:val="center"/>
      </w:pPr>
      <w:r>
        <w:rPr>
          <w:rFonts w:ascii="Cambria Math" w:eastAsia="Cambria Math" w:hAnsi="Cambria Math" w:cs="Cambria Math"/>
          <w:i/>
          <w:sz w:val="19"/>
        </w:rPr>
        <w:t>ŷₜ₊ₕ</w:t>
      </w:r>
      <w:r>
        <w:rPr>
          <w:rFonts w:ascii="Cambria Math" w:eastAsia="Cambria Math" w:hAnsi="Cambria Math" w:cs="Cambria Math"/>
          <w:i/>
          <w:sz w:val="19"/>
        </w:rPr>
        <w:t xml:space="preserve"> = ℓₜ + h·bₜ + sₜ₊ₕ₋ₘ(k+1)</w:t>
      </w:r>
      <w:r>
        <w:rPr>
          <w:rFonts w:cs="Times New Roman"/>
        </w:rPr>
        <w:t xml:space="preserve">   (3)</w:t>
      </w:r>
    </w:p>
    <w:p w:rsidR="007F458A" w:rsidRDefault="00AA3AFA">
      <w:pPr>
        <w:ind w:firstLine="288"/>
        <w:jc w:val="both"/>
      </w:pPr>
      <w:r>
        <w:rPr>
          <w:rFonts w:cs="Times New Roman"/>
        </w:rPr>
        <w:t>fitted with statsmodel</w:t>
      </w:r>
      <w:r>
        <w:rPr>
          <w:rFonts w:cs="Times New Roman"/>
        </w:rPr>
        <w:t xml:space="preserve">s [19]; the 95 % band is ±1.96 times the residual standard deviation (1.659). The what-if screen </w:t>
      </w:r>
      <w:r>
        <w:rPr>
          <w:rFonts w:cs="Times New Roman"/>
        </w:rPr>
        <w:lastRenderedPageBreak/>
        <w:t>re-predicts the same person after changing gains, losses, weekly hours or education and reports the change in score, profile and risk; it is a model simulation</w:t>
      </w:r>
      <w:r>
        <w:rPr>
          <w:rFonts w:cs="Times New Roman"/>
        </w:rPr>
        <w:t>, not a causal estimate.</w:t>
      </w:r>
    </w:p>
    <w:p w:rsidR="007F458A" w:rsidRDefault="00AA3AFA">
      <w:pPr>
        <w:keepNext/>
        <w:spacing w:before="80"/>
        <w:jc w:val="center"/>
      </w:pPr>
      <w:r>
        <w:rPr>
          <w:noProof/>
        </w:rPr>
        <w:drawing>
          <wp:inline distT="0" distB="0" distL="0" distR="0">
            <wp:extent cx="3108960" cy="2499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6"/>
                    <a:stretch>
                      <a:fillRect/>
                    </a:stretch>
                  </pic:blipFill>
                  <pic:spPr>
                    <a:xfrm>
                      <a:off x="0" y="0"/>
                      <a:ext cx="3108960" cy="2499989"/>
                    </a:xfrm>
                    <a:prstGeom prst="rect">
                      <a:avLst/>
                    </a:prstGeom>
                  </pic:spPr>
                </pic:pic>
              </a:graphicData>
            </a:graphic>
          </wp:inline>
        </w:drawing>
      </w:r>
    </w:p>
    <w:p w:rsidR="007F458A" w:rsidRDefault="00AA3AFA">
      <w:pPr>
        <w:spacing w:after="100"/>
        <w:jc w:val="both"/>
      </w:pPr>
      <w:r>
        <w:rPr>
          <w:rFonts w:cs="Times New Roman"/>
          <w:sz w:val="16"/>
        </w:rPr>
        <w:t>Fig. 1. Architecture of FinSight AI: React interface, Flask API, services, persisted model and artifacts.</w:t>
      </w:r>
    </w:p>
    <w:p w:rsidR="007F458A" w:rsidRDefault="00AA3AFA">
      <w:pPr>
        <w:ind w:firstLine="288"/>
        <w:jc w:val="both"/>
      </w:pPr>
      <w:r>
        <w:rPr>
          <w:rFonts w:cs="Times New Roman"/>
        </w:rPr>
        <w:t xml:space="preserve">Evaluation protocol. Each candidate is cross-validated on the training split with five stratified folds (shuffled, seed </w:t>
      </w:r>
      <w:r>
        <w:rPr>
          <w:rFonts w:cs="Times New Roman"/>
        </w:rPr>
        <w:t>42), refitted on the whole training split and scored once on the held-out 9,769 records with accuracy, precision, recall, F1 and ROC-AUC [9]; the threshold is 0.5. The best model by ROC-AUC is persisted as the serving pipeline together with the confusion m</w:t>
      </w:r>
      <w:r>
        <w:rPr>
          <w:rFonts w:cs="Times New Roman"/>
        </w:rPr>
        <w:t>atrix, ROC curves, SHAP importance, a validation report and a statistics report (correlations and a logistic regression on age, education, hours and net capital), all as JSON or image artifacts that the interface reads.</w:t>
      </w:r>
    </w:p>
    <w:p w:rsidR="007F458A" w:rsidRDefault="00AA3AFA">
      <w:pPr>
        <w:ind w:firstLine="288"/>
        <w:jc w:val="both"/>
      </w:pPr>
      <w:r>
        <w:rPr>
          <w:rFonts w:cs="Times New Roman"/>
        </w:rPr>
        <w:t>Measures. With true and false positi</w:t>
      </w:r>
      <w:r>
        <w:rPr>
          <w:rFonts w:cs="Times New Roman"/>
        </w:rPr>
        <w:t>ves and negatives written TP, FP, TN and FN, precision is TP/(TP+FP), recall is TP/(TP+FN), specificity is TN/(TN+FP) and</w:t>
      </w:r>
    </w:p>
    <w:p w:rsidR="007F458A" w:rsidRDefault="00AA3AFA">
      <w:pPr>
        <w:spacing w:before="40" w:after="40"/>
        <w:jc w:val="center"/>
      </w:pPr>
      <w:r>
        <w:rPr>
          <w:rFonts w:ascii="Cambria Math" w:eastAsia="Cambria Math" w:hAnsi="Cambria Math" w:cs="Cambria Math"/>
          <w:i/>
          <w:sz w:val="19"/>
        </w:rPr>
        <w:t>F1 = 2·precision·recall / (precision + recall)</w:t>
      </w:r>
      <w:r>
        <w:rPr>
          <w:rFonts w:cs="Times New Roman"/>
        </w:rPr>
        <w:t xml:space="preserve">   (4)</w:t>
      </w:r>
    </w:p>
    <w:p w:rsidR="007F458A" w:rsidRDefault="00AA3AFA">
      <w:pPr>
        <w:spacing w:before="40" w:after="40"/>
        <w:jc w:val="center"/>
      </w:pPr>
      <w:r>
        <w:rPr>
          <w:rFonts w:ascii="Cambria Math" w:eastAsia="Cambria Math" w:hAnsi="Cambria Math" w:cs="Cambria Math"/>
          <w:i/>
          <w:sz w:val="19"/>
        </w:rPr>
        <w:t>AUC = P( p(x⁺) &gt; p(x⁻) )</w:t>
      </w:r>
      <w:r>
        <w:rPr>
          <w:rFonts w:cs="Times New Roman"/>
        </w:rPr>
        <w:t xml:space="preserve">   (5)</w:t>
      </w:r>
    </w:p>
    <w:p w:rsidR="007F458A" w:rsidRDefault="00AA3AFA">
      <w:pPr>
        <w:ind w:firstLine="288"/>
        <w:jc w:val="both"/>
      </w:pPr>
      <w:r>
        <w:rPr>
          <w:rFonts w:cs="Times New Roman"/>
        </w:rPr>
        <w:t xml:space="preserve">where x⁺ and x⁻ are a randomly drawn positive and </w:t>
      </w:r>
      <w:r>
        <w:rPr>
          <w:rFonts w:cs="Times New Roman"/>
        </w:rPr>
        <w:t>negative record. ROC-AUC does not depend on the threshold and is the selection criterion; the other measures are reported at 0.5 and, for XGBoost, across thresholds. Calibration is checked with ten equal-width reliability bins and the Brier score.</w:t>
      </w:r>
    </w:p>
    <w:p w:rsidR="007F458A" w:rsidRDefault="00AA3AFA">
      <w:pPr>
        <w:keepNext/>
        <w:spacing w:before="80" w:after="40"/>
      </w:pPr>
      <w:r>
        <w:rPr>
          <w:rFonts w:cs="Times New Roman"/>
          <w:i/>
        </w:rPr>
        <w:t>D. Archi</w:t>
      </w:r>
      <w:r>
        <w:rPr>
          <w:rFonts w:cs="Times New Roman"/>
          <w:i/>
        </w:rPr>
        <w:t>tecture and implementation</w:t>
      </w:r>
    </w:p>
    <w:p w:rsidR="007F458A" w:rsidRDefault="00AA3AFA">
      <w:pPr>
        <w:ind w:firstLine="288"/>
        <w:jc w:val="both"/>
      </w:pPr>
      <w:r>
        <w:rPr>
          <w:rFonts w:cs="Times New Roman"/>
        </w:rPr>
        <w:t>A Flask API on port 8409 exposes /api/predict, /api/whatif, /api/forecast, /api/explain, /api/performance and /health; the same application still serves the original Jinja pages. Server-side validation checks required fields, all</w:t>
      </w:r>
      <w:r>
        <w:rPr>
          <w:rFonts w:cs="Times New Roman"/>
        </w:rPr>
        <w:t>owed values and ranges (age 16-100, hours 1-99, gains and losses 0-1,000,000) and answers HTTP 400 with messages otherwise. The pipeline and explainer are loaded once at start-up. A React 19 interface on port 5409 proxies the API and provides a sample logi</w:t>
      </w:r>
      <w:r>
        <w:rPr>
          <w:rFonts w:cs="Times New Roman"/>
        </w:rPr>
        <w:t xml:space="preserve">n (a browser-only demo gate), dashboard, assessment form, result, explainability, forecast, what-if and performance screens in light and dark themes. No </w:t>
      </w:r>
      <w:r>
        <w:rPr>
          <w:rFonts w:cs="Times New Roman"/>
        </w:rPr>
        <w:t>personal data is stored: the trained pipeline is a pickle file, evaluation output is JSON and the what-</w:t>
      </w:r>
      <w:r>
        <w:rPr>
          <w:rFonts w:cs="Times New Roman"/>
        </w:rPr>
        <w:t>if baseline lives in browser session storage.</w:t>
      </w:r>
    </w:p>
    <w:p w:rsidR="007F458A" w:rsidRDefault="00AA3AFA">
      <w:pPr>
        <w:ind w:firstLine="288"/>
        <w:jc w:val="both"/>
      </w:pPr>
      <w:r>
        <w:rPr>
          <w:rFonts w:cs="Times New Roman"/>
        </w:rPr>
        <w:t>Reproducibility. One command (run.bat) creates the virtual environment, installs the requirements, trains the models if no persisted pipeline exists, builds the front end and starts both servers; scripts/train.</w:t>
      </w:r>
      <w:r>
        <w:rPr>
          <w:rFonts w:cs="Times New Roman"/>
        </w:rPr>
        <w:t>py regenerates every artifact from the raw Adult files with a fixed seed, and a separate script re-derives the confusion matrices, threshold sweep, calibration bins and forecast back-test from the persisted models. The Docker files cover the original Flask</w:t>
      </w:r>
      <w:r>
        <w:rPr>
          <w:rFonts w:cs="Times New Roman"/>
        </w:rPr>
        <w:t xml:space="preserve"> pages only, not the React front end.</w:t>
      </w:r>
    </w:p>
    <w:p w:rsidR="007F458A" w:rsidRDefault="00AA3AFA">
      <w:pPr>
        <w:keepNext/>
        <w:spacing w:before="80"/>
        <w:jc w:val="center"/>
      </w:pPr>
      <w:r>
        <w:rPr>
          <w:noProof/>
        </w:rPr>
        <w:drawing>
          <wp:inline distT="0" distB="0" distL="0" distR="0">
            <wp:extent cx="3108960" cy="16501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7"/>
                    <a:stretch>
                      <a:fillRect/>
                    </a:stretch>
                  </pic:blipFill>
                  <pic:spPr>
                    <a:xfrm>
                      <a:off x="0" y="0"/>
                      <a:ext cx="3108960" cy="1650141"/>
                    </a:xfrm>
                    <a:prstGeom prst="rect">
                      <a:avLst/>
                    </a:prstGeom>
                  </pic:spPr>
                </pic:pic>
              </a:graphicData>
            </a:graphic>
          </wp:inline>
        </w:drawing>
      </w:r>
    </w:p>
    <w:p w:rsidR="007F458A" w:rsidRDefault="00AA3AFA">
      <w:pPr>
        <w:spacing w:after="100"/>
        <w:jc w:val="center"/>
      </w:pPr>
      <w:r>
        <w:rPr>
          <w:rFonts w:cs="Times New Roman"/>
          <w:sz w:val="16"/>
        </w:rPr>
        <w:t>Fig. 2. Main flow of one assessment, from sign-in to explained result.</w:t>
      </w:r>
    </w:p>
    <w:p w:rsidR="007F458A" w:rsidRDefault="00AA3AFA">
      <w:pPr>
        <w:keepNext/>
        <w:spacing w:before="160" w:after="80"/>
        <w:jc w:val="center"/>
      </w:pPr>
      <w:r>
        <w:rPr>
          <w:rFonts w:cs="Times New Roman"/>
          <w:b/>
        </w:rPr>
        <w:t>IV. RESULTS</w:t>
      </w:r>
    </w:p>
    <w:p w:rsidR="007F458A" w:rsidRDefault="00AA3AFA">
      <w:pPr>
        <w:ind w:firstLine="288"/>
        <w:jc w:val="both"/>
      </w:pPr>
      <w:r>
        <w:rPr>
          <w:rFonts w:cs="Times New Roman"/>
        </w:rPr>
        <w:t>Conditions: the 9,769-record stratified test split, decision threshold 0.5, positive class income above 50K, seed 42; cross-validatio</w:t>
      </w:r>
      <w:r>
        <w:rPr>
          <w:rFonts w:cs="Times New Roman"/>
        </w:rPr>
        <w:t>n uses five stratified folds on the training split. Metrics were reproduced by a separate script and match the training output exactly.</w:t>
      </w:r>
    </w:p>
    <w:p w:rsidR="007F458A" w:rsidRDefault="00AA3AFA">
      <w:pPr>
        <w:keepNext/>
        <w:spacing w:before="80"/>
        <w:jc w:val="center"/>
      </w:pPr>
      <w:r>
        <w:rPr>
          <w:rFonts w:cs="Times New Roman"/>
          <w:sz w:val="16"/>
        </w:rPr>
        <w:t>TABLE II</w:t>
      </w:r>
    </w:p>
    <w:p w:rsidR="007F458A" w:rsidRDefault="00AA3AFA">
      <w:pPr>
        <w:keepNext/>
        <w:spacing w:after="40"/>
        <w:jc w:val="center"/>
      </w:pPr>
      <w:r>
        <w:rPr>
          <w:rFonts w:cs="Times New Roman"/>
          <w:sz w:val="16"/>
        </w:rPr>
        <w:t>TEST-SET METRICS OF THE FOUR CLASSIFIERS (* SELECTED)</w:t>
      </w:r>
    </w:p>
    <w:tbl>
      <w:tblPr>
        <w:tblStyle w:val="TableGrid"/>
        <w:tblW w:w="0" w:type="auto"/>
        <w:jc w:val="center"/>
        <w:tblLook w:val="04A0" w:firstRow="1" w:lastRow="0" w:firstColumn="1" w:lastColumn="0" w:noHBand="0" w:noVBand="1"/>
      </w:tblPr>
      <w:tblGrid>
        <w:gridCol w:w="1368"/>
        <w:gridCol w:w="547"/>
        <w:gridCol w:w="547"/>
        <w:gridCol w:w="547"/>
        <w:gridCol w:w="531"/>
        <w:gridCol w:w="547"/>
        <w:gridCol w:w="923"/>
      </w:tblGrid>
      <w:tr w:rsidR="007F458A">
        <w:trPr>
          <w:cantSplit/>
          <w:jc w:val="center"/>
        </w:trPr>
        <w:tc>
          <w:tcPr>
            <w:tcW w:w="1368" w:type="dxa"/>
          </w:tcPr>
          <w:p w:rsidR="007F458A" w:rsidRDefault="00AA3AFA">
            <w:pPr>
              <w:keepNext/>
              <w:jc w:val="center"/>
            </w:pPr>
            <w:r>
              <w:rPr>
                <w:rFonts w:cs="Times New Roman"/>
                <w:b/>
                <w:sz w:val="14"/>
              </w:rPr>
              <w:t>Model</w:t>
            </w:r>
          </w:p>
        </w:tc>
        <w:tc>
          <w:tcPr>
            <w:tcW w:w="547" w:type="dxa"/>
          </w:tcPr>
          <w:p w:rsidR="007F458A" w:rsidRDefault="00AA3AFA">
            <w:pPr>
              <w:keepNext/>
              <w:jc w:val="center"/>
            </w:pPr>
            <w:r>
              <w:rPr>
                <w:rFonts w:cs="Times New Roman"/>
                <w:b/>
                <w:sz w:val="14"/>
              </w:rPr>
              <w:t>Acc.</w:t>
            </w:r>
          </w:p>
        </w:tc>
        <w:tc>
          <w:tcPr>
            <w:tcW w:w="547" w:type="dxa"/>
          </w:tcPr>
          <w:p w:rsidR="007F458A" w:rsidRDefault="00AA3AFA">
            <w:pPr>
              <w:keepNext/>
              <w:jc w:val="center"/>
            </w:pPr>
            <w:r>
              <w:rPr>
                <w:rFonts w:cs="Times New Roman"/>
                <w:b/>
                <w:sz w:val="14"/>
              </w:rPr>
              <w:t>Prec.</w:t>
            </w:r>
          </w:p>
        </w:tc>
        <w:tc>
          <w:tcPr>
            <w:tcW w:w="547" w:type="dxa"/>
          </w:tcPr>
          <w:p w:rsidR="007F458A" w:rsidRDefault="00AA3AFA">
            <w:pPr>
              <w:keepNext/>
              <w:jc w:val="center"/>
            </w:pPr>
            <w:r>
              <w:rPr>
                <w:rFonts w:cs="Times New Roman"/>
                <w:b/>
                <w:sz w:val="14"/>
              </w:rPr>
              <w:t>Rec.</w:t>
            </w:r>
          </w:p>
        </w:tc>
        <w:tc>
          <w:tcPr>
            <w:tcW w:w="504" w:type="dxa"/>
          </w:tcPr>
          <w:p w:rsidR="007F458A" w:rsidRDefault="00AA3AFA">
            <w:pPr>
              <w:keepNext/>
              <w:jc w:val="center"/>
            </w:pPr>
            <w:r>
              <w:rPr>
                <w:rFonts w:cs="Times New Roman"/>
                <w:b/>
                <w:sz w:val="14"/>
              </w:rPr>
              <w:t>F1</w:t>
            </w:r>
          </w:p>
        </w:tc>
        <w:tc>
          <w:tcPr>
            <w:tcW w:w="547" w:type="dxa"/>
          </w:tcPr>
          <w:p w:rsidR="007F458A" w:rsidRDefault="00AA3AFA">
            <w:pPr>
              <w:keepNext/>
              <w:jc w:val="center"/>
            </w:pPr>
            <w:r>
              <w:rPr>
                <w:rFonts w:cs="Times New Roman"/>
                <w:b/>
                <w:sz w:val="14"/>
              </w:rPr>
              <w:t>AUC</w:t>
            </w:r>
          </w:p>
        </w:tc>
        <w:tc>
          <w:tcPr>
            <w:tcW w:w="835" w:type="dxa"/>
          </w:tcPr>
          <w:p w:rsidR="007F458A" w:rsidRDefault="00AA3AFA">
            <w:pPr>
              <w:keepNext/>
              <w:jc w:val="center"/>
            </w:pPr>
            <w:r>
              <w:rPr>
                <w:rFonts w:cs="Times New Roman"/>
                <w:b/>
                <w:sz w:val="14"/>
              </w:rPr>
              <w:t>CV AUC</w:t>
            </w:r>
          </w:p>
        </w:tc>
      </w:tr>
      <w:tr w:rsidR="007F458A">
        <w:trPr>
          <w:cantSplit/>
          <w:jc w:val="center"/>
        </w:trPr>
        <w:tc>
          <w:tcPr>
            <w:tcW w:w="1368" w:type="dxa"/>
          </w:tcPr>
          <w:p w:rsidR="007F458A" w:rsidRDefault="00AA3AFA">
            <w:pPr>
              <w:keepNext/>
            </w:pPr>
            <w:r>
              <w:rPr>
                <w:rFonts w:cs="Times New Roman"/>
                <w:sz w:val="14"/>
              </w:rPr>
              <w:t>Logistic Regression</w:t>
            </w:r>
          </w:p>
        </w:tc>
        <w:tc>
          <w:tcPr>
            <w:tcW w:w="547" w:type="dxa"/>
          </w:tcPr>
          <w:p w:rsidR="007F458A" w:rsidRDefault="00AA3AFA">
            <w:pPr>
              <w:keepNext/>
              <w:jc w:val="center"/>
            </w:pPr>
            <w:r>
              <w:rPr>
                <w:rFonts w:cs="Times New Roman"/>
                <w:sz w:val="14"/>
              </w:rPr>
              <w:t>0.860</w:t>
            </w:r>
          </w:p>
        </w:tc>
        <w:tc>
          <w:tcPr>
            <w:tcW w:w="547" w:type="dxa"/>
          </w:tcPr>
          <w:p w:rsidR="007F458A" w:rsidRDefault="00AA3AFA">
            <w:pPr>
              <w:keepNext/>
              <w:jc w:val="center"/>
            </w:pPr>
            <w:r>
              <w:rPr>
                <w:rFonts w:cs="Times New Roman"/>
                <w:sz w:val="14"/>
              </w:rPr>
              <w:t>0.757</w:t>
            </w:r>
          </w:p>
        </w:tc>
        <w:tc>
          <w:tcPr>
            <w:tcW w:w="547" w:type="dxa"/>
          </w:tcPr>
          <w:p w:rsidR="007F458A" w:rsidRDefault="00AA3AFA">
            <w:pPr>
              <w:keepNext/>
              <w:jc w:val="center"/>
            </w:pPr>
            <w:r>
              <w:rPr>
                <w:rFonts w:cs="Times New Roman"/>
                <w:sz w:val="14"/>
              </w:rPr>
              <w:t>0.611</w:t>
            </w:r>
          </w:p>
        </w:tc>
        <w:tc>
          <w:tcPr>
            <w:tcW w:w="504" w:type="dxa"/>
          </w:tcPr>
          <w:p w:rsidR="007F458A" w:rsidRDefault="00AA3AFA">
            <w:pPr>
              <w:keepNext/>
              <w:jc w:val="center"/>
            </w:pPr>
            <w:r>
              <w:rPr>
                <w:rFonts w:cs="Times New Roman"/>
                <w:sz w:val="14"/>
              </w:rPr>
              <w:t>0.676</w:t>
            </w:r>
          </w:p>
        </w:tc>
        <w:tc>
          <w:tcPr>
            <w:tcW w:w="547" w:type="dxa"/>
          </w:tcPr>
          <w:p w:rsidR="007F458A" w:rsidRDefault="00AA3AFA">
            <w:pPr>
              <w:keepNext/>
              <w:jc w:val="center"/>
            </w:pPr>
            <w:r>
              <w:rPr>
                <w:rFonts w:cs="Times New Roman"/>
                <w:sz w:val="14"/>
              </w:rPr>
              <w:t>0.914</w:t>
            </w:r>
          </w:p>
        </w:tc>
        <w:tc>
          <w:tcPr>
            <w:tcW w:w="835" w:type="dxa"/>
          </w:tcPr>
          <w:p w:rsidR="007F458A" w:rsidRDefault="00AA3AFA">
            <w:pPr>
              <w:keepNext/>
              <w:jc w:val="center"/>
            </w:pPr>
            <w:r>
              <w:rPr>
                <w:rFonts w:cs="Times New Roman"/>
                <w:sz w:val="14"/>
              </w:rPr>
              <w:t>0.913±0.001</w:t>
            </w:r>
          </w:p>
        </w:tc>
      </w:tr>
      <w:tr w:rsidR="007F458A">
        <w:trPr>
          <w:cantSplit/>
          <w:jc w:val="center"/>
        </w:trPr>
        <w:tc>
          <w:tcPr>
            <w:tcW w:w="1368" w:type="dxa"/>
          </w:tcPr>
          <w:p w:rsidR="007F458A" w:rsidRDefault="00AA3AFA">
            <w:pPr>
              <w:keepNext/>
            </w:pPr>
            <w:r>
              <w:rPr>
                <w:rFonts w:cs="Times New Roman"/>
                <w:sz w:val="14"/>
              </w:rPr>
              <w:t>Random Forest</w:t>
            </w:r>
          </w:p>
        </w:tc>
        <w:tc>
          <w:tcPr>
            <w:tcW w:w="547" w:type="dxa"/>
          </w:tcPr>
          <w:p w:rsidR="007F458A" w:rsidRDefault="00AA3AFA">
            <w:pPr>
              <w:keepNext/>
              <w:jc w:val="center"/>
            </w:pPr>
            <w:r>
              <w:rPr>
                <w:rFonts w:cs="Times New Roman"/>
                <w:sz w:val="14"/>
              </w:rPr>
              <w:t>0.860</w:t>
            </w:r>
          </w:p>
        </w:tc>
        <w:tc>
          <w:tcPr>
            <w:tcW w:w="547" w:type="dxa"/>
          </w:tcPr>
          <w:p w:rsidR="007F458A" w:rsidRDefault="00AA3AFA">
            <w:pPr>
              <w:keepNext/>
              <w:jc w:val="center"/>
            </w:pPr>
            <w:r>
              <w:rPr>
                <w:rFonts w:cs="Times New Roman"/>
                <w:sz w:val="14"/>
              </w:rPr>
              <w:t>0.740</w:t>
            </w:r>
          </w:p>
        </w:tc>
        <w:tc>
          <w:tcPr>
            <w:tcW w:w="547" w:type="dxa"/>
          </w:tcPr>
          <w:p w:rsidR="007F458A" w:rsidRDefault="00AA3AFA">
            <w:pPr>
              <w:keepNext/>
              <w:jc w:val="center"/>
            </w:pPr>
            <w:r>
              <w:rPr>
                <w:rFonts w:cs="Times New Roman"/>
                <w:sz w:val="14"/>
              </w:rPr>
              <w:t>0.637</w:t>
            </w:r>
          </w:p>
        </w:tc>
        <w:tc>
          <w:tcPr>
            <w:tcW w:w="504" w:type="dxa"/>
          </w:tcPr>
          <w:p w:rsidR="007F458A" w:rsidRDefault="00AA3AFA">
            <w:pPr>
              <w:keepNext/>
              <w:jc w:val="center"/>
            </w:pPr>
            <w:r>
              <w:rPr>
                <w:rFonts w:cs="Times New Roman"/>
                <w:sz w:val="14"/>
              </w:rPr>
              <w:t>0.685</w:t>
            </w:r>
          </w:p>
        </w:tc>
        <w:tc>
          <w:tcPr>
            <w:tcW w:w="547" w:type="dxa"/>
          </w:tcPr>
          <w:p w:rsidR="007F458A" w:rsidRDefault="00AA3AFA">
            <w:pPr>
              <w:keepNext/>
              <w:jc w:val="center"/>
            </w:pPr>
            <w:r>
              <w:rPr>
                <w:rFonts w:cs="Times New Roman"/>
                <w:sz w:val="14"/>
              </w:rPr>
              <w:t>0.910</w:t>
            </w:r>
          </w:p>
        </w:tc>
        <w:tc>
          <w:tcPr>
            <w:tcW w:w="835" w:type="dxa"/>
          </w:tcPr>
          <w:p w:rsidR="007F458A" w:rsidRDefault="00AA3AFA">
            <w:pPr>
              <w:keepNext/>
              <w:jc w:val="center"/>
            </w:pPr>
            <w:r>
              <w:rPr>
                <w:rFonts w:cs="Times New Roman"/>
                <w:sz w:val="14"/>
              </w:rPr>
              <w:t>0.908±0.002</w:t>
            </w:r>
          </w:p>
        </w:tc>
      </w:tr>
      <w:tr w:rsidR="007F458A">
        <w:trPr>
          <w:cantSplit/>
          <w:jc w:val="center"/>
        </w:trPr>
        <w:tc>
          <w:tcPr>
            <w:tcW w:w="1368" w:type="dxa"/>
          </w:tcPr>
          <w:p w:rsidR="007F458A" w:rsidRDefault="00AA3AFA">
            <w:pPr>
              <w:keepNext/>
            </w:pPr>
            <w:r>
              <w:rPr>
                <w:rFonts w:cs="Times New Roman"/>
                <w:sz w:val="14"/>
              </w:rPr>
              <w:t>Gradient Boosting</w:t>
            </w:r>
          </w:p>
        </w:tc>
        <w:tc>
          <w:tcPr>
            <w:tcW w:w="547" w:type="dxa"/>
          </w:tcPr>
          <w:p w:rsidR="007F458A" w:rsidRDefault="00AA3AFA">
            <w:pPr>
              <w:keepNext/>
              <w:jc w:val="center"/>
            </w:pPr>
            <w:r>
              <w:rPr>
                <w:rFonts w:cs="Times New Roman"/>
                <w:sz w:val="14"/>
              </w:rPr>
              <w:t>0.870</w:t>
            </w:r>
          </w:p>
        </w:tc>
        <w:tc>
          <w:tcPr>
            <w:tcW w:w="547" w:type="dxa"/>
          </w:tcPr>
          <w:p w:rsidR="007F458A" w:rsidRDefault="00AA3AFA">
            <w:pPr>
              <w:keepNext/>
              <w:jc w:val="center"/>
            </w:pPr>
            <w:r>
              <w:rPr>
                <w:rFonts w:cs="Times New Roman"/>
                <w:sz w:val="14"/>
              </w:rPr>
              <w:t>0.791</w:t>
            </w:r>
          </w:p>
        </w:tc>
        <w:tc>
          <w:tcPr>
            <w:tcW w:w="547" w:type="dxa"/>
          </w:tcPr>
          <w:p w:rsidR="007F458A" w:rsidRDefault="00AA3AFA">
            <w:pPr>
              <w:keepNext/>
              <w:jc w:val="center"/>
            </w:pPr>
            <w:r>
              <w:rPr>
                <w:rFonts w:cs="Times New Roman"/>
                <w:sz w:val="14"/>
              </w:rPr>
              <w:t>0.619</w:t>
            </w:r>
          </w:p>
        </w:tc>
        <w:tc>
          <w:tcPr>
            <w:tcW w:w="504" w:type="dxa"/>
          </w:tcPr>
          <w:p w:rsidR="007F458A" w:rsidRDefault="00AA3AFA">
            <w:pPr>
              <w:keepNext/>
              <w:jc w:val="center"/>
            </w:pPr>
            <w:r>
              <w:rPr>
                <w:rFonts w:cs="Times New Roman"/>
                <w:sz w:val="14"/>
              </w:rPr>
              <w:t>0.694</w:t>
            </w:r>
          </w:p>
        </w:tc>
        <w:tc>
          <w:tcPr>
            <w:tcW w:w="547" w:type="dxa"/>
          </w:tcPr>
          <w:p w:rsidR="007F458A" w:rsidRDefault="00AA3AFA">
            <w:pPr>
              <w:keepNext/>
              <w:jc w:val="center"/>
            </w:pPr>
            <w:r>
              <w:rPr>
                <w:rFonts w:cs="Times New Roman"/>
                <w:sz w:val="14"/>
              </w:rPr>
              <w:t>0.925</w:t>
            </w:r>
          </w:p>
        </w:tc>
        <w:tc>
          <w:tcPr>
            <w:tcW w:w="835" w:type="dxa"/>
          </w:tcPr>
          <w:p w:rsidR="007F458A" w:rsidRDefault="00AA3AFA">
            <w:pPr>
              <w:keepNext/>
              <w:jc w:val="center"/>
            </w:pPr>
            <w:r>
              <w:rPr>
                <w:rFonts w:cs="Times New Roman"/>
                <w:sz w:val="14"/>
              </w:rPr>
              <w:t>0.920±0.002</w:t>
            </w:r>
          </w:p>
        </w:tc>
      </w:tr>
      <w:tr w:rsidR="007F458A">
        <w:trPr>
          <w:cantSplit/>
          <w:jc w:val="center"/>
        </w:trPr>
        <w:tc>
          <w:tcPr>
            <w:tcW w:w="1368" w:type="dxa"/>
          </w:tcPr>
          <w:p w:rsidR="007F458A" w:rsidRDefault="00AA3AFA">
            <w:r>
              <w:rPr>
                <w:rFonts w:cs="Times New Roman"/>
                <w:sz w:val="14"/>
              </w:rPr>
              <w:t>XGBoost *</w:t>
            </w:r>
          </w:p>
        </w:tc>
        <w:tc>
          <w:tcPr>
            <w:tcW w:w="547" w:type="dxa"/>
          </w:tcPr>
          <w:p w:rsidR="007F458A" w:rsidRDefault="00AA3AFA">
            <w:pPr>
              <w:jc w:val="center"/>
            </w:pPr>
            <w:r>
              <w:rPr>
                <w:rFonts w:cs="Times New Roman"/>
                <w:sz w:val="14"/>
              </w:rPr>
              <w:t>0.878</w:t>
            </w:r>
          </w:p>
        </w:tc>
        <w:tc>
          <w:tcPr>
            <w:tcW w:w="547" w:type="dxa"/>
          </w:tcPr>
          <w:p w:rsidR="007F458A" w:rsidRDefault="00AA3AFA">
            <w:pPr>
              <w:jc w:val="center"/>
            </w:pPr>
            <w:r>
              <w:rPr>
                <w:rFonts w:cs="Times New Roman"/>
                <w:sz w:val="14"/>
              </w:rPr>
              <w:t>0.792</w:t>
            </w:r>
          </w:p>
        </w:tc>
        <w:tc>
          <w:tcPr>
            <w:tcW w:w="547" w:type="dxa"/>
          </w:tcPr>
          <w:p w:rsidR="007F458A" w:rsidRDefault="00AA3AFA">
            <w:pPr>
              <w:jc w:val="center"/>
            </w:pPr>
            <w:r>
              <w:rPr>
                <w:rFonts w:cs="Times New Roman"/>
                <w:sz w:val="14"/>
              </w:rPr>
              <w:t>0.666</w:t>
            </w:r>
          </w:p>
        </w:tc>
        <w:tc>
          <w:tcPr>
            <w:tcW w:w="504" w:type="dxa"/>
          </w:tcPr>
          <w:p w:rsidR="007F458A" w:rsidRDefault="00AA3AFA">
            <w:pPr>
              <w:jc w:val="center"/>
            </w:pPr>
            <w:r>
              <w:rPr>
                <w:rFonts w:cs="Times New Roman"/>
                <w:sz w:val="14"/>
              </w:rPr>
              <w:t>0.724</w:t>
            </w:r>
          </w:p>
        </w:tc>
        <w:tc>
          <w:tcPr>
            <w:tcW w:w="547" w:type="dxa"/>
          </w:tcPr>
          <w:p w:rsidR="007F458A" w:rsidRDefault="00AA3AFA">
            <w:pPr>
              <w:jc w:val="center"/>
            </w:pPr>
            <w:r>
              <w:rPr>
                <w:rFonts w:cs="Times New Roman"/>
                <w:sz w:val="14"/>
              </w:rPr>
              <w:t>0.932</w:t>
            </w:r>
          </w:p>
        </w:tc>
        <w:tc>
          <w:tcPr>
            <w:tcW w:w="835" w:type="dxa"/>
          </w:tcPr>
          <w:p w:rsidR="007F458A" w:rsidRDefault="00AA3AFA">
            <w:pPr>
              <w:jc w:val="center"/>
            </w:pPr>
            <w:r>
              <w:rPr>
                <w:rFonts w:cs="Times New Roman"/>
                <w:sz w:val="14"/>
              </w:rPr>
              <w:t>0.929±0.001</w:t>
            </w:r>
          </w:p>
        </w:tc>
      </w:tr>
    </w:tbl>
    <w:p w:rsidR="007F458A" w:rsidRDefault="007F458A">
      <w:pPr>
        <w:spacing w:after="60"/>
      </w:pPr>
    </w:p>
    <w:p w:rsidR="007F458A" w:rsidRDefault="00AA3AFA">
      <w:pPr>
        <w:ind w:firstLine="288"/>
        <w:jc w:val="both"/>
      </w:pPr>
      <w:r>
        <w:rPr>
          <w:rFonts w:cs="Times New Roman"/>
        </w:rPr>
        <w:t xml:space="preserve">XGBoost is best on every metric; its </w:t>
      </w:r>
      <w:r>
        <w:rPr>
          <w:rFonts w:cs="Times New Roman"/>
        </w:rPr>
        <w:t>confusion matrix is 7,021 true negatives, 410 false positives, 780 false negatives and 1,558 true positives (specificity 94.5%, PR-AUC 0.838, Brier score 0.0857). Cross-validated AUC is stable (standard deviation 0.0011), and the ranking by cross-validatio</w:t>
      </w:r>
      <w:r>
        <w:rPr>
          <w:rFonts w:cs="Times New Roman"/>
        </w:rPr>
        <w:t>n agrees with the test ranking.</w:t>
      </w:r>
    </w:p>
    <w:p w:rsidR="007F458A" w:rsidRDefault="00AA3AFA">
      <w:pPr>
        <w:keepNext/>
        <w:spacing w:before="80"/>
        <w:jc w:val="center"/>
      </w:pPr>
      <w:r>
        <w:rPr>
          <w:noProof/>
        </w:rPr>
        <w:lastRenderedPageBreak/>
        <w:drawing>
          <wp:inline distT="0" distB="0" distL="0" distR="0">
            <wp:extent cx="2743200" cy="24044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confusion.png"/>
                    <pic:cNvPicPr/>
                  </pic:nvPicPr>
                  <pic:blipFill>
                    <a:blip r:embed="rId8"/>
                    <a:stretch>
                      <a:fillRect/>
                    </a:stretch>
                  </pic:blipFill>
                  <pic:spPr>
                    <a:xfrm>
                      <a:off x="0" y="0"/>
                      <a:ext cx="2743200" cy="2404417"/>
                    </a:xfrm>
                    <a:prstGeom prst="rect">
                      <a:avLst/>
                    </a:prstGeom>
                  </pic:spPr>
                </pic:pic>
              </a:graphicData>
            </a:graphic>
          </wp:inline>
        </w:drawing>
      </w:r>
    </w:p>
    <w:p w:rsidR="007F458A" w:rsidRDefault="00AA3AFA">
      <w:pPr>
        <w:spacing w:after="100"/>
        <w:jc w:val="both"/>
      </w:pPr>
      <w:r>
        <w:rPr>
          <w:rFonts w:cs="Times New Roman"/>
          <w:sz w:val="16"/>
        </w:rPr>
        <w:t>Fig. 3. Confusion matrix of the selected XGBoost model on the test split (threshold 0.5).</w:t>
      </w:r>
    </w:p>
    <w:p w:rsidR="007F458A" w:rsidRDefault="00AA3AFA">
      <w:pPr>
        <w:keepNext/>
        <w:spacing w:before="80"/>
        <w:jc w:val="center"/>
      </w:pPr>
      <w:r>
        <w:rPr>
          <w:rFonts w:cs="Times New Roman"/>
          <w:sz w:val="16"/>
        </w:rPr>
        <w:t>TABLE III</w:t>
      </w:r>
    </w:p>
    <w:p w:rsidR="007F458A" w:rsidRDefault="00AA3AFA">
      <w:pPr>
        <w:keepNext/>
        <w:spacing w:after="40"/>
        <w:jc w:val="center"/>
      </w:pPr>
      <w:r>
        <w:rPr>
          <w:rFonts w:cs="Times New Roman"/>
          <w:sz w:val="16"/>
        </w:rPr>
        <w:t>PER-CLASS RESULTS OF XGBOOST</w:t>
      </w:r>
    </w:p>
    <w:tbl>
      <w:tblPr>
        <w:tblStyle w:val="TableGrid"/>
        <w:tblW w:w="0" w:type="auto"/>
        <w:jc w:val="center"/>
        <w:tblLook w:val="04A0" w:firstRow="1" w:lastRow="0" w:firstColumn="1" w:lastColumn="0" w:noHBand="0" w:noVBand="1"/>
      </w:tblPr>
      <w:tblGrid>
        <w:gridCol w:w="1296"/>
        <w:gridCol w:w="792"/>
        <w:gridCol w:w="720"/>
        <w:gridCol w:w="648"/>
        <w:gridCol w:w="720"/>
      </w:tblGrid>
      <w:tr w:rsidR="007F458A">
        <w:trPr>
          <w:cantSplit/>
          <w:jc w:val="center"/>
        </w:trPr>
        <w:tc>
          <w:tcPr>
            <w:tcW w:w="1296" w:type="dxa"/>
          </w:tcPr>
          <w:p w:rsidR="007F458A" w:rsidRDefault="00AA3AFA">
            <w:pPr>
              <w:keepNext/>
              <w:jc w:val="center"/>
            </w:pPr>
            <w:r>
              <w:rPr>
                <w:rFonts w:cs="Times New Roman"/>
                <w:b/>
                <w:sz w:val="14"/>
              </w:rPr>
              <w:t>Class</w:t>
            </w:r>
          </w:p>
        </w:tc>
        <w:tc>
          <w:tcPr>
            <w:tcW w:w="792" w:type="dxa"/>
          </w:tcPr>
          <w:p w:rsidR="007F458A" w:rsidRDefault="00AA3AFA">
            <w:pPr>
              <w:keepNext/>
              <w:jc w:val="center"/>
            </w:pPr>
            <w:r>
              <w:rPr>
                <w:rFonts w:cs="Times New Roman"/>
                <w:b/>
                <w:sz w:val="14"/>
              </w:rPr>
              <w:t>Precision</w:t>
            </w:r>
          </w:p>
        </w:tc>
        <w:tc>
          <w:tcPr>
            <w:tcW w:w="720" w:type="dxa"/>
          </w:tcPr>
          <w:p w:rsidR="007F458A" w:rsidRDefault="00AA3AFA">
            <w:pPr>
              <w:keepNext/>
              <w:jc w:val="center"/>
            </w:pPr>
            <w:r>
              <w:rPr>
                <w:rFonts w:cs="Times New Roman"/>
                <w:b/>
                <w:sz w:val="14"/>
              </w:rPr>
              <w:t>Recall</w:t>
            </w:r>
          </w:p>
        </w:tc>
        <w:tc>
          <w:tcPr>
            <w:tcW w:w="648" w:type="dxa"/>
          </w:tcPr>
          <w:p w:rsidR="007F458A" w:rsidRDefault="00AA3AFA">
            <w:pPr>
              <w:keepNext/>
              <w:jc w:val="center"/>
            </w:pPr>
            <w:r>
              <w:rPr>
                <w:rFonts w:cs="Times New Roman"/>
                <w:b/>
                <w:sz w:val="14"/>
              </w:rPr>
              <w:t>F1</w:t>
            </w:r>
          </w:p>
        </w:tc>
        <w:tc>
          <w:tcPr>
            <w:tcW w:w="720" w:type="dxa"/>
          </w:tcPr>
          <w:p w:rsidR="007F458A" w:rsidRDefault="00AA3AFA">
            <w:pPr>
              <w:keepNext/>
              <w:jc w:val="center"/>
            </w:pPr>
            <w:r>
              <w:rPr>
                <w:rFonts w:cs="Times New Roman"/>
                <w:b/>
                <w:sz w:val="14"/>
              </w:rPr>
              <w:t>Support</w:t>
            </w:r>
          </w:p>
        </w:tc>
      </w:tr>
      <w:tr w:rsidR="007F458A">
        <w:trPr>
          <w:cantSplit/>
          <w:jc w:val="center"/>
        </w:trPr>
        <w:tc>
          <w:tcPr>
            <w:tcW w:w="1296" w:type="dxa"/>
          </w:tcPr>
          <w:p w:rsidR="007F458A" w:rsidRDefault="00AA3AFA">
            <w:pPr>
              <w:keepNext/>
            </w:pPr>
            <w:r>
              <w:rPr>
                <w:rFonts w:cs="Times New Roman"/>
                <w:sz w:val="14"/>
              </w:rPr>
              <w:t>Income &lt;=50K</w:t>
            </w:r>
          </w:p>
        </w:tc>
        <w:tc>
          <w:tcPr>
            <w:tcW w:w="792" w:type="dxa"/>
          </w:tcPr>
          <w:p w:rsidR="007F458A" w:rsidRDefault="00AA3AFA">
            <w:pPr>
              <w:keepNext/>
              <w:jc w:val="center"/>
            </w:pPr>
            <w:r>
              <w:rPr>
                <w:rFonts w:cs="Times New Roman"/>
                <w:sz w:val="14"/>
              </w:rPr>
              <w:t>0.900</w:t>
            </w:r>
          </w:p>
        </w:tc>
        <w:tc>
          <w:tcPr>
            <w:tcW w:w="720" w:type="dxa"/>
          </w:tcPr>
          <w:p w:rsidR="007F458A" w:rsidRDefault="00AA3AFA">
            <w:pPr>
              <w:keepNext/>
              <w:jc w:val="center"/>
            </w:pPr>
            <w:r>
              <w:rPr>
                <w:rFonts w:cs="Times New Roman"/>
                <w:sz w:val="14"/>
              </w:rPr>
              <w:t>0.945</w:t>
            </w:r>
          </w:p>
        </w:tc>
        <w:tc>
          <w:tcPr>
            <w:tcW w:w="648" w:type="dxa"/>
          </w:tcPr>
          <w:p w:rsidR="007F458A" w:rsidRDefault="00AA3AFA">
            <w:pPr>
              <w:keepNext/>
              <w:jc w:val="center"/>
            </w:pPr>
            <w:r>
              <w:rPr>
                <w:rFonts w:cs="Times New Roman"/>
                <w:sz w:val="14"/>
              </w:rPr>
              <w:t>0.922</w:t>
            </w:r>
          </w:p>
        </w:tc>
        <w:tc>
          <w:tcPr>
            <w:tcW w:w="720" w:type="dxa"/>
          </w:tcPr>
          <w:p w:rsidR="007F458A" w:rsidRDefault="00AA3AFA">
            <w:pPr>
              <w:keepNext/>
              <w:jc w:val="center"/>
            </w:pPr>
            <w:r>
              <w:rPr>
                <w:rFonts w:cs="Times New Roman"/>
                <w:sz w:val="14"/>
              </w:rPr>
              <w:t>7,431</w:t>
            </w:r>
          </w:p>
        </w:tc>
      </w:tr>
      <w:tr w:rsidR="007F458A">
        <w:trPr>
          <w:cantSplit/>
          <w:jc w:val="center"/>
        </w:trPr>
        <w:tc>
          <w:tcPr>
            <w:tcW w:w="1296" w:type="dxa"/>
          </w:tcPr>
          <w:p w:rsidR="007F458A" w:rsidRDefault="00AA3AFA">
            <w:r>
              <w:rPr>
                <w:rFonts w:cs="Times New Roman"/>
                <w:sz w:val="14"/>
              </w:rPr>
              <w:t>Income &gt;50K</w:t>
            </w:r>
          </w:p>
        </w:tc>
        <w:tc>
          <w:tcPr>
            <w:tcW w:w="792" w:type="dxa"/>
          </w:tcPr>
          <w:p w:rsidR="007F458A" w:rsidRDefault="00AA3AFA">
            <w:pPr>
              <w:jc w:val="center"/>
            </w:pPr>
            <w:r>
              <w:rPr>
                <w:rFonts w:cs="Times New Roman"/>
                <w:sz w:val="14"/>
              </w:rPr>
              <w:t>0.792</w:t>
            </w:r>
          </w:p>
        </w:tc>
        <w:tc>
          <w:tcPr>
            <w:tcW w:w="720" w:type="dxa"/>
          </w:tcPr>
          <w:p w:rsidR="007F458A" w:rsidRDefault="00AA3AFA">
            <w:pPr>
              <w:jc w:val="center"/>
            </w:pPr>
            <w:r>
              <w:rPr>
                <w:rFonts w:cs="Times New Roman"/>
                <w:sz w:val="14"/>
              </w:rPr>
              <w:t>0.666</w:t>
            </w:r>
          </w:p>
        </w:tc>
        <w:tc>
          <w:tcPr>
            <w:tcW w:w="648" w:type="dxa"/>
          </w:tcPr>
          <w:p w:rsidR="007F458A" w:rsidRDefault="00AA3AFA">
            <w:pPr>
              <w:jc w:val="center"/>
            </w:pPr>
            <w:r>
              <w:rPr>
                <w:rFonts w:cs="Times New Roman"/>
                <w:sz w:val="14"/>
              </w:rPr>
              <w:t>0.724</w:t>
            </w:r>
          </w:p>
        </w:tc>
        <w:tc>
          <w:tcPr>
            <w:tcW w:w="720" w:type="dxa"/>
          </w:tcPr>
          <w:p w:rsidR="007F458A" w:rsidRDefault="00AA3AFA">
            <w:pPr>
              <w:jc w:val="center"/>
            </w:pPr>
            <w:r>
              <w:rPr>
                <w:rFonts w:cs="Times New Roman"/>
                <w:sz w:val="14"/>
              </w:rPr>
              <w:t>2,338</w:t>
            </w:r>
          </w:p>
        </w:tc>
      </w:tr>
    </w:tbl>
    <w:p w:rsidR="007F458A" w:rsidRDefault="007F458A">
      <w:pPr>
        <w:spacing w:after="60"/>
      </w:pPr>
    </w:p>
    <w:p w:rsidR="007F458A" w:rsidRDefault="00AA3AFA">
      <w:pPr>
        <w:ind w:firstLine="288"/>
        <w:jc w:val="both"/>
      </w:pPr>
      <w:r>
        <w:rPr>
          <w:rFonts w:cs="Times New Roman"/>
        </w:rPr>
        <w:t xml:space="preserve">The majority class is easy (recall 0.945), the minority class is where the model errs. Logistic regression is a strong baseline here: XGBoost improves its AUC by only 0.018, whereas the base paper's gap between XGBoost and logistic </w:t>
      </w:r>
      <w:r>
        <w:rPr>
          <w:rFonts w:cs="Times New Roman"/>
        </w:rPr>
        <w:t>regression is 0.066 (0.842 against 0.776). Random Forest has the lowest AUC of the four. Interaction effects therefore matter, but less than in the hospital panel.</w:t>
      </w:r>
    </w:p>
    <w:p w:rsidR="007F458A" w:rsidRDefault="00AA3AFA">
      <w:pPr>
        <w:keepNext/>
        <w:spacing w:before="80"/>
        <w:jc w:val="center"/>
      </w:pPr>
      <w:r>
        <w:rPr>
          <w:noProof/>
        </w:rPr>
        <w:drawing>
          <wp:inline distT="0" distB="0" distL="0" distR="0">
            <wp:extent cx="3108960" cy="18569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9"/>
                    <a:stretch>
                      <a:fillRect/>
                    </a:stretch>
                  </pic:blipFill>
                  <pic:spPr>
                    <a:xfrm>
                      <a:off x="0" y="0"/>
                      <a:ext cx="3108960" cy="1856965"/>
                    </a:xfrm>
                    <a:prstGeom prst="rect">
                      <a:avLst/>
                    </a:prstGeom>
                  </pic:spPr>
                </pic:pic>
              </a:graphicData>
            </a:graphic>
          </wp:inline>
        </w:drawing>
      </w:r>
    </w:p>
    <w:p w:rsidR="007F458A" w:rsidRDefault="00AA3AFA">
      <w:pPr>
        <w:spacing w:after="100"/>
        <w:jc w:val="both"/>
      </w:pPr>
      <w:r>
        <w:rPr>
          <w:rFonts w:cs="Times New Roman"/>
          <w:sz w:val="16"/>
        </w:rPr>
        <w:t>Fig. 4. Accuracy, precision, recall, F1 and ROC-AUC of the four classifiers on the same te</w:t>
      </w:r>
      <w:r>
        <w:rPr>
          <w:rFonts w:cs="Times New Roman"/>
          <w:sz w:val="16"/>
        </w:rPr>
        <w:t>st split.</w:t>
      </w:r>
    </w:p>
    <w:p w:rsidR="007F458A" w:rsidRDefault="00AA3AFA">
      <w:pPr>
        <w:ind w:firstLine="288"/>
        <w:jc w:val="both"/>
      </w:pPr>
      <w:r>
        <w:rPr>
          <w:rFonts w:cs="Times New Roman"/>
        </w:rPr>
        <w:t>Threshold. Lowering the threshold to 0.35 raises recall from 0.666 to 0.781 at precision 0.690 (F1 0.733); raising it to 0.60 gives precision 0.852 and recall 0.585. The default 0.5 is therefore a choice, not an optimum for recall. Calibration is</w:t>
      </w:r>
      <w:r>
        <w:rPr>
          <w:rFonts w:cs="Times New Roman"/>
        </w:rPr>
        <w:t xml:space="preserve"> close: in the lowest bin mean prediction is 0.021 against an observed rate 0.022, and the largest gap is in the 0.4-0.5 bin (0.447 against 0.406).</w:t>
      </w:r>
    </w:p>
    <w:p w:rsidR="007F458A" w:rsidRDefault="00AA3AFA">
      <w:pPr>
        <w:keepNext/>
        <w:spacing w:before="80"/>
        <w:jc w:val="center"/>
      </w:pPr>
      <w:r>
        <w:rPr>
          <w:noProof/>
        </w:rPr>
        <w:drawing>
          <wp:inline distT="0" distB="0" distL="0" distR="0">
            <wp:extent cx="3108960" cy="20953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sweep.png"/>
                    <pic:cNvPicPr/>
                  </pic:nvPicPr>
                  <pic:blipFill>
                    <a:blip r:embed="rId10"/>
                    <a:stretch>
                      <a:fillRect/>
                    </a:stretch>
                  </pic:blipFill>
                  <pic:spPr>
                    <a:xfrm>
                      <a:off x="0" y="0"/>
                      <a:ext cx="3108960" cy="2095324"/>
                    </a:xfrm>
                    <a:prstGeom prst="rect">
                      <a:avLst/>
                    </a:prstGeom>
                  </pic:spPr>
                </pic:pic>
              </a:graphicData>
            </a:graphic>
          </wp:inline>
        </w:drawing>
      </w:r>
    </w:p>
    <w:p w:rsidR="007F458A" w:rsidRDefault="00AA3AFA">
      <w:pPr>
        <w:spacing w:after="100"/>
        <w:jc w:val="both"/>
      </w:pPr>
      <w:r>
        <w:rPr>
          <w:rFonts w:cs="Times New Roman"/>
          <w:sz w:val="16"/>
        </w:rPr>
        <w:t>Fig. 5. Precision, recall, F1 and accuracy of XGBoost as the decision threshold moves from 0.2 to 0.8.</w:t>
      </w:r>
    </w:p>
    <w:p w:rsidR="007F458A" w:rsidRDefault="00AA3AFA">
      <w:pPr>
        <w:ind w:firstLine="288"/>
        <w:jc w:val="both"/>
      </w:pPr>
      <w:r>
        <w:rPr>
          <w:rFonts w:cs="Times New Roman"/>
        </w:rPr>
        <w:t>Pro</w:t>
      </w:r>
      <w:r>
        <w:rPr>
          <w:rFonts w:cs="Times New Roman"/>
        </w:rPr>
        <w:t>files. The application's bands separate the groups well: of 7,123 test records called Emerging, 7.2% actually earn above 50K; of 1,041 Developing, 44.0%; of 1,605 Established, 85.2%.</w:t>
      </w:r>
    </w:p>
    <w:p w:rsidR="007F458A" w:rsidRDefault="00AA3AFA">
      <w:pPr>
        <w:ind w:firstLine="288"/>
        <w:jc w:val="both"/>
      </w:pPr>
      <w:r>
        <w:rPr>
          <w:rFonts w:cs="Times New Roman"/>
        </w:rPr>
        <w:t>Explanation. The mean absolute SHAP values rank married-civilian-spouse s</w:t>
      </w:r>
      <w:r>
        <w:rPr>
          <w:rFonts w:cs="Times New Roman"/>
        </w:rPr>
        <w:t>tatus first (1.012), then age (0.665), years of education (0.444), capital gains (0.401) and weekly hours (0.315); a logistic regression on four numeric variables gives positive coefficients, all with p &lt; 0.001, and the strongest correlation with the targe</w:t>
      </w:r>
      <w:r>
        <w:rPr>
          <w:rFonts w:cs="Times New Roman"/>
        </w:rPr>
        <w:t>t is education (0.335). These are associations, not causes.</w:t>
      </w:r>
    </w:p>
    <w:p w:rsidR="007F458A" w:rsidRDefault="00AA3AFA">
      <w:pPr>
        <w:keepNext/>
        <w:spacing w:before="80"/>
        <w:jc w:val="center"/>
      </w:pPr>
      <w:r>
        <w:rPr>
          <w:noProof/>
        </w:rPr>
        <w:drawing>
          <wp:inline distT="0" distB="0" distL="0" distR="0">
            <wp:extent cx="3108960" cy="15409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top.png"/>
                    <pic:cNvPicPr/>
                  </pic:nvPicPr>
                  <pic:blipFill>
                    <a:blip r:embed="rId11"/>
                    <a:stretch>
                      <a:fillRect/>
                    </a:stretch>
                  </pic:blipFill>
                  <pic:spPr>
                    <a:xfrm>
                      <a:off x="0" y="0"/>
                      <a:ext cx="3108960" cy="1540986"/>
                    </a:xfrm>
                    <a:prstGeom prst="rect">
                      <a:avLst/>
                    </a:prstGeom>
                  </pic:spPr>
                </pic:pic>
              </a:graphicData>
            </a:graphic>
          </wp:inline>
        </w:drawing>
      </w:r>
    </w:p>
    <w:p w:rsidR="007F458A" w:rsidRDefault="00AA3AFA">
      <w:pPr>
        <w:spacing w:after="100"/>
        <w:jc w:val="both"/>
      </w:pPr>
      <w:r>
        <w:rPr>
          <w:rFonts w:cs="Times New Roman"/>
          <w:sz w:val="16"/>
        </w:rPr>
        <w:t>Fig. 6. Global feature importance: mean absolute SHAP value of the twelve strongest features.</w:t>
      </w:r>
    </w:p>
    <w:p w:rsidR="007F458A" w:rsidRDefault="00AA3AFA">
      <w:pPr>
        <w:ind w:firstLine="288"/>
        <w:jc w:val="both"/>
      </w:pPr>
      <w:r>
        <w:rPr>
          <w:rFonts w:cs="Times New Roman"/>
        </w:rPr>
        <w:t>Significance. XGBoost leads Gradient Boosting by 0.007 AUC, about three times the largest fold-to-fo</w:t>
      </w:r>
      <w:r>
        <w:rPr>
          <w:rFonts w:cs="Times New Roman"/>
        </w:rPr>
        <w:t>ld standard deviation (0.0022), but no formal significance test such as DeLong's was run, and the model was chosen on the test split, so the margin should be read as indicative.</w:t>
      </w:r>
    </w:p>
    <w:p w:rsidR="007F458A" w:rsidRDefault="00AA3AFA">
      <w:pPr>
        <w:ind w:firstLine="288"/>
        <w:jc w:val="both"/>
      </w:pPr>
      <w:r>
        <w:rPr>
          <w:rFonts w:cs="Times New Roman"/>
        </w:rPr>
        <w:t>Local explanation. For a 52-year-old married executive with a Master's degree,</w:t>
      </w:r>
      <w:r>
        <w:rPr>
          <w:rFonts w:cs="Times New Roman"/>
        </w:rPr>
        <w:t xml:space="preserve"> 50 weekly hours and investment gains of 7,688 the application returns an Established profile at Low risk with a score of 99.9 %; the largest strengthening contributions are investment gains (+4.678 log-odds), married-civilian-spouse status (+1.004), age (</w:t>
      </w:r>
      <w:r>
        <w:rPr>
          <w:rFonts w:cs="Times New Roman"/>
        </w:rPr>
        <w:t>+0.550), years of education (+0.527) and net investment position (+0.424), and the largest weakening one is overall investment activity (-0.243). A 34-year-old sales employee with some college, 42 hours and no gains is scored 46.8 %, Developing at Moderate</w:t>
      </w:r>
      <w:r>
        <w:rPr>
          <w:rFonts w:cs="Times New Roman"/>
        </w:rPr>
        <w:t xml:space="preserve"> risk.</w:t>
      </w:r>
    </w:p>
    <w:p w:rsidR="007F458A" w:rsidRDefault="00AA3AFA">
      <w:pPr>
        <w:ind w:firstLine="288"/>
        <w:jc w:val="both"/>
      </w:pPr>
      <w:r>
        <w:rPr>
          <w:rFonts w:cs="Times New Roman"/>
        </w:rPr>
        <w:lastRenderedPageBreak/>
        <w:t>Interface. The dashboard shows the serving model, accuracy 87.8%, ROC-AUC 0.932 and F1 0.724 read from the artifacts, the five strongest SHAP drivers and the forecast outlook; the performance screen lists the four-model comparison, the confusion mat</w:t>
      </w:r>
      <w:r>
        <w:rPr>
          <w:rFonts w:cs="Times New Roman"/>
        </w:rPr>
        <w:t>rix, ROC curves, per-fold AUCs and the statistics table. Invalid input is rejected with field-level messages (for example an age of 7 is refused with 'must be between 16 and 100'), and every analysis screen carries the disclaimer that the output is informa</w:t>
      </w:r>
      <w:r>
        <w:rPr>
          <w:rFonts w:cs="Times New Roman"/>
        </w:rPr>
        <w:t>tional, not financial advice.</w:t>
      </w:r>
    </w:p>
    <w:p w:rsidR="007F458A" w:rsidRDefault="00AA3AFA">
      <w:pPr>
        <w:keepNext/>
        <w:spacing w:before="80"/>
        <w:jc w:val="center"/>
      </w:pPr>
      <w:r>
        <w:rPr>
          <w:noProof/>
        </w:rPr>
        <w:drawing>
          <wp:inline distT="0" distB="0" distL="0" distR="0">
            <wp:extent cx="3108960" cy="21149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result.png"/>
                    <pic:cNvPicPr/>
                  </pic:nvPicPr>
                  <pic:blipFill>
                    <a:blip r:embed="rId12"/>
                    <a:stretch>
                      <a:fillRect/>
                    </a:stretch>
                  </pic:blipFill>
                  <pic:spPr>
                    <a:xfrm>
                      <a:off x="0" y="0"/>
                      <a:ext cx="3108960" cy="2114939"/>
                    </a:xfrm>
                    <a:prstGeom prst="rect">
                      <a:avLst/>
                    </a:prstGeom>
                  </pic:spPr>
                </pic:pic>
              </a:graphicData>
            </a:graphic>
          </wp:inline>
        </w:drawing>
      </w:r>
    </w:p>
    <w:p w:rsidR="007F458A" w:rsidRDefault="00AA3AFA">
      <w:pPr>
        <w:spacing w:after="100"/>
        <w:jc w:val="center"/>
      </w:pPr>
      <w:r>
        <w:rPr>
          <w:rFonts w:cs="Times New Roman"/>
          <w:sz w:val="16"/>
        </w:rPr>
        <w:t>Fig. 7. Output screen: an Established profile with live SHAP factors.</w:t>
      </w:r>
    </w:p>
    <w:p w:rsidR="007F458A" w:rsidRDefault="00AA3AFA">
      <w:pPr>
        <w:keepNext/>
        <w:spacing w:before="80"/>
        <w:jc w:val="center"/>
      </w:pPr>
      <w:r>
        <w:rPr>
          <w:noProof/>
        </w:rPr>
        <w:drawing>
          <wp:inline distT="0" distB="0" distL="0" distR="0">
            <wp:extent cx="3108960" cy="19298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whatif.png"/>
                    <pic:cNvPicPr/>
                  </pic:nvPicPr>
                  <pic:blipFill>
                    <a:blip r:embed="rId13"/>
                    <a:stretch>
                      <a:fillRect/>
                    </a:stretch>
                  </pic:blipFill>
                  <pic:spPr>
                    <a:xfrm>
                      <a:off x="0" y="0"/>
                      <a:ext cx="3108960" cy="1929882"/>
                    </a:xfrm>
                    <a:prstGeom prst="rect">
                      <a:avLst/>
                    </a:prstGeom>
                  </pic:spPr>
                </pic:pic>
              </a:graphicData>
            </a:graphic>
          </wp:inline>
        </w:drawing>
      </w:r>
    </w:p>
    <w:p w:rsidR="007F458A" w:rsidRDefault="00AA3AFA">
      <w:pPr>
        <w:spacing w:after="100"/>
        <w:jc w:val="center"/>
      </w:pPr>
      <w:r>
        <w:rPr>
          <w:rFonts w:cs="Times New Roman"/>
          <w:sz w:val="16"/>
        </w:rPr>
        <w:t>Fig. 8. Output screen: what-if comparison of a baseline and a scenario.</w:t>
      </w:r>
    </w:p>
    <w:p w:rsidR="007F458A" w:rsidRDefault="00AA3AFA">
      <w:pPr>
        <w:keepNext/>
        <w:spacing w:before="80"/>
        <w:jc w:val="center"/>
      </w:pPr>
      <w:r>
        <w:rPr>
          <w:rFonts w:cs="Times New Roman"/>
          <w:sz w:val="16"/>
        </w:rPr>
        <w:t>TABLE IV</w:t>
      </w:r>
    </w:p>
    <w:p w:rsidR="007F458A" w:rsidRDefault="00AA3AFA">
      <w:pPr>
        <w:keepNext/>
        <w:spacing w:after="40"/>
        <w:jc w:val="center"/>
      </w:pPr>
      <w:r>
        <w:rPr>
          <w:rFonts w:cs="Times New Roman"/>
          <w:sz w:val="16"/>
        </w:rPr>
        <w:t>PROFILE BANDS ON THE TEST SPLIT AND MEASURED RESPONSE TIMES</w:t>
      </w:r>
    </w:p>
    <w:tbl>
      <w:tblPr>
        <w:tblStyle w:val="TableGrid"/>
        <w:tblW w:w="0" w:type="auto"/>
        <w:jc w:val="center"/>
        <w:tblLook w:val="04A0" w:firstRow="1" w:lastRow="0" w:firstColumn="1" w:lastColumn="0" w:noHBand="0" w:noVBand="1"/>
      </w:tblPr>
      <w:tblGrid>
        <w:gridCol w:w="3168"/>
        <w:gridCol w:w="1584"/>
      </w:tblGrid>
      <w:tr w:rsidR="007F458A">
        <w:trPr>
          <w:cantSplit/>
          <w:jc w:val="center"/>
        </w:trPr>
        <w:tc>
          <w:tcPr>
            <w:tcW w:w="3168" w:type="dxa"/>
          </w:tcPr>
          <w:p w:rsidR="007F458A" w:rsidRDefault="00AA3AFA">
            <w:pPr>
              <w:keepNext/>
              <w:jc w:val="center"/>
            </w:pPr>
            <w:r>
              <w:rPr>
                <w:rFonts w:cs="Times New Roman"/>
                <w:b/>
                <w:sz w:val="14"/>
              </w:rPr>
              <w:t>Item</w:t>
            </w:r>
          </w:p>
        </w:tc>
        <w:tc>
          <w:tcPr>
            <w:tcW w:w="1584" w:type="dxa"/>
          </w:tcPr>
          <w:p w:rsidR="007F458A" w:rsidRDefault="00AA3AFA">
            <w:pPr>
              <w:keepNext/>
              <w:jc w:val="center"/>
            </w:pPr>
            <w:r>
              <w:rPr>
                <w:rFonts w:cs="Times New Roman"/>
                <w:b/>
                <w:sz w:val="14"/>
              </w:rPr>
              <w:t>Value</w:t>
            </w:r>
          </w:p>
        </w:tc>
      </w:tr>
      <w:tr w:rsidR="007F458A">
        <w:trPr>
          <w:cantSplit/>
          <w:jc w:val="center"/>
        </w:trPr>
        <w:tc>
          <w:tcPr>
            <w:tcW w:w="3168" w:type="dxa"/>
          </w:tcPr>
          <w:p w:rsidR="007F458A" w:rsidRDefault="00AA3AFA">
            <w:pPr>
              <w:keepNext/>
            </w:pPr>
            <w:r>
              <w:rPr>
                <w:rFonts w:cs="Times New Roman"/>
                <w:sz w:val="14"/>
              </w:rPr>
              <w:t>Emerging: rows / observed &gt;50K</w:t>
            </w:r>
          </w:p>
        </w:tc>
        <w:tc>
          <w:tcPr>
            <w:tcW w:w="1584" w:type="dxa"/>
          </w:tcPr>
          <w:p w:rsidR="007F458A" w:rsidRDefault="00AA3AFA">
            <w:pPr>
              <w:keepNext/>
              <w:jc w:val="center"/>
            </w:pPr>
            <w:r>
              <w:rPr>
                <w:rFonts w:cs="Times New Roman"/>
                <w:sz w:val="14"/>
              </w:rPr>
              <w:t>7,123 / 7.2%</w:t>
            </w:r>
          </w:p>
        </w:tc>
      </w:tr>
      <w:tr w:rsidR="007F458A">
        <w:trPr>
          <w:cantSplit/>
          <w:jc w:val="center"/>
        </w:trPr>
        <w:tc>
          <w:tcPr>
            <w:tcW w:w="3168" w:type="dxa"/>
          </w:tcPr>
          <w:p w:rsidR="007F458A" w:rsidRDefault="00AA3AFA">
            <w:pPr>
              <w:keepNext/>
            </w:pPr>
            <w:r>
              <w:rPr>
                <w:rFonts w:cs="Times New Roman"/>
                <w:sz w:val="14"/>
              </w:rPr>
              <w:t>Developing: rows / observed &gt;50K</w:t>
            </w:r>
          </w:p>
        </w:tc>
        <w:tc>
          <w:tcPr>
            <w:tcW w:w="1584" w:type="dxa"/>
          </w:tcPr>
          <w:p w:rsidR="007F458A" w:rsidRDefault="00AA3AFA">
            <w:pPr>
              <w:keepNext/>
              <w:jc w:val="center"/>
            </w:pPr>
            <w:r>
              <w:rPr>
                <w:rFonts w:cs="Times New Roman"/>
                <w:sz w:val="14"/>
              </w:rPr>
              <w:t>1,041 / 44.0%</w:t>
            </w:r>
          </w:p>
        </w:tc>
      </w:tr>
      <w:tr w:rsidR="007F458A">
        <w:trPr>
          <w:cantSplit/>
          <w:jc w:val="center"/>
        </w:trPr>
        <w:tc>
          <w:tcPr>
            <w:tcW w:w="3168" w:type="dxa"/>
          </w:tcPr>
          <w:p w:rsidR="007F458A" w:rsidRDefault="00AA3AFA">
            <w:pPr>
              <w:keepNext/>
            </w:pPr>
            <w:r>
              <w:rPr>
                <w:rFonts w:cs="Times New Roman"/>
                <w:sz w:val="14"/>
              </w:rPr>
              <w:t>Established: rows / observed &gt;50K</w:t>
            </w:r>
          </w:p>
        </w:tc>
        <w:tc>
          <w:tcPr>
            <w:tcW w:w="1584" w:type="dxa"/>
          </w:tcPr>
          <w:p w:rsidR="007F458A" w:rsidRDefault="00AA3AFA">
            <w:pPr>
              <w:keepNext/>
              <w:jc w:val="center"/>
            </w:pPr>
            <w:r>
              <w:rPr>
                <w:rFonts w:cs="Times New Roman"/>
                <w:sz w:val="14"/>
              </w:rPr>
              <w:t>1,605 / 85.2%</w:t>
            </w:r>
          </w:p>
        </w:tc>
      </w:tr>
      <w:tr w:rsidR="007F458A">
        <w:trPr>
          <w:cantSplit/>
          <w:jc w:val="center"/>
        </w:trPr>
        <w:tc>
          <w:tcPr>
            <w:tcW w:w="3168" w:type="dxa"/>
          </w:tcPr>
          <w:p w:rsidR="007F458A" w:rsidRDefault="00AA3AFA">
            <w:pPr>
              <w:keepNext/>
            </w:pPr>
            <w:r>
              <w:rPr>
                <w:rFonts w:cs="Times New Roman"/>
                <w:sz w:val="14"/>
              </w:rPr>
              <w:t>POST /api/predict, median / p95</w:t>
            </w:r>
          </w:p>
        </w:tc>
        <w:tc>
          <w:tcPr>
            <w:tcW w:w="1584" w:type="dxa"/>
          </w:tcPr>
          <w:p w:rsidR="007F458A" w:rsidRDefault="00AA3AFA">
            <w:pPr>
              <w:keepNext/>
              <w:jc w:val="center"/>
            </w:pPr>
            <w:r>
              <w:rPr>
                <w:rFonts w:cs="Times New Roman"/>
                <w:sz w:val="14"/>
              </w:rPr>
              <w:t>68.9 / 116.9 ms</w:t>
            </w:r>
          </w:p>
        </w:tc>
      </w:tr>
      <w:tr w:rsidR="007F458A">
        <w:trPr>
          <w:cantSplit/>
          <w:jc w:val="center"/>
        </w:trPr>
        <w:tc>
          <w:tcPr>
            <w:tcW w:w="3168" w:type="dxa"/>
          </w:tcPr>
          <w:p w:rsidR="007F458A" w:rsidRDefault="00AA3AFA">
            <w:pPr>
              <w:keepNext/>
            </w:pPr>
            <w:r>
              <w:rPr>
                <w:rFonts w:cs="Times New Roman"/>
                <w:sz w:val="14"/>
              </w:rPr>
              <w:t>POST /api/whatif, median / p95</w:t>
            </w:r>
          </w:p>
        </w:tc>
        <w:tc>
          <w:tcPr>
            <w:tcW w:w="1584" w:type="dxa"/>
          </w:tcPr>
          <w:p w:rsidR="007F458A" w:rsidRDefault="00AA3AFA">
            <w:pPr>
              <w:keepNext/>
              <w:jc w:val="center"/>
            </w:pPr>
            <w:r>
              <w:rPr>
                <w:rFonts w:cs="Times New Roman"/>
                <w:sz w:val="14"/>
              </w:rPr>
              <w:t>136.1 / 193.7 ms</w:t>
            </w:r>
          </w:p>
        </w:tc>
      </w:tr>
      <w:tr w:rsidR="007F458A">
        <w:trPr>
          <w:cantSplit/>
          <w:jc w:val="center"/>
        </w:trPr>
        <w:tc>
          <w:tcPr>
            <w:tcW w:w="3168" w:type="dxa"/>
          </w:tcPr>
          <w:p w:rsidR="007F458A" w:rsidRDefault="00AA3AFA">
            <w:r>
              <w:rPr>
                <w:rFonts w:cs="Times New Roman"/>
                <w:sz w:val="14"/>
              </w:rPr>
              <w:t>GET /api/foreca</w:t>
            </w:r>
            <w:r>
              <w:rPr>
                <w:rFonts w:cs="Times New Roman"/>
                <w:sz w:val="14"/>
              </w:rPr>
              <w:t>st, median / p95</w:t>
            </w:r>
          </w:p>
        </w:tc>
        <w:tc>
          <w:tcPr>
            <w:tcW w:w="1584" w:type="dxa"/>
          </w:tcPr>
          <w:p w:rsidR="007F458A" w:rsidRDefault="00AA3AFA">
            <w:pPr>
              <w:jc w:val="center"/>
            </w:pPr>
            <w:r>
              <w:rPr>
                <w:rFonts w:cs="Times New Roman"/>
                <w:sz w:val="14"/>
              </w:rPr>
              <w:t>7.3 / 27.1 ms</w:t>
            </w:r>
          </w:p>
        </w:tc>
      </w:tr>
    </w:tbl>
    <w:p w:rsidR="007F458A" w:rsidRDefault="007F458A">
      <w:pPr>
        <w:spacing w:after="60"/>
      </w:pPr>
    </w:p>
    <w:p w:rsidR="007F458A" w:rsidRDefault="00AA3AFA">
      <w:pPr>
        <w:keepNext/>
        <w:spacing w:before="80"/>
        <w:jc w:val="center"/>
      </w:pPr>
      <w:r>
        <w:rPr>
          <w:noProof/>
        </w:rPr>
        <w:drawing>
          <wp:inline distT="0" distB="0" distL="0" distR="0">
            <wp:extent cx="3108960" cy="15591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plot.png"/>
                    <pic:cNvPicPr/>
                  </pic:nvPicPr>
                  <pic:blipFill>
                    <a:blip r:embed="rId14"/>
                    <a:stretch>
                      <a:fillRect/>
                    </a:stretch>
                  </pic:blipFill>
                  <pic:spPr>
                    <a:xfrm>
                      <a:off x="0" y="0"/>
                      <a:ext cx="3108960" cy="1559186"/>
                    </a:xfrm>
                    <a:prstGeom prst="rect">
                      <a:avLst/>
                    </a:prstGeom>
                  </pic:spPr>
                </pic:pic>
              </a:graphicData>
            </a:graphic>
          </wp:inline>
        </w:drawing>
      </w:r>
    </w:p>
    <w:p w:rsidR="007F458A" w:rsidRDefault="00AA3AFA">
      <w:pPr>
        <w:spacing w:after="100"/>
        <w:jc w:val="both"/>
      </w:pPr>
      <w:r>
        <w:rPr>
          <w:rFonts w:cs="Times New Roman"/>
          <w:sz w:val="16"/>
        </w:rPr>
        <w:t>Fig. 9. Twelve-month Holt-Winters forecast with a 95 % band on the synthetic Household Financial Conditions Index.</w:t>
      </w:r>
    </w:p>
    <w:p w:rsidR="007F458A" w:rsidRDefault="00AA3AFA">
      <w:pPr>
        <w:ind w:firstLine="288"/>
        <w:jc w:val="both"/>
      </w:pPr>
      <w:r>
        <w:rPr>
          <w:rFonts w:cs="Times New Roman"/>
        </w:rPr>
        <w:t xml:space="preserve">Testing. The 9 pytest cases (seven on the application, two on feature engineering) check that every page </w:t>
      </w:r>
      <w:r>
        <w:rPr>
          <w:rFonts w:cs="Times New Roman"/>
        </w:rPr>
        <w:t>loads, that a valid assessment gives different output for different inputs (nothing is hard-coded), that invalid or missing input returns HTTP 400, that the JSON prediction and forecast endpoints return a probability, SHAP contributions and twelve forecast</w:t>
      </w:r>
      <w:r>
        <w:rPr>
          <w:rFonts w:cs="Times New Roman"/>
        </w:rPr>
        <w:t xml:space="preserve"> points, that a what-if request changes the score, and that the persisted artifacts are complete, that derived features are computed and that missing values are handled. The smoke test adds 35 checks of the live servers. Load, browser-matrix and user-accep</w:t>
      </w:r>
      <w:r>
        <w:rPr>
          <w:rFonts w:cs="Times New Roman"/>
        </w:rPr>
        <w:t>tance testing were not carried out.</w:t>
      </w:r>
    </w:p>
    <w:p w:rsidR="007F458A" w:rsidRDefault="00AA3AFA">
      <w:pPr>
        <w:ind w:firstLine="288"/>
        <w:jc w:val="both"/>
      </w:pPr>
      <w:r>
        <w:rPr>
          <w:rFonts w:cs="Times New Roman"/>
        </w:rPr>
        <w:t>System. All 9 automated tests and 35 of 35 smoke checks pass. On 127.0.0.1 a prediction with SHAP takes a median 69 ms (95th percentile 117 ms) and a what-if comparison 136 ms on the CPU above. Forecast. The index is pro</w:t>
      </w:r>
      <w:r>
        <w:rPr>
          <w:rFonts w:cs="Times New Roman"/>
        </w:rPr>
        <w:t>jected from 141.7 to 146.55 (+3.46 %). Back-tested on the held-out final year of the synthetic series, MAE is 1.429 against 4.504 for a last-value forecast and MAPE 1.00 %; this only shows that the method recovers its own generator and says nothing about r</w:t>
      </w:r>
      <w:r>
        <w:rPr>
          <w:rFonts w:cs="Times New Roman"/>
        </w:rPr>
        <w:t>eal-world forecasting accuracy.</w:t>
      </w:r>
    </w:p>
    <w:p w:rsidR="007F458A" w:rsidRDefault="00AA3AFA">
      <w:pPr>
        <w:ind w:firstLine="288"/>
        <w:jc w:val="both"/>
      </w:pPr>
      <w:r>
        <w:rPr>
          <w:rFonts w:cs="Times New Roman"/>
        </w:rPr>
        <w:t xml:space="preserve">Comparison with the base paper. The base paper reports AUC 0.842 for XGBoost on 165 hospitals under hospital-level Group K-Fold and 0.780 on a temporal hold-out; here XGBoost reaches 0.932 on individual census records. The </w:t>
      </w:r>
      <w:r>
        <w:rPr>
          <w:rFonts w:cs="Times New Roman"/>
        </w:rPr>
        <w:t>two numbers must not be ranked against each other: the entities, the target (income above 50K versus a hospital deficit), the sample size (48,842 versus 825), the validation protocol (random stratified versus entity-grouped and temporal) and the features a</w:t>
      </w:r>
      <w:r>
        <w:rPr>
          <w:rFonts w:cs="Times New Roman"/>
        </w:rPr>
        <w:t>ll differ. What carries over is the ordering of model families, with boosted trees ahead of linear models, and the use of SHAP.</w:t>
      </w:r>
    </w:p>
    <w:p w:rsidR="007F458A" w:rsidRDefault="00AA3AFA">
      <w:pPr>
        <w:ind w:firstLine="288"/>
        <w:jc w:val="both"/>
      </w:pPr>
      <w:r>
        <w:rPr>
          <w:rFonts w:cs="Times New Roman"/>
        </w:rPr>
        <w:t>Threats to validity. Selection on the test split, the single data source from 1994, the lack of an external or temporal validati</w:t>
      </w:r>
      <w:r>
        <w:rPr>
          <w:rFonts w:cs="Times New Roman"/>
        </w:rPr>
        <w:t>on set, the use of a target that is not a credit outcome and the synthetic forecasting series all limit how far the numbers generalise; the cross-validation and the reproduction script reduce, but do not remove, the first of these.</w:t>
      </w:r>
    </w:p>
    <w:p w:rsidR="007F458A" w:rsidRDefault="00AA3AFA">
      <w:pPr>
        <w:ind w:firstLine="288"/>
        <w:jc w:val="both"/>
      </w:pPr>
      <w:r>
        <w:rPr>
          <w:rFonts w:cs="Times New Roman"/>
        </w:rPr>
        <w:t>Failure cases and limits</w:t>
      </w:r>
      <w:r>
        <w:rPr>
          <w:rFonts w:cs="Times New Roman"/>
        </w:rPr>
        <w:t>. Recall is 66.6%: 780 higher earners in the test split are missed at threshold 0.5. Large scenario changes (investment gains of 80,000 for a 39-year-old clerk scored 1.1 %) swing the score by about 98 points because training data are sparse there. Sex, ra</w:t>
      </w:r>
      <w:r>
        <w:rPr>
          <w:rFonts w:cs="Times New Roman"/>
        </w:rPr>
        <w:t xml:space="preserve">ce and marital status are inputs and marital status is the top SHAP feature, yet no fairness audit was done [20]. The data are 1994 US </w:t>
      </w:r>
      <w:r>
        <w:rPr>
          <w:rFonts w:cs="Times New Roman"/>
        </w:rPr>
        <w:lastRenderedPageBreak/>
        <w:t>records, income is not creditworthiness, no hyperparameters were tuned and the model was selected on the test split.</w:t>
      </w:r>
    </w:p>
    <w:p w:rsidR="007F458A" w:rsidRDefault="00AA3AFA">
      <w:pPr>
        <w:keepNext/>
        <w:spacing w:before="160" w:after="80"/>
        <w:jc w:val="center"/>
      </w:pPr>
      <w:r>
        <w:rPr>
          <w:rFonts w:cs="Times New Roman"/>
          <w:b/>
        </w:rPr>
        <w:t>V. C</w:t>
      </w:r>
      <w:r>
        <w:rPr>
          <w:rFonts w:cs="Times New Roman"/>
          <w:b/>
        </w:rPr>
        <w:t>ONCLUSION AND FUTURE SCOPE</w:t>
      </w:r>
    </w:p>
    <w:p w:rsidR="007F458A" w:rsidRDefault="00AA3AFA">
      <w:pPr>
        <w:ind w:firstLine="288"/>
        <w:jc w:val="both"/>
      </w:pPr>
      <w:r>
        <w:rPr>
          <w:rFonts w:cs="Times New Roman"/>
        </w:rPr>
        <w:t>The objectives were met as follows: a demographic and financial dataset was collected and preprocessed (in part: no transaction data); four models were trained and XGBoost selected; a forecast and an explanation layer were built;</w:t>
      </w:r>
      <w:r>
        <w:rPr>
          <w:rFonts w:cs="Times New Roman"/>
        </w:rPr>
        <w:t xml:space="preserve"> and accuracy, precision, recall and ROC-AUC were evaluated and the system deployed through a web interface. The key finding is that boosted trees with SHAP reach 0.932 AUC on census-style demographic data and can be explained per person, but the approach </w:t>
      </w:r>
      <w:r>
        <w:rPr>
          <w:rFonts w:cs="Times New Roman"/>
        </w:rPr>
        <w:t>inherits the age, bias and target limits listed above. The forecast is illustrative and the output is informational, not financial advice.</w:t>
      </w:r>
    </w:p>
    <w:p w:rsidR="007F458A" w:rsidRDefault="00AA3AFA">
      <w:pPr>
        <w:ind w:firstLine="288"/>
        <w:jc w:val="both"/>
      </w:pPr>
      <w:r>
        <w:rPr>
          <w:rFonts w:cs="Times New Roman"/>
        </w:rPr>
        <w:t xml:space="preserve">Future work: replace the synthetic index with real macroeconomic series (inflation, lending rates, GDP) and validate </w:t>
      </w:r>
      <w:r>
        <w:rPr>
          <w:rFonts w:cs="Times New Roman"/>
        </w:rPr>
        <w:t>the forecast out of time; evaluate on current, non-US and credit-outcome data with entity-grouped and temporal splits; audit and mitigate bias in sensitive attributes; tune and calibrate the model and choose the threshold by cost; and add real authenticati</w:t>
      </w:r>
      <w:r>
        <w:rPr>
          <w:rFonts w:cs="Times New Roman"/>
        </w:rPr>
        <w:t>on, persistence and container deployment of the full stack. Showing a per-person confidence interval for the score, and comparing SHAP with an alternative explainer on the same assessments, would further support the explanation layer.</w:t>
      </w:r>
    </w:p>
    <w:p w:rsidR="007F458A" w:rsidRDefault="00AA3AFA">
      <w:pPr>
        <w:keepNext/>
        <w:spacing w:before="160" w:after="80"/>
        <w:jc w:val="center"/>
      </w:pPr>
      <w:r>
        <w:rPr>
          <w:rFonts w:cs="Times New Roman"/>
          <w:b/>
        </w:rPr>
        <w:t>REFERENCES</w:t>
      </w:r>
    </w:p>
    <w:p w:rsidR="007F458A" w:rsidRDefault="00AA3AFA">
      <w:pPr>
        <w:spacing w:after="20"/>
        <w:ind w:left="432" w:hanging="432"/>
        <w:jc w:val="both"/>
      </w:pPr>
      <w:r>
        <w:rPr>
          <w:rFonts w:cs="Times New Roman"/>
          <w:sz w:val="16"/>
        </w:rPr>
        <w:t>[1]  Y. Ki</w:t>
      </w:r>
      <w:r>
        <w:rPr>
          <w:rFonts w:cs="Times New Roman"/>
          <w:sz w:val="16"/>
        </w:rPr>
        <w:t>m and E. J. Sun, "An explainable machine learning framework for organizational financial distress detection: Evidence from Korean hospital panel data," IEEE Access, vol. 14, pp. 100337-100350, 2026, doi: 10.1109/ACCESS.2026.3709346.</w:t>
      </w:r>
    </w:p>
    <w:p w:rsidR="007F458A" w:rsidRDefault="00AA3AFA">
      <w:pPr>
        <w:spacing w:after="20"/>
        <w:ind w:left="432" w:hanging="432"/>
        <w:jc w:val="both"/>
      </w:pPr>
      <w:r>
        <w:rPr>
          <w:rFonts w:cs="Times New Roman"/>
          <w:sz w:val="16"/>
        </w:rPr>
        <w:t>[2]  E. I. Altman, "Fin</w:t>
      </w:r>
      <w:r>
        <w:rPr>
          <w:rFonts w:cs="Times New Roman"/>
          <w:sz w:val="16"/>
        </w:rPr>
        <w:t>ancial ratios, discriminant analysis and the prediction of corporate bankruptcy," J. Finance, vol. 23, no. 4, pp. 589-609, Sep. 1968.</w:t>
      </w:r>
    </w:p>
    <w:p w:rsidR="007F458A" w:rsidRDefault="00AA3AFA">
      <w:pPr>
        <w:spacing w:after="20"/>
        <w:ind w:left="432" w:hanging="432"/>
        <w:jc w:val="both"/>
      </w:pPr>
      <w:r>
        <w:rPr>
          <w:rFonts w:cs="Times New Roman"/>
          <w:sz w:val="16"/>
        </w:rPr>
        <w:t xml:space="preserve">[3]  J. A. Ohlson, "Financial ratios and the probabilistic prediction of bankruptcy," J. Accounting Res., vol. 18, no. 1, </w:t>
      </w:r>
      <w:r>
        <w:rPr>
          <w:rFonts w:cs="Times New Roman"/>
          <w:sz w:val="16"/>
        </w:rPr>
        <w:t>pp. 109-131, 1980.</w:t>
      </w:r>
    </w:p>
    <w:p w:rsidR="007F458A" w:rsidRDefault="00AA3AFA">
      <w:pPr>
        <w:spacing w:after="20"/>
        <w:ind w:left="432" w:hanging="432"/>
        <w:jc w:val="both"/>
      </w:pPr>
      <w:r>
        <w:rPr>
          <w:rFonts w:cs="Times New Roman"/>
          <w:sz w:val="16"/>
        </w:rPr>
        <w:t>[4]  L. Breiman, "Random forests," Mach. Learn., vol. 45, no. 1, pp. 5-32, 2001.</w:t>
      </w:r>
    </w:p>
    <w:p w:rsidR="007F458A" w:rsidRDefault="00AA3AFA">
      <w:pPr>
        <w:spacing w:after="20"/>
        <w:ind w:left="432" w:hanging="432"/>
        <w:jc w:val="both"/>
      </w:pPr>
      <w:r>
        <w:rPr>
          <w:rFonts w:cs="Times New Roman"/>
          <w:sz w:val="16"/>
        </w:rPr>
        <w:t>[5]  J. H. Friedman, "Greedy function approximation: A gradient boosting machine," Ann. Statist., vol. 29, no. 5, pp. 1189-1232, Oct. 2001.</w:t>
      </w:r>
    </w:p>
    <w:p w:rsidR="007F458A" w:rsidRDefault="00AA3AFA">
      <w:pPr>
        <w:spacing w:after="20"/>
        <w:ind w:left="432" w:hanging="432"/>
        <w:jc w:val="both"/>
      </w:pPr>
      <w:r>
        <w:rPr>
          <w:rFonts w:cs="Times New Roman"/>
          <w:sz w:val="16"/>
        </w:rPr>
        <w:t>[6]  T. Chen and</w:t>
      </w:r>
      <w:r>
        <w:rPr>
          <w:rFonts w:cs="Times New Roman"/>
          <w:sz w:val="16"/>
        </w:rPr>
        <w:t xml:space="preserve"> C. Guestrin, "XGBoost: A scalable tree boosting system," in Proc. 22nd ACM SIGKDD Int. Conf. Knowl. Discovery Data Mining, Aug. 2016, pp. 785-794.</w:t>
      </w:r>
    </w:p>
    <w:p w:rsidR="007F458A" w:rsidRDefault="00AA3AFA">
      <w:pPr>
        <w:spacing w:after="20"/>
        <w:ind w:left="432" w:hanging="432"/>
        <w:jc w:val="both"/>
      </w:pPr>
      <w:r>
        <w:rPr>
          <w:rFonts w:cs="Times New Roman"/>
          <w:sz w:val="16"/>
        </w:rPr>
        <w:t>[7]  S. M. Lundberg and S.-I. Lee, "A unified approach to interpreting model predictions," in Proc. Adv. Neu</w:t>
      </w:r>
      <w:r>
        <w:rPr>
          <w:rFonts w:cs="Times New Roman"/>
          <w:sz w:val="16"/>
        </w:rPr>
        <w:t>ral Inf. Process. Syst., vol. 30, 2017, pp. 4765-4774.</w:t>
      </w:r>
    </w:p>
    <w:p w:rsidR="007F458A" w:rsidRDefault="00AA3AFA">
      <w:pPr>
        <w:spacing w:after="20"/>
        <w:ind w:left="432" w:hanging="432"/>
        <w:jc w:val="both"/>
      </w:pPr>
      <w:r>
        <w:rPr>
          <w:rFonts w:cs="Times New Roman"/>
          <w:sz w:val="16"/>
        </w:rPr>
        <w:t>[8]  S. M. Lundberg et al., "From local explanations to global understanding with explainable AI for trees," Nature Mach. Intell., vol. 2, no. 1, pp. 56-67, Jan. 2020.</w:t>
      </w:r>
    </w:p>
    <w:p w:rsidR="007F458A" w:rsidRDefault="00AA3AFA">
      <w:pPr>
        <w:spacing w:after="20"/>
        <w:ind w:left="432" w:hanging="432"/>
        <w:jc w:val="both"/>
      </w:pPr>
      <w:r>
        <w:rPr>
          <w:rFonts w:cs="Times New Roman"/>
          <w:sz w:val="16"/>
        </w:rPr>
        <w:t>[9]  F. Pedregosa et al., "Scikit</w:t>
      </w:r>
      <w:r>
        <w:rPr>
          <w:rFonts w:cs="Times New Roman"/>
          <w:sz w:val="16"/>
        </w:rPr>
        <w:t>-learn: Machine learning in Python," J. Mach. Learn. Res., vol. 12, pp. 2825-2830, 2011.</w:t>
      </w:r>
    </w:p>
    <w:p w:rsidR="007F458A" w:rsidRDefault="00AA3AFA">
      <w:pPr>
        <w:spacing w:after="20"/>
        <w:ind w:left="432" w:hanging="432"/>
        <w:jc w:val="both"/>
      </w:pPr>
      <w:r>
        <w:rPr>
          <w:rFonts w:cs="Times New Roman"/>
          <w:sz w:val="16"/>
        </w:rPr>
        <w:t>[10]  F. Barboza, H. Kimura, and E. Altman, "Machine learning models and bankruptcy prediction," Expert Syst. Appl., vol. 83, pp. 405-417, Oct. 2017.</w:t>
      </w:r>
    </w:p>
    <w:p w:rsidR="007F458A" w:rsidRDefault="00AA3AFA">
      <w:pPr>
        <w:spacing w:after="20"/>
        <w:ind w:left="432" w:hanging="432"/>
        <w:jc w:val="both"/>
      </w:pPr>
      <w:r>
        <w:rPr>
          <w:rFonts w:cs="Times New Roman"/>
          <w:sz w:val="16"/>
        </w:rPr>
        <w:t>[11]  A. Abid, "F</w:t>
      </w:r>
      <w:r>
        <w:rPr>
          <w:rFonts w:cs="Times New Roman"/>
          <w:sz w:val="16"/>
        </w:rPr>
        <w:t>orecasting sovereign credit risk amidst a political crisis: A machine learning and deep learning approach," J. Risk Financial Manag., vol. 18, no. 6, Art. no. 300, Jun. 2025, doi: 10.3390/jrfm18060300.</w:t>
      </w:r>
    </w:p>
    <w:p w:rsidR="007F458A" w:rsidRDefault="00AA3AFA">
      <w:pPr>
        <w:spacing w:after="20"/>
        <w:ind w:left="432" w:hanging="432"/>
        <w:jc w:val="both"/>
      </w:pPr>
      <w:r>
        <w:rPr>
          <w:rFonts w:cs="Times New Roman"/>
          <w:sz w:val="16"/>
        </w:rPr>
        <w:t>[12]  A. Maurino, "How data quality affects machine le</w:t>
      </w:r>
      <w:r>
        <w:rPr>
          <w:rFonts w:cs="Times New Roman"/>
          <w:sz w:val="16"/>
        </w:rPr>
        <w:t>arning models for credit risk assessment," in Proc. Workshop AI Data Sci. Digit. Finance, held with ACM Int. Conf. AI Finance (ICAIF), Singapore, 2025.</w:t>
      </w:r>
    </w:p>
    <w:p w:rsidR="007F458A" w:rsidRDefault="00AA3AFA">
      <w:pPr>
        <w:spacing w:after="20"/>
        <w:ind w:left="432" w:hanging="432"/>
        <w:jc w:val="both"/>
      </w:pPr>
      <w:r>
        <w:rPr>
          <w:rFonts w:cs="Times New Roman"/>
          <w:sz w:val="16"/>
        </w:rPr>
        <w:t>[13]  H. Zhang, J. Xu, J. He, and X. Fang, "Privacy-preserving credit risk prediction with alternative d</w:t>
      </w:r>
      <w:r>
        <w:rPr>
          <w:rFonts w:cs="Times New Roman"/>
          <w:sz w:val="16"/>
        </w:rPr>
        <w:t>ata," arXiv:2606.10333, Jun. 2026.</w:t>
      </w:r>
    </w:p>
    <w:p w:rsidR="007F458A" w:rsidRDefault="00AA3AFA">
      <w:pPr>
        <w:spacing w:after="20"/>
        <w:ind w:left="432" w:hanging="432"/>
        <w:jc w:val="both"/>
      </w:pPr>
      <w:r>
        <w:rPr>
          <w:rFonts w:cs="Times New Roman"/>
          <w:sz w:val="16"/>
        </w:rPr>
        <w:t>[14]  N. Bussmann, P. Giudici, D. Marinelli, and J. Papenbrock, "Explainable machine learning in credit risk management," Comput. Econ., vol. 57, no. 1, pp. 203-216, Jan. 2021.</w:t>
      </w:r>
    </w:p>
    <w:p w:rsidR="007F458A" w:rsidRDefault="00AA3AFA">
      <w:pPr>
        <w:spacing w:after="20"/>
        <w:ind w:left="432" w:hanging="432"/>
        <w:jc w:val="both"/>
      </w:pPr>
      <w:r>
        <w:rPr>
          <w:rFonts w:cs="Times New Roman"/>
          <w:sz w:val="16"/>
        </w:rPr>
        <w:t xml:space="preserve">[15]  A. Gramegna and P. Giudici, "SHAP and </w:t>
      </w:r>
      <w:r>
        <w:rPr>
          <w:rFonts w:cs="Times New Roman"/>
          <w:sz w:val="16"/>
        </w:rPr>
        <w:t>LIME: An evaluation of discriminative power in credit risk," Frontiers Artif. Intell., vol. 4, Art. no. 752558, Sep. 2021.</w:t>
      </w:r>
    </w:p>
    <w:p w:rsidR="007F458A" w:rsidRDefault="00AA3AFA">
      <w:pPr>
        <w:spacing w:after="20"/>
        <w:ind w:left="432" w:hanging="432"/>
        <w:jc w:val="both"/>
      </w:pPr>
      <w:r>
        <w:rPr>
          <w:rFonts w:cs="Times New Roman"/>
          <w:sz w:val="16"/>
        </w:rPr>
        <w:t>[16]  L. Grinsztajn, E. Oyallon, and G. Varoquaux, "Why do tree-based models still outperform deep learning on typical tabular data?"</w:t>
      </w:r>
      <w:r>
        <w:rPr>
          <w:rFonts w:cs="Times New Roman"/>
          <w:sz w:val="16"/>
        </w:rPr>
        <w:t xml:space="preserve"> in Proc. Adv. Neural Inf. Process. Syst., 2022, pp. 507-520.</w:t>
      </w:r>
    </w:p>
    <w:p w:rsidR="007F458A" w:rsidRDefault="00AA3AFA">
      <w:pPr>
        <w:spacing w:after="20"/>
        <w:ind w:left="432" w:hanging="432"/>
        <w:jc w:val="both"/>
      </w:pPr>
      <w:r>
        <w:rPr>
          <w:rFonts w:cs="Times New Roman"/>
          <w:sz w:val="16"/>
        </w:rPr>
        <w:t>[17]  UCI Machine Learning Repository, "Adult (Census Income) data set." [Online]. Available: https://archive.ics.uci.edu/dataset/20/census+income</w:t>
      </w:r>
    </w:p>
    <w:p w:rsidR="007F458A" w:rsidRDefault="00AA3AFA">
      <w:pPr>
        <w:spacing w:after="20"/>
        <w:ind w:left="432" w:hanging="432"/>
        <w:jc w:val="both"/>
      </w:pPr>
      <w:r>
        <w:rPr>
          <w:rFonts w:cs="Times New Roman"/>
          <w:sz w:val="16"/>
        </w:rPr>
        <w:t>[18]  P. R. Winters, "Forecasting sales by expo</w:t>
      </w:r>
      <w:r>
        <w:rPr>
          <w:rFonts w:cs="Times New Roman"/>
          <w:sz w:val="16"/>
        </w:rPr>
        <w:t>nentially weighted moving averages," Manage. Sci., vol. 6, no. 3, pp. 324-342, Apr. 1960.</w:t>
      </w:r>
    </w:p>
    <w:p w:rsidR="007F458A" w:rsidRDefault="00AA3AFA">
      <w:pPr>
        <w:spacing w:after="20"/>
        <w:ind w:left="432" w:hanging="432"/>
        <w:jc w:val="both"/>
      </w:pPr>
      <w:r>
        <w:rPr>
          <w:rFonts w:cs="Times New Roman"/>
          <w:sz w:val="16"/>
        </w:rPr>
        <w:t>[19]  S. Seabold and J. Perktold, "Statsmodels: Econometric and statistical modeling with Python," in Proc. 9th Python Sci. Conf. (SciPy), 2010, pp. 92-96.</w:t>
      </w:r>
    </w:p>
    <w:p w:rsidR="007F458A" w:rsidRDefault="00AA3AFA">
      <w:pPr>
        <w:spacing w:after="20"/>
        <w:ind w:left="432" w:hanging="432"/>
        <w:jc w:val="both"/>
      </w:pPr>
      <w:r>
        <w:rPr>
          <w:rFonts w:cs="Times New Roman"/>
          <w:sz w:val="16"/>
        </w:rPr>
        <w:t>[20]  N. M</w:t>
      </w:r>
      <w:r>
        <w:rPr>
          <w:rFonts w:cs="Times New Roman"/>
          <w:sz w:val="16"/>
        </w:rPr>
        <w:t>ehrabi, F. Morstatter, N. Saxena, K. Lerman, and A. Galstyan, "A survey on bias and fairness in machine learning," ACM Comput. Surv., vol. 54, no. 6, Art. no. 115, 2021.</w:t>
      </w:r>
    </w:p>
    <w:sectPr w:rsidR="007F458A" w:rsidSect="00034616">
      <w:type w:val="continuous"/>
      <w:pgSz w:w="12240" w:h="15840"/>
      <w:pgMar w:top="1080" w:right="994" w:bottom="1440" w:left="994"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458A"/>
    <w:rsid w:val="00AA1D8D"/>
    <w:rsid w:val="00AA3AF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09DC8B25-F272-4192-8587-CEF490D1D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semiHidden/>
    <w:unhideWhenUsed/>
    <w:rsid w:val="00AA3AFA"/>
    <w:rPr>
      <w:sz w:val="21"/>
    </w:rPr>
  </w:style>
  <w:style w:type="paragraph" w:styleId="TOC2">
    <w:name w:val="toc 2"/>
    <w:basedOn w:val="Normal"/>
    <w:next w:val="Normal"/>
    <w:autoRedefine/>
    <w:uiPriority w:val="39"/>
    <w:semiHidden/>
    <w:unhideWhenUsed/>
    <w:rsid w:val="00AA3AFA"/>
    <w:pPr>
      <w:ind w:left="200"/>
    </w:pPr>
    <w:rPr>
      <w:sz w:val="21"/>
    </w:rPr>
  </w:style>
  <w:style w:type="paragraph" w:styleId="TableofFigures">
    <w:name w:val="table of figures"/>
    <w:basedOn w:val="Normal"/>
    <w:next w:val="Normal"/>
    <w:uiPriority w:val="99"/>
    <w:semiHidden/>
    <w:unhideWhenUsed/>
    <w:rsid w:val="00AA3AFA"/>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704203-6E30-465A-839F-331C41694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3881</Words>
  <Characters>21504</Characters>
  <Application>Microsoft Office Word</Application>
  <DocSecurity>0</DocSecurity>
  <Lines>624</Lines>
  <Paragraphs>226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2026-10-22T07:34:00Z</dcterms:modified>
  <cp:category/>
</cp:coreProperties>
</file>