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40" w:lineRule="auto"/>
      </w:pPr>
    </w:p>
    <w:p>
      <w:pPr>
        <w:spacing w:after="120"/>
        <w:jc w:val="center"/>
      </w:pPr>
      <w:r>
        <w:rPr>
          <w:rFonts w:ascii="Times New Roman" w:hAnsi="Times New Roman" w:cs="Times New Roman" w:eastAsia="Times New Roman"/>
          <w:b/>
          <w:sz w:val="32"/>
        </w:rPr>
        <w:t>AI-BASED FINANCIAL IDENTIFICATION BASED ON DEMOGRAPHY AND FINANCIAL FORECASTING</w:t>
      </w:r>
    </w:p>
    <w:p>
      <w:pPr>
        <w:spacing w:after="280"/>
        <w:jc w:val="center"/>
      </w:pPr>
      <w:r>
        <w:rPr>
          <w:rFonts w:ascii="Times New Roman" w:hAnsi="Times New Roman" w:cs="Times New Roman" w:eastAsia="Times New Roman"/>
          <w:b/>
          <w:sz w:val="28"/>
        </w:rPr>
        <w:t>Methodology, Novelty and Key Contributions</w:t>
      </w:r>
    </w:p>
    <w:p>
      <w:pPr>
        <w:spacing w:after="40"/>
        <w:jc w:val="center"/>
      </w:pPr>
      <w:r>
        <w:rPr>
          <w:rFonts w:ascii="Times New Roman" w:hAnsi="Times New Roman" w:cs="Times New Roman" w:eastAsia="Times New Roman"/>
          <w:sz w:val="24"/>
        </w:rPr>
        <w:t>Product: FinSight AI</w:t>
      </w:r>
    </w:p>
    <w:p>
      <w:pPr>
        <w:spacing w:after="40"/>
        <w:jc w:val="center"/>
      </w:pPr>
      <w:r>
        <w:rPr>
          <w:rFonts w:ascii="Times New Roman" w:hAnsi="Times New Roman" w:cs="Times New Roman" w:eastAsia="Times New Roman"/>
          <w:sz w:val="24"/>
        </w:rPr>
        <w:t>Department of Computer Science and Engineering, TKR College of Engineering and Technology (Autonomous)</w:t>
      </w:r>
    </w:p>
    <w:p>
      <w:pPr>
        <w:spacing w:after="240"/>
        <w:jc w:val="center"/>
      </w:pPr>
      <w:r>
        <w:rPr>
          <w:rFonts w:ascii="Times New Roman" w:hAnsi="Times New Roman" w:cs="Times New Roman" w:eastAsia="Times New Roman"/>
          <w:sz w:val="24"/>
        </w:rPr>
        <w:t>Batch C9 (CSE-C)  ·  Academic year [ACADEMIC YEAR]</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Project team</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22"/>
              </w:rPr>
              <w:t>S.No.</w:t>
            </w:r>
          </w:p>
        </w:tc>
        <w:tc>
          <w:tcPr>
            <w:tcW w:type="dxa" w:w="4896"/>
            <w:shd w:val="clear" w:color="auto" w:fill="1B2A41"/>
          </w:tcPr>
          <w:p>
            <w:pPr>
              <w:spacing w:line="240" w:lineRule="auto" w:after="40"/>
              <w:jc w:val="center"/>
            </w:pPr>
            <w:r/>
            <w:r>
              <w:rPr>
                <w:rFonts w:ascii="Times New Roman" w:hAnsi="Times New Roman" w:cs="Times New Roman" w:eastAsia="Times New Roman"/>
                <w:b/>
                <w:color w:val="FFFFFF"/>
                <w:sz w:val="22"/>
              </w:rPr>
              <w:t>Student name</w:t>
            </w:r>
          </w:p>
        </w:tc>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22"/>
              </w:rPr>
              <w:t>Roll number</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1</w:t>
            </w:r>
          </w:p>
        </w:tc>
        <w:tc>
          <w:tcPr>
            <w:tcW w:type="dxa" w:w="4896"/>
          </w:tcPr>
          <w:p>
            <w:pPr>
              <w:spacing w:line="240" w:lineRule="auto" w:after="40"/>
              <w:jc w:val="left"/>
            </w:pPr>
            <w:r/>
            <w:r>
              <w:rPr>
                <w:rFonts w:ascii="Times New Roman" w:hAnsi="Times New Roman" w:cs="Times New Roman" w:eastAsia="Times New Roman"/>
                <w:sz w:val="22"/>
              </w:rPr>
              <w:t>MOHD AHMED</w:t>
            </w:r>
          </w:p>
        </w:tc>
        <w:tc>
          <w:tcPr>
            <w:tcW w:type="dxa" w:w="2592"/>
          </w:tcPr>
          <w:p>
            <w:pPr>
              <w:spacing w:line="240" w:lineRule="auto" w:after="40"/>
              <w:jc w:val="center"/>
            </w:pPr>
            <w:r/>
            <w:r>
              <w:rPr>
                <w:rFonts w:ascii="Times New Roman" w:hAnsi="Times New Roman" w:cs="Times New Roman" w:eastAsia="Times New Roman"/>
                <w:sz w:val="22"/>
              </w:rPr>
              <w:t>23K91A05F7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2</w:t>
            </w:r>
          </w:p>
        </w:tc>
        <w:tc>
          <w:tcPr>
            <w:tcW w:type="dxa" w:w="4896"/>
          </w:tcPr>
          <w:p>
            <w:pPr>
              <w:spacing w:line="240" w:lineRule="auto" w:after="40"/>
              <w:jc w:val="left"/>
            </w:pPr>
            <w:r/>
            <w:r>
              <w:rPr>
                <w:rFonts w:ascii="Times New Roman" w:hAnsi="Times New Roman" w:cs="Times New Roman" w:eastAsia="Times New Roman"/>
                <w:sz w:val="22"/>
              </w:rPr>
              <w:t>MANNE UPENDER</w:t>
            </w:r>
          </w:p>
        </w:tc>
        <w:tc>
          <w:tcPr>
            <w:tcW w:type="dxa" w:w="2592"/>
          </w:tcPr>
          <w:p>
            <w:pPr>
              <w:spacing w:line="240" w:lineRule="auto" w:after="40"/>
              <w:jc w:val="center"/>
            </w:pPr>
            <w:r/>
            <w:r>
              <w:rPr>
                <w:rFonts w:ascii="Times New Roman" w:hAnsi="Times New Roman" w:cs="Times New Roman" w:eastAsia="Times New Roman"/>
                <w:sz w:val="22"/>
              </w:rPr>
              <w:t>23K91A05E6</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3</w:t>
            </w:r>
          </w:p>
        </w:tc>
        <w:tc>
          <w:tcPr>
            <w:tcW w:type="dxa" w:w="4896"/>
          </w:tcPr>
          <w:p>
            <w:pPr>
              <w:spacing w:line="240" w:lineRule="auto" w:after="40"/>
              <w:jc w:val="left"/>
            </w:pPr>
            <w:r/>
            <w:r>
              <w:rPr>
                <w:rFonts w:ascii="Times New Roman" w:hAnsi="Times New Roman" w:cs="Times New Roman" w:eastAsia="Times New Roman"/>
                <w:sz w:val="22"/>
              </w:rPr>
              <w:t>PADALA RAJESH</w:t>
            </w:r>
          </w:p>
        </w:tc>
        <w:tc>
          <w:tcPr>
            <w:tcW w:type="dxa" w:w="2592"/>
          </w:tcPr>
          <w:p>
            <w:pPr>
              <w:spacing w:line="240" w:lineRule="auto" w:after="40"/>
              <w:jc w:val="center"/>
            </w:pPr>
            <w:r/>
            <w:r>
              <w:rPr>
                <w:rFonts w:ascii="Times New Roman" w:hAnsi="Times New Roman" w:cs="Times New Roman" w:eastAsia="Times New Roman"/>
                <w:sz w:val="22"/>
              </w:rPr>
              <w:t>23K91A05H7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4</w:t>
            </w:r>
          </w:p>
        </w:tc>
        <w:tc>
          <w:tcPr>
            <w:tcW w:type="dxa" w:w="4896"/>
          </w:tcPr>
          <w:p>
            <w:pPr>
              <w:spacing w:line="240" w:lineRule="auto" w:after="40"/>
              <w:jc w:val="left"/>
            </w:pPr>
            <w:r/>
            <w:r>
              <w:rPr>
                <w:rFonts w:ascii="Times New Roman" w:hAnsi="Times New Roman" w:cs="Times New Roman" w:eastAsia="Times New Roman"/>
                <w:sz w:val="22"/>
              </w:rPr>
              <w:t>MADAGOUNI HARSHAVARDHAN GOUD</w:t>
            </w:r>
          </w:p>
        </w:tc>
        <w:tc>
          <w:tcPr>
            <w:tcW w:type="dxa" w:w="2592"/>
          </w:tcPr>
          <w:p>
            <w:pPr>
              <w:spacing w:line="240" w:lineRule="auto" w:after="40"/>
              <w:jc w:val="center"/>
            </w:pPr>
            <w:r/>
            <w:r>
              <w:rPr>
                <w:rFonts w:ascii="Times New Roman" w:hAnsi="Times New Roman" w:cs="Times New Roman" w:eastAsia="Times New Roman"/>
                <w:sz w:val="22"/>
              </w:rPr>
              <w:t>23K91A05D5</w:t>
            </w:r>
          </w:p>
        </w:tc>
      </w:tr>
    </w:tbl>
    <w:p>
      <w:pPr>
        <w:spacing w:after="120" w:line="192" w:lineRule="auto"/>
      </w:pPr>
    </w:p>
    <w:p>
      <w:pPr>
        <w:spacing w:after="200"/>
        <w:jc w:val="center"/>
      </w:pPr>
      <w:r>
        <w:rPr>
          <w:rFonts w:ascii="Times New Roman" w:hAnsi="Times New Roman" w:cs="Times New Roman" w:eastAsia="Times New Roman"/>
          <w:b/>
          <w:sz w:val="24"/>
        </w:rPr>
        <w:t>Project guide:</w:t>
      </w:r>
      <w:r>
        <w:rPr>
          <w:rFonts w:ascii="Times New Roman" w:hAnsi="Times New Roman" w:cs="Times New Roman" w:eastAsia="Times New Roman"/>
          <w:sz w:val="24"/>
        </w:rPr>
        <w:t xml:space="preserve"> B SRIKANTH</w:t>
      </w:r>
    </w:p>
    <w:p>
      <w:pPr>
        <w:spacing w:after="120"/>
      </w:pPr>
      <w:r>
        <w:rPr>
          <w:rFonts w:ascii="Times New Roman" w:hAnsi="Times New Roman" w:cs="Times New Roman" w:eastAsia="Times New Roman"/>
          <w:i/>
          <w:sz w:val="21"/>
        </w:rPr>
        <w:t>Chapter and section numbers quoted in the text (for example Section 6.6 or Chapter 8) refer to the full project report, 17.Final Document. Figures and tables in this document are numbered from 1.</w:t>
      </w:r>
    </w:p>
    <w:p>
      <w:pPr>
        <w:pStyle w:val="Heading1"/>
      </w:pPr>
      <w:r>
        <w:t>1. OVERVIEW OF THE METHODOLOGY</w:t>
      </w:r>
    </w:p>
    <w:p>
      <w:r>
        <w:rPr>
          <w:rFonts w:ascii="Times New Roman" w:hAnsi="Times New Roman" w:cs="Times New Roman" w:eastAsia="Times New Roman"/>
        </w:rPr>
        <w:t>This document describes how the system works from end to end and what is new in it. Part 1 gives the pipeline, the data, the algorithms and the reasons they were chosen; Part 2 sets the work against the base paper and separates what is new from what is standard; Part 3 lists the contributions.</w:t>
      </w:r>
    </w:p>
    <w:p>
      <w:pPr>
        <w:pStyle w:val="Heading2"/>
      </w:pPr>
      <w:r>
        <w:t>6.1 Overall methodology</w:t>
      </w:r>
    </w:p>
    <w:p>
      <w:r>
        <w:rPr>
          <w:rFonts w:ascii="Times New Roman" w:hAnsi="Times New Roman" w:cs="Times New Roman" w:eastAsia="Times New Roman"/>
        </w:rPr>
        <w:t>The methodology adapts the four-stage explainable machine-learning framework of the base paper [1] (domain-adaptive feature engineering, multi-model training, SHAP interpretation and domain-specific validation) from organisations to individuals, and adds the parts that turn a model into a product: input validation, a forecast, a what-if comparison and a web interface. The work has two halves. An offline half prepares data, trains and evaluates models and writes artifacts; an online half loads those artifacts and answers one request at a time.</w:t>
      </w:r>
    </w:p>
    <w:p>
      <w:pPr>
        <w:spacing w:after="60"/>
        <w:ind w:left="720" w:hanging="432"/>
      </w:pPr>
      <w:r>
        <w:rPr>
          <w:rFonts w:ascii="Times New Roman" w:hAnsi="Times New Roman" w:cs="Times New Roman" w:eastAsia="Times New Roman"/>
        </w:rPr>
        <w:t xml:space="preserve">1.  </w:t>
      </w:r>
      <w:r>
        <w:rPr>
          <w:rFonts w:ascii="Times New Roman" w:hAnsi="Times New Roman" w:cs="Times New Roman" w:eastAsia="Times New Roman"/>
          <w:b/>
        </w:rPr>
        <w:t>Acquire</w:t>
      </w:r>
      <w:r>
        <w:rPr>
          <w:rFonts w:ascii="Times New Roman" w:hAnsi="Times New Roman" w:cs="Times New Roman" w:eastAsia="Times New Roman"/>
        </w:rPr>
        <w:t xml:space="preserve"> the UCI Adult / Census Income files (48,842 individual records) and a monthly economic index series for forecasting.</w:t>
      </w:r>
    </w:p>
    <w:p>
      <w:pPr>
        <w:spacing w:after="60"/>
        <w:ind w:left="720" w:hanging="432"/>
      </w:pPr>
      <w:r>
        <w:rPr>
          <w:rFonts w:ascii="Times New Roman" w:hAnsi="Times New Roman" w:cs="Times New Roman" w:eastAsia="Times New Roman"/>
        </w:rPr>
        <w:t xml:space="preserve">2.  </w:t>
      </w:r>
      <w:r>
        <w:rPr>
          <w:rFonts w:ascii="Times New Roman" w:hAnsi="Times New Roman" w:cs="Times New Roman" w:eastAsia="Times New Roman"/>
          <w:b/>
        </w:rPr>
        <w:t>Clean</w:t>
      </w:r>
      <w:r>
        <w:rPr>
          <w:rFonts w:ascii="Times New Roman" w:hAnsi="Times New Roman" w:cs="Times New Roman" w:eastAsia="Times New Roman"/>
        </w:rPr>
        <w:t xml:space="preserve"> the records: strip whitespace, turn '?' into missing values, coerce numeric columns and drop rows without a target.</w:t>
      </w:r>
    </w:p>
    <w:p>
      <w:pPr>
        <w:spacing w:after="60"/>
        <w:ind w:left="720" w:hanging="432"/>
      </w:pPr>
      <w:r>
        <w:rPr>
          <w:rFonts w:ascii="Times New Roman" w:hAnsi="Times New Roman" w:cs="Times New Roman" w:eastAsia="Times New Roman"/>
        </w:rPr>
        <w:t xml:space="preserve">3.  </w:t>
      </w:r>
      <w:r>
        <w:rPr>
          <w:rFonts w:ascii="Times New Roman" w:hAnsi="Times New Roman" w:cs="Times New Roman" w:eastAsia="Times New Roman"/>
          <w:b/>
        </w:rPr>
        <w:t>Engineer</w:t>
      </w:r>
      <w:r>
        <w:rPr>
          <w:rFonts w:ascii="Times New Roman" w:hAnsi="Times New Roman" w:cs="Times New Roman" w:eastAsia="Times New Roman"/>
        </w:rPr>
        <w:t xml:space="preserve"> twelve interpretable derived features (net capital, capital intensity, log scales, flags, age and hours bands, education tier, region, employment stability, capital position).</w:t>
      </w:r>
    </w:p>
    <w:p>
      <w:pPr>
        <w:spacing w:after="60"/>
        <w:ind w:left="720" w:hanging="432"/>
      </w:pPr>
      <w:r>
        <w:rPr>
          <w:rFonts w:ascii="Times New Roman" w:hAnsi="Times New Roman" w:cs="Times New Roman" w:eastAsia="Times New Roman"/>
        </w:rPr>
        <w:t xml:space="preserve">4.  </w:t>
      </w:r>
      <w:r>
        <w:rPr>
          <w:rFonts w:ascii="Times New Roman" w:hAnsi="Times New Roman" w:cs="Times New Roman" w:eastAsia="Times New Roman"/>
          <w:b/>
        </w:rPr>
        <w:t>Split</w:t>
      </w:r>
      <w:r>
        <w:rPr>
          <w:rFonts w:ascii="Times New Roman" w:hAnsi="Times New Roman" w:cs="Times New Roman" w:eastAsia="Times New Roman"/>
        </w:rPr>
        <w:t xml:space="preserve"> the rows with a stratified 80/20 split (random state 42) and keep the 20% for the final test.</w:t>
      </w:r>
    </w:p>
    <w:p>
      <w:pPr>
        <w:spacing w:after="60"/>
        <w:ind w:left="720" w:hanging="432"/>
      </w:pPr>
      <w:r>
        <w:rPr>
          <w:rFonts w:ascii="Times New Roman" w:hAnsi="Times New Roman" w:cs="Times New Roman" w:eastAsia="Times New Roman"/>
        </w:rPr>
        <w:t xml:space="preserve">5.  </w:t>
      </w:r>
      <w:r>
        <w:rPr>
          <w:rFonts w:ascii="Times New Roman" w:hAnsi="Times New Roman" w:cs="Times New Roman" w:eastAsia="Times New Roman"/>
          <w:b/>
        </w:rPr>
        <w:t>Train</w:t>
      </w:r>
      <w:r>
        <w:rPr>
          <w:rFonts w:ascii="Times New Roman" w:hAnsi="Times New Roman" w:cs="Times New Roman" w:eastAsia="Times New Roman"/>
        </w:rPr>
        <w:t xml:space="preserve"> four classifiers, each inside a scikit-learn Pipeline whose preprocessing is fitted on training data only.</w:t>
      </w:r>
    </w:p>
    <w:p>
      <w:pPr>
        <w:spacing w:after="60"/>
        <w:ind w:left="720" w:hanging="432"/>
      </w:pPr>
      <w:r>
        <w:rPr>
          <w:rFonts w:ascii="Times New Roman" w:hAnsi="Times New Roman" w:cs="Times New Roman" w:eastAsia="Times New Roman"/>
        </w:rPr>
        <w:t xml:space="preserve">6.  </w:t>
      </w:r>
      <w:r>
        <w:rPr>
          <w:rFonts w:ascii="Times New Roman" w:hAnsi="Times New Roman" w:cs="Times New Roman" w:eastAsia="Times New Roman"/>
          <w:b/>
        </w:rPr>
        <w:t>Validate</w:t>
      </w:r>
      <w:r>
        <w:rPr>
          <w:rFonts w:ascii="Times New Roman" w:hAnsi="Times New Roman" w:cs="Times New Roman" w:eastAsia="Times New Roman"/>
        </w:rPr>
        <w:t xml:space="preserve"> with 5-fold stratified cross-validation on the training split, then evaluate on the held-out test split.</w:t>
      </w:r>
    </w:p>
    <w:p>
      <w:pPr>
        <w:spacing w:after="60"/>
        <w:ind w:left="720" w:hanging="432"/>
      </w:pPr>
      <w:r>
        <w:rPr>
          <w:rFonts w:ascii="Times New Roman" w:hAnsi="Times New Roman" w:cs="Times New Roman" w:eastAsia="Times New Roman"/>
        </w:rPr>
        <w:t xml:space="preserve">7.  </w:t>
      </w:r>
      <w:r>
        <w:rPr>
          <w:rFonts w:ascii="Times New Roman" w:hAnsi="Times New Roman" w:cs="Times New Roman" w:eastAsia="Times New Roman"/>
          <w:b/>
        </w:rPr>
        <w:t>Select</w:t>
      </w:r>
      <w:r>
        <w:rPr>
          <w:rFonts w:ascii="Times New Roman" w:hAnsi="Times New Roman" w:cs="Times New Roman" w:eastAsia="Times New Roman"/>
        </w:rPr>
        <w:t xml:space="preserve"> the model with the highest test ROC-AUC and persist all pipelines, metrics, plots, SHAP importance and the forecast.</w:t>
      </w:r>
    </w:p>
    <w:p>
      <w:pPr>
        <w:spacing w:after="60"/>
        <w:ind w:left="720" w:hanging="432"/>
      </w:pPr>
      <w:r>
        <w:rPr>
          <w:rFonts w:ascii="Times New Roman" w:hAnsi="Times New Roman" w:cs="Times New Roman" w:eastAsia="Times New Roman"/>
        </w:rPr>
        <w:t xml:space="preserve">8.  </w:t>
      </w:r>
      <w:r>
        <w:rPr>
          <w:rFonts w:ascii="Times New Roman" w:hAnsi="Times New Roman" w:cs="Times New Roman" w:eastAsia="Times New Roman"/>
          <w:b/>
        </w:rPr>
        <w:t>Serve</w:t>
      </w:r>
      <w:r>
        <w:rPr>
          <w:rFonts w:ascii="Times New Roman" w:hAnsi="Times New Roman" w:cs="Times New Roman" w:eastAsia="Times New Roman"/>
        </w:rPr>
        <w:t>: validate an input record, derive features, predict, map the probability to a profile and risk band, compute local SHAP contributions, write plain-language insights, and optionally compare a what-if scenario.</w:t>
      </w:r>
    </w:p>
    <w:p>
      <w:pPr>
        <w:spacing w:after="60"/>
        <w:ind w:left="720" w:hanging="432"/>
      </w:pPr>
      <w:r>
        <w:rPr>
          <w:rFonts w:ascii="Times New Roman" w:hAnsi="Times New Roman" w:cs="Times New Roman" w:eastAsia="Times New Roman"/>
        </w:rPr>
        <w:t xml:space="preserve">9.  </w:t>
      </w:r>
      <w:r>
        <w:rPr>
          <w:rFonts w:ascii="Times New Roman" w:hAnsi="Times New Roman" w:cs="Times New Roman" w:eastAsia="Times New Roman"/>
          <w:b/>
        </w:rPr>
        <w:t>Forecast</w:t>
      </w:r>
      <w:r>
        <w:rPr>
          <w:rFonts w:ascii="Times New Roman" w:hAnsi="Times New Roman" w:cs="Times New Roman" w:eastAsia="Times New Roman"/>
        </w:rPr>
        <w:t xml:space="preserve"> a 12-month horizon of the economic index with Holt-Winters exponential smoothing and a 95% band.</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Stages of the base-paper framework and how this project realises them</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2304"/>
            <w:shd w:val="clear" w:color="auto" w:fill="1B2A41"/>
          </w:tcPr>
          <w:p>
            <w:pPr>
              <w:spacing w:line="240" w:lineRule="auto" w:after="40"/>
              <w:jc w:val="center"/>
            </w:pPr>
            <w:r/>
            <w:r>
              <w:rPr>
                <w:rFonts w:ascii="Times New Roman" w:hAnsi="Times New Roman" w:cs="Times New Roman" w:eastAsia="Times New Roman"/>
                <w:b/>
                <w:color w:val="FFFFFF"/>
                <w:sz w:val="19"/>
              </w:rPr>
              <w:t>Base-paper stage</w:t>
            </w:r>
          </w:p>
        </w:tc>
        <w:tc>
          <w:tcPr>
            <w:tcW w:type="dxa" w:w="3384"/>
            <w:shd w:val="clear" w:color="auto" w:fill="1B2A41"/>
          </w:tcPr>
          <w:p>
            <w:pPr>
              <w:spacing w:line="240" w:lineRule="auto" w:after="40"/>
              <w:jc w:val="center"/>
            </w:pPr>
            <w:r/>
            <w:r>
              <w:rPr>
                <w:rFonts w:ascii="Times New Roman" w:hAnsi="Times New Roman" w:cs="Times New Roman" w:eastAsia="Times New Roman"/>
                <w:b/>
                <w:color w:val="FFFFFF"/>
                <w:sz w:val="19"/>
              </w:rPr>
              <w:t>Base paper (hospitals)</w:t>
            </w:r>
          </w:p>
        </w:tc>
        <w:tc>
          <w:tcPr>
            <w:tcW w:type="dxa" w:w="3672"/>
            <w:shd w:val="clear" w:color="auto" w:fill="1B2A41"/>
          </w:tcPr>
          <w:p>
            <w:pPr>
              <w:spacing w:line="240" w:lineRule="auto" w:after="40"/>
              <w:jc w:val="center"/>
            </w:pPr>
            <w:r/>
            <w:r>
              <w:rPr>
                <w:rFonts w:ascii="Times New Roman" w:hAnsi="Times New Roman" w:cs="Times New Roman" w:eastAsia="Times New Roman"/>
                <w:b/>
                <w:color w:val="FFFFFF"/>
                <w:sz w:val="19"/>
              </w:rPr>
              <w:t>This project (individuals)</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1. Domain-adaptive feature engineering</w:t>
            </w:r>
          </w:p>
        </w:tc>
        <w:tc>
          <w:tcPr>
            <w:tcW w:type="dxa" w:w="3384"/>
          </w:tcPr>
          <w:p>
            <w:pPr>
              <w:spacing w:line="240" w:lineRule="auto" w:after="40"/>
              <w:jc w:val="left"/>
            </w:pPr>
            <w:r/>
            <w:r>
              <w:rPr>
                <w:rFonts w:ascii="Times New Roman" w:hAnsi="Times New Roman" w:cs="Times New Roman" w:eastAsia="Times New Roman"/>
                <w:sz w:val="19"/>
              </w:rPr>
              <w:t>236 line items reduced to 11 ratio, scale and categorical features</w:t>
            </w:r>
          </w:p>
        </w:tc>
        <w:tc>
          <w:tcPr>
            <w:tcW w:type="dxa" w:w="3672"/>
          </w:tcPr>
          <w:p>
            <w:pPr>
              <w:spacing w:line="240" w:lineRule="auto" w:after="40"/>
              <w:jc w:val="left"/>
            </w:pPr>
            <w:r/>
            <w:r>
              <w:rPr>
                <w:rFonts w:ascii="Times New Roman" w:hAnsi="Times New Roman" w:cs="Times New Roman" w:eastAsia="Times New Roman"/>
                <w:sz w:val="19"/>
              </w:rPr>
              <w:t>14 raw census fields extended to 26 columns with 12 derived features; 145 columns after one-hot encoding</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2. Multi-model training</w:t>
            </w:r>
          </w:p>
        </w:tc>
        <w:tc>
          <w:tcPr>
            <w:tcW w:type="dxa" w:w="3384"/>
          </w:tcPr>
          <w:p>
            <w:pPr>
              <w:spacing w:line="240" w:lineRule="auto" w:after="40"/>
              <w:jc w:val="left"/>
            </w:pPr>
            <w:r/>
            <w:r>
              <w:rPr>
                <w:rFonts w:ascii="Times New Roman" w:hAnsi="Times New Roman" w:cs="Times New Roman" w:eastAsia="Times New Roman"/>
                <w:sz w:val="19"/>
              </w:rPr>
              <w:t>LR, RF, GB, XGBoost, MLP at default settings</w:t>
            </w:r>
          </w:p>
        </w:tc>
        <w:tc>
          <w:tcPr>
            <w:tcW w:type="dxa" w:w="3672"/>
          </w:tcPr>
          <w:p>
            <w:pPr>
              <w:spacing w:line="240" w:lineRule="auto" w:after="40"/>
              <w:jc w:val="left"/>
            </w:pPr>
            <w:r/>
            <w:r>
              <w:rPr>
                <w:rFonts w:ascii="Times New Roman" w:hAnsi="Times New Roman" w:cs="Times New Roman" w:eastAsia="Times New Roman"/>
                <w:sz w:val="19"/>
              </w:rPr>
              <w:t>LR, RF, GB, XGBoost; fixed hyperparameters, no search; no neural baseline</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3. SHAP interpretation</w:t>
            </w:r>
          </w:p>
        </w:tc>
        <w:tc>
          <w:tcPr>
            <w:tcW w:type="dxa" w:w="3384"/>
          </w:tcPr>
          <w:p>
            <w:pPr>
              <w:spacing w:line="240" w:lineRule="auto" w:after="40"/>
              <w:jc w:val="left"/>
            </w:pPr>
            <w:r/>
            <w:r>
              <w:rPr>
                <w:rFonts w:ascii="Times New Roman" w:hAnsi="Times New Roman" w:cs="Times New Roman" w:eastAsia="Times New Roman"/>
                <w:sz w:val="19"/>
              </w:rPr>
              <w:t>Global importance and beeswarm; cost ratios dominate</w:t>
            </w:r>
          </w:p>
        </w:tc>
        <w:tc>
          <w:tcPr>
            <w:tcW w:type="dxa" w:w="3672"/>
          </w:tcPr>
          <w:p>
            <w:pPr>
              <w:spacing w:line="240" w:lineRule="auto" w:after="40"/>
              <w:jc w:val="left"/>
            </w:pPr>
            <w:r/>
            <w:r>
              <w:rPr>
                <w:rFonts w:ascii="Times New Roman" w:hAnsi="Times New Roman" w:cs="Times New Roman" w:eastAsia="Times New Roman"/>
                <w:sz w:val="19"/>
              </w:rPr>
              <w:t>TreeExplainer: global top-15 at training time and live local contributions for every request</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4. Domain-specific validation</w:t>
            </w:r>
          </w:p>
        </w:tc>
        <w:tc>
          <w:tcPr>
            <w:tcW w:type="dxa" w:w="3384"/>
          </w:tcPr>
          <w:p>
            <w:pPr>
              <w:spacing w:line="240" w:lineRule="auto" w:after="40"/>
              <w:jc w:val="left"/>
            </w:pPr>
            <w:r/>
            <w:r>
              <w:rPr>
                <w:rFonts w:ascii="Times New Roman" w:hAnsi="Times New Roman" w:cs="Times New Roman" w:eastAsia="Times New Roman"/>
                <w:sz w:val="19"/>
              </w:rPr>
              <w:t>Hospital-level Group K-Fold, temporal hold-out, counterfactuals, panel regression</w:t>
            </w:r>
          </w:p>
        </w:tc>
        <w:tc>
          <w:tcPr>
            <w:tcW w:type="dxa" w:w="3672"/>
          </w:tcPr>
          <w:p>
            <w:pPr>
              <w:spacing w:line="240" w:lineRule="auto" w:after="40"/>
              <w:jc w:val="left"/>
            </w:pPr>
            <w:r/>
            <w:r>
              <w:rPr>
                <w:rFonts w:ascii="Times New Roman" w:hAnsi="Times New Roman" w:cs="Times New Roman" w:eastAsia="Times New Roman"/>
                <w:sz w:val="19"/>
              </w:rPr>
              <w:t>Stratified 5-fold CV and 80/20 test split (one row per person); logistic statistics; what-if comparison</w:t>
            </w:r>
          </w:p>
        </w:tc>
      </w:tr>
    </w:tbl>
    <w:p>
      <w:pPr>
        <w:spacing w:after="120" w:line="192" w:lineRule="auto"/>
      </w:pPr>
    </w:p>
    <w:p>
      <w:pPr>
        <w:pStyle w:val="Heading2"/>
      </w:pPr>
      <w:r>
        <w:t>6.2 Dataset</w:t>
      </w:r>
    </w:p>
    <w:p>
      <w:r>
        <w:rPr>
          <w:rFonts w:ascii="Times New Roman" w:hAnsi="Times New Roman" w:cs="Times New Roman" w:eastAsia="Times New Roman"/>
        </w:rPr>
        <w:t xml:space="preserve">The classification data are the Adult (Census Income) extract [32], which originates in the 1994 US census database and was prepared for classification by Kohavi [31]. The project uses both published files, </w:t>
      </w:r>
      <w:r>
        <w:rPr>
          <w:rFonts w:ascii="Consolas" w:hAnsi="Consolas" w:cs="Consolas" w:eastAsia="Consolas"/>
          <w:sz w:val="21"/>
        </w:rPr>
        <w:t>adult.data</w:t>
      </w:r>
      <w:r>
        <w:rPr>
          <w:rFonts w:ascii="Times New Roman" w:hAnsi="Times New Roman" w:cs="Times New Roman" w:eastAsia="Times New Roman"/>
        </w:rPr>
        <w:t xml:space="preserve"> (32,561 rows) and </w:t>
      </w:r>
      <w:r>
        <w:rPr>
          <w:rFonts w:ascii="Consolas" w:hAnsi="Consolas" w:cs="Consolas" w:eastAsia="Consolas"/>
          <w:sz w:val="21"/>
        </w:rPr>
        <w:t>adult.test</w:t>
      </w:r>
      <w:r>
        <w:rPr>
          <w:rFonts w:ascii="Times New Roman" w:hAnsi="Times New Roman" w:cs="Times New Roman" w:eastAsia="Times New Roman"/>
        </w:rPr>
        <w:t xml:space="preserve"> (16,281 rows), joined into 48,842 individual records with 15 columns. The positive class, income above 50K per year, covers 23.93% of the rows. Missing values are written as '?' in three columns: workclass (2,799 cells), occupation (2,809) and native-country (857). The records are public and anonymous, and no personal data were collected for this project.</w:t>
      </w:r>
    </w:p>
    <w:p>
      <w:r>
        <w:rPr>
          <w:rFonts w:ascii="Times New Roman" w:hAnsi="Times New Roman" w:cs="Times New Roman" w:eastAsia="Times New Roman"/>
        </w:rPr>
        <w:t xml:space="preserve">The income label is used as a </w:t>
      </w:r>
      <w:r>
        <w:rPr>
          <w:rFonts w:ascii="Times New Roman" w:hAnsi="Times New Roman" w:cs="Times New Roman" w:eastAsia="Times New Roman"/>
          <w:b/>
        </w:rPr>
        <w:t>financial-profile signal</w:t>
      </w:r>
      <w:r>
        <w:rPr>
          <w:rFonts w:ascii="Times New Roman" w:hAnsi="Times New Roman" w:cs="Times New Roman" w:eastAsia="Times New Roman"/>
        </w:rPr>
        <w:t>. It is not a credit score, a repayment record or a distress indicator, and the report never claims otherwise. This is the main difference from the base paper, whose label is a hospital deficit derived from net income [1], and the reason the comparison in Chapter 8 is given as context only.</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Facts about the classification dataset</w:t>
      </w:r>
    </w:p>
    <w:tbl>
      <w:tblPr>
        <w:tblStyle w:val="TableGrid"/>
        <w:tblW w:type="auto" w:w="0"/>
        <w:jc w:val="center"/>
        <w:tblLook w:firstColumn="1" w:firstRow="1" w:lastColumn="0" w:lastRow="0" w:noHBand="0" w:noVBand="1" w:val="04A0"/>
      </w:tblPr>
      <w:tblGrid>
        <w:gridCol w:w="4333"/>
        <w:gridCol w:w="4333"/>
      </w:tblGrid>
      <w:tr>
        <w:trPr>
          <w:tblHeader w:val="true"/>
          <w:cantSplit w:val="true"/>
        </w:trPr>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19"/>
              </w:rPr>
              <w:t>Item</w:t>
            </w:r>
          </w:p>
        </w:tc>
        <w:tc>
          <w:tcPr>
            <w:tcW w:type="dxa" w:w="6768"/>
            <w:shd w:val="clear" w:color="auto" w:fill="1B2A41"/>
          </w:tcPr>
          <w:p>
            <w:pPr>
              <w:spacing w:line="240" w:lineRule="auto" w:after="40"/>
              <w:jc w:val="center"/>
            </w:pPr>
            <w:r/>
            <w:r>
              <w:rPr>
                <w:rFonts w:ascii="Times New Roman" w:hAnsi="Times New Roman" w:cs="Times New Roman" w:eastAsia="Times New Roman"/>
                <w:b/>
                <w:color w:val="FFFFFF"/>
                <w:sz w:val="19"/>
              </w:rPr>
              <w:t>Value</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Source</w:t>
            </w:r>
          </w:p>
        </w:tc>
        <w:tc>
          <w:tcPr>
            <w:tcW w:type="dxa" w:w="6768"/>
          </w:tcPr>
          <w:p>
            <w:pPr>
              <w:spacing w:line="240" w:lineRule="auto" w:after="40"/>
              <w:jc w:val="left"/>
            </w:pPr>
            <w:r/>
            <w:r>
              <w:rPr>
                <w:rFonts w:ascii="Times New Roman" w:hAnsi="Times New Roman" w:cs="Times New Roman" w:eastAsia="Times New Roman"/>
                <w:sz w:val="19"/>
              </w:rPr>
              <w:t>UCI Machine Learning Repository, Adult (Census Income), 1994 US census</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Files used</w:t>
            </w:r>
          </w:p>
        </w:tc>
        <w:tc>
          <w:tcPr>
            <w:tcW w:type="dxa" w:w="6768"/>
          </w:tcPr>
          <w:p>
            <w:pPr>
              <w:spacing w:line="240" w:lineRule="auto" w:after="40"/>
              <w:jc w:val="left"/>
            </w:pPr>
            <w:r/>
            <w:r>
              <w:rPr>
                <w:rFonts w:ascii="Consolas" w:hAnsi="Consolas" w:cs="Consolas" w:eastAsia="Consolas"/>
                <w:sz w:val="16"/>
              </w:rPr>
              <w:t>data/raw/adult.data</w:t>
            </w:r>
            <w:r>
              <w:rPr>
                <w:rFonts w:ascii="Times New Roman" w:hAnsi="Times New Roman" w:cs="Times New Roman" w:eastAsia="Times New Roman"/>
                <w:sz w:val="19"/>
              </w:rPr>
              <w:t xml:space="preserve"> (32,561 rows) and </w:t>
            </w:r>
            <w:r>
              <w:rPr>
                <w:rFonts w:ascii="Consolas" w:hAnsi="Consolas" w:cs="Consolas" w:eastAsia="Consolas"/>
                <w:sz w:val="16"/>
              </w:rPr>
              <w:t>data/raw/adult.test</w:t>
            </w:r>
            <w:r>
              <w:rPr>
                <w:rFonts w:ascii="Times New Roman" w:hAnsi="Times New Roman" w:cs="Times New Roman" w:eastAsia="Times New Roman"/>
                <w:sz w:val="19"/>
              </w:rPr>
              <w:t xml:space="preserve"> (16,281 rows)</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Records after joining</w:t>
            </w:r>
          </w:p>
        </w:tc>
        <w:tc>
          <w:tcPr>
            <w:tcW w:type="dxa" w:w="6768"/>
          </w:tcPr>
          <w:p>
            <w:pPr>
              <w:spacing w:line="240" w:lineRule="auto" w:after="40"/>
              <w:jc w:val="left"/>
            </w:pPr>
            <w:r/>
            <w:r>
              <w:rPr>
                <w:rFonts w:ascii="Times New Roman" w:hAnsi="Times New Roman" w:cs="Times New Roman" w:eastAsia="Times New Roman"/>
                <w:sz w:val="19"/>
              </w:rPr>
              <w:t>48,842 rows, 15 columns (14 inputs and the target)</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Target</w:t>
            </w:r>
          </w:p>
        </w:tc>
        <w:tc>
          <w:tcPr>
            <w:tcW w:type="dxa" w:w="6768"/>
          </w:tcPr>
          <w:p>
            <w:pPr>
              <w:spacing w:line="240" w:lineRule="auto" w:after="40"/>
              <w:jc w:val="left"/>
            </w:pPr>
            <w:r/>
            <w:r>
              <w:rPr>
                <w:rFonts w:ascii="Times New Roman" w:hAnsi="Times New Roman" w:cs="Times New Roman" w:eastAsia="Times New Roman"/>
                <w:sz w:val="19"/>
              </w:rPr>
              <w:t>income above 50K (positive) versus 50K or less; test labels carry a trailing '.' that the cleaner removes</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Positive-class share</w:t>
            </w:r>
          </w:p>
        </w:tc>
        <w:tc>
          <w:tcPr>
            <w:tcW w:type="dxa" w:w="6768"/>
          </w:tcPr>
          <w:p>
            <w:pPr>
              <w:spacing w:line="240" w:lineRule="auto" w:after="40"/>
              <w:jc w:val="left"/>
            </w:pPr>
            <w:r/>
            <w:r>
              <w:rPr>
                <w:rFonts w:ascii="Times New Roman" w:hAnsi="Times New Roman" w:cs="Times New Roman" w:eastAsia="Times New Roman"/>
                <w:sz w:val="19"/>
              </w:rPr>
              <w:t>23.93%</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Training / test rows</w:t>
            </w:r>
          </w:p>
        </w:tc>
        <w:tc>
          <w:tcPr>
            <w:tcW w:type="dxa" w:w="6768"/>
          </w:tcPr>
          <w:p>
            <w:pPr>
              <w:spacing w:line="240" w:lineRule="auto" w:after="40"/>
              <w:jc w:val="left"/>
            </w:pPr>
            <w:r/>
            <w:r>
              <w:rPr>
                <w:rFonts w:ascii="Times New Roman" w:hAnsi="Times New Roman" w:cs="Times New Roman" w:eastAsia="Times New Roman"/>
                <w:sz w:val="19"/>
              </w:rPr>
              <w:t>39,073 / 9,769 (stratified 80/20, random state 42)</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Test class balance</w:t>
            </w:r>
          </w:p>
        </w:tc>
        <w:tc>
          <w:tcPr>
            <w:tcW w:type="dxa" w:w="6768"/>
          </w:tcPr>
          <w:p>
            <w:pPr>
              <w:spacing w:line="240" w:lineRule="auto" w:after="40"/>
              <w:jc w:val="left"/>
            </w:pPr>
            <w:r/>
            <w:r>
              <w:rPr>
                <w:rFonts w:ascii="Times New Roman" w:hAnsi="Times New Roman" w:cs="Times New Roman" w:eastAsia="Times New Roman"/>
                <w:sz w:val="19"/>
              </w:rPr>
              <w:t>7,431 at 50K or less, 2,338 above 50K</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Form option counts</w:t>
            </w:r>
          </w:p>
        </w:tc>
        <w:tc>
          <w:tcPr>
            <w:tcW w:type="dxa" w:w="6768"/>
          </w:tcPr>
          <w:p>
            <w:pPr>
              <w:spacing w:line="240" w:lineRule="auto" w:after="40"/>
              <w:jc w:val="left"/>
            </w:pPr>
            <w:r/>
            <w:r>
              <w:rPr>
                <w:rFonts w:ascii="Times New Roman" w:hAnsi="Times New Roman" w:cs="Times New Roman" w:eastAsia="Times New Roman"/>
                <w:sz w:val="19"/>
              </w:rPr>
              <w:t>workclass 8, education 16, marital status 7, occupation 14, relationship 6, race 5, sex 2, country 41</w:t>
            </w:r>
          </w:p>
        </w:tc>
      </w:tr>
      <w:tr>
        <w:trPr>
          <w:cantSplit w:val="true"/>
        </w:trPr>
        <w:tc>
          <w:tcPr>
            <w:tcW w:type="dxa" w:w="2592"/>
          </w:tcPr>
          <w:p>
            <w:pPr>
              <w:spacing w:line="240" w:lineRule="auto" w:after="40"/>
              <w:jc w:val="left"/>
            </w:pPr>
            <w:r/>
            <w:r>
              <w:rPr>
                <w:rFonts w:ascii="Times New Roman" w:hAnsi="Times New Roman" w:cs="Times New Roman" w:eastAsia="Times New Roman"/>
                <w:sz w:val="19"/>
              </w:rPr>
              <w:t>Not available</w:t>
            </w:r>
          </w:p>
        </w:tc>
        <w:tc>
          <w:tcPr>
            <w:tcW w:type="dxa" w:w="6768"/>
          </w:tcPr>
          <w:p>
            <w:pPr>
              <w:spacing w:line="240" w:lineRule="auto" w:after="40"/>
              <w:jc w:val="left"/>
            </w:pPr>
            <w:r/>
            <w:r>
              <w:rPr>
                <w:rFonts w:ascii="Times New Roman" w:hAnsi="Times New Roman" w:cs="Times New Roman" w:eastAsia="Times New Roman"/>
                <w:sz w:val="19"/>
              </w:rPr>
              <w:t>transactions, balances, credit history, repayment records, time stamps</w:t>
            </w:r>
          </w:p>
        </w:tc>
      </w:tr>
    </w:tbl>
    <w:p>
      <w:pPr>
        <w:spacing w:after="120" w:line="192" w:lineRule="auto"/>
      </w:pPr>
    </w:p>
    <w:p>
      <w:r>
        <w:rPr>
          <w:rFonts w:ascii="Times New Roman" w:hAnsi="Times New Roman" w:cs="Times New Roman" w:eastAsia="Times New Roman"/>
        </w:rPr>
        <w:t xml:space="preserve">The Adult data are cross-sectional: every person appears once and there is no date. They therefore cannot be used to forecast the future. A second, separate series is used for the forecasting component: a monthly </w:t>
      </w:r>
      <w:r>
        <w:rPr>
          <w:rFonts w:ascii="Times New Roman" w:hAnsi="Times New Roman" w:cs="Times New Roman" w:eastAsia="Times New Roman"/>
          <w:b/>
        </w:rPr>
        <w:t>Household Financial Conditions Index</w:t>
      </w:r>
      <w:r>
        <w:rPr>
          <w:rFonts w:ascii="Times New Roman" w:hAnsi="Times New Roman" w:cs="Times New Roman" w:eastAsia="Times New Roman"/>
        </w:rPr>
        <w:t xml:space="preserve"> from January 2015 to December 2025 (132 points) generated by </w:t>
      </w:r>
      <w:r>
        <w:rPr>
          <w:rFonts w:ascii="Consolas" w:hAnsi="Consolas" w:cs="Consolas" w:eastAsia="Consolas"/>
          <w:sz w:val="21"/>
        </w:rPr>
        <w:t>build_index_series()</w:t>
      </w:r>
      <w:r>
        <w:rPr>
          <w:rFonts w:ascii="Times New Roman" w:hAnsi="Times New Roman" w:cs="Times New Roman" w:eastAsia="Times New Roman"/>
        </w:rPr>
        <w:t xml:space="preserve"> with a fixed seed. The index is the sum of a linear trend (100 plus 0.35 per month), a yearly seasonal term of amplitude 4, a six-month downturn of 7 points from March to August 2020 and Gaussian noise with standard deviation 1.6. The series is </w:t>
      </w:r>
      <w:r>
        <w:rPr>
          <w:rFonts w:ascii="Times New Roman" w:hAnsi="Times New Roman" w:cs="Times New Roman" w:eastAsia="Times New Roman"/>
          <w:b/>
        </w:rPr>
        <w:t>synthetic</w:t>
      </w:r>
      <w:r>
        <w:rPr>
          <w:rFonts w:ascii="Times New Roman" w:hAnsi="Times New Roman" w:cs="Times New Roman" w:eastAsia="Times New Roman"/>
        </w:rPr>
        <w:t xml:space="preserve">, documented as such in </w:t>
      </w:r>
      <w:r>
        <w:rPr>
          <w:rFonts w:ascii="Consolas" w:hAnsi="Consolas" w:cs="Consolas" w:eastAsia="Consolas"/>
          <w:sz w:val="21"/>
        </w:rPr>
        <w:t>data/README.md</w:t>
      </w:r>
      <w:r>
        <w:rPr>
          <w:rFonts w:ascii="Times New Roman" w:hAnsi="Times New Roman" w:cs="Times New Roman" w:eastAsia="Times New Roman"/>
        </w:rPr>
        <w:t>, and chosen so that the forecasting method can be demonstrated and tested end to end; it carries no information about any real economy, and the abstract's real indicators (inflation, lending rates, GDP) are not integrated.</w:t>
      </w:r>
    </w:p>
    <w:p>
      <w:pPr>
        <w:pStyle w:val="Heading2"/>
      </w:pPr>
      <w:r>
        <w:t>6.3 Preprocessing and feature engineering</w:t>
      </w:r>
    </w:p>
    <w:p>
      <w:r>
        <w:rPr>
          <w:rFonts w:ascii="Times New Roman" w:hAnsi="Times New Roman" w:cs="Times New Roman" w:eastAsia="Times New Roman"/>
        </w:rPr>
        <w:t xml:space="preserve">Preprocessing is split in two places on purpose. Operations that need no fitted state (cleaning and derived features) are plain functions in </w:t>
      </w:r>
      <w:r>
        <w:rPr>
          <w:rFonts w:ascii="Consolas" w:hAnsi="Consolas" w:cs="Consolas" w:eastAsia="Consolas"/>
          <w:sz w:val="21"/>
        </w:rPr>
        <w:t>scripts/feature_engineering.py</w:t>
      </w:r>
      <w:r>
        <w:rPr>
          <w:rFonts w:ascii="Times New Roman" w:hAnsi="Times New Roman" w:cs="Times New Roman" w:eastAsia="Times New Roman"/>
        </w:rPr>
        <w:t xml:space="preserve"> and are applied to all rows before the split. Operations that learn from data (imputation values, category lists, scaling) live in a </w:t>
      </w:r>
      <w:r>
        <w:rPr>
          <w:rFonts w:ascii="Consolas" w:hAnsi="Consolas" w:cs="Consolas" w:eastAsia="Consolas"/>
          <w:sz w:val="21"/>
        </w:rPr>
        <w:t>ColumnTransformer</w:t>
      </w:r>
      <w:r>
        <w:rPr>
          <w:rFonts w:ascii="Times New Roman" w:hAnsi="Times New Roman" w:cs="Times New Roman" w:eastAsia="Times New Roman"/>
        </w:rPr>
        <w:t xml:space="preserve"> inside each Pipeline and are therefore fitted on training rows only.</w:t>
      </w:r>
    </w:p>
    <w:p>
      <w:r>
        <w:rPr>
          <w:rFonts w:ascii="Consolas" w:hAnsi="Consolas" w:cs="Consolas" w:eastAsia="Consolas"/>
          <w:sz w:val="21"/>
        </w:rPr>
        <w:t>clean_frame</w:t>
      </w:r>
      <w:r>
        <w:rPr>
          <w:rFonts w:ascii="Times New Roman" w:hAnsi="Times New Roman" w:cs="Times New Roman" w:eastAsia="Times New Roman"/>
        </w:rPr>
        <w:t xml:space="preserve"> strips whitespace from text columns, converts '?' to a missing value, coerces </w:t>
      </w:r>
      <w:r>
        <w:rPr>
          <w:rFonts w:ascii="Consolas" w:hAnsi="Consolas" w:cs="Consolas" w:eastAsia="Consolas"/>
          <w:sz w:val="21"/>
        </w:rPr>
        <w:t>age</w:t>
      </w:r>
      <w:r>
        <w:rPr>
          <w:rFonts w:ascii="Times New Roman" w:hAnsi="Times New Roman" w:cs="Times New Roman" w:eastAsia="Times New Roman"/>
        </w:rPr>
        <w:t xml:space="preserve">, </w:t>
      </w:r>
      <w:r>
        <w:rPr>
          <w:rFonts w:ascii="Consolas" w:hAnsi="Consolas" w:cs="Consolas" w:eastAsia="Consolas"/>
          <w:sz w:val="21"/>
        </w:rPr>
        <w:t>fnlwgt</w:t>
      </w:r>
      <w:r>
        <w:rPr>
          <w:rFonts w:ascii="Times New Roman" w:hAnsi="Times New Roman" w:cs="Times New Roman" w:eastAsia="Times New Roman"/>
        </w:rPr>
        <w:t xml:space="preserve">, </w:t>
      </w:r>
      <w:r>
        <w:rPr>
          <w:rFonts w:ascii="Consolas" w:hAnsi="Consolas" w:cs="Consolas" w:eastAsia="Consolas"/>
          <w:sz w:val="21"/>
        </w:rPr>
        <w:t>education-num</w:t>
      </w:r>
      <w:r>
        <w:rPr>
          <w:rFonts w:ascii="Times New Roman" w:hAnsi="Times New Roman" w:cs="Times New Roman" w:eastAsia="Times New Roman"/>
        </w:rPr>
        <w:t xml:space="preserve">, </w:t>
      </w:r>
      <w:r>
        <w:rPr>
          <w:rFonts w:ascii="Consolas" w:hAnsi="Consolas" w:cs="Consolas" w:eastAsia="Consolas"/>
          <w:sz w:val="21"/>
        </w:rPr>
        <w:t>capital-gain</w:t>
      </w:r>
      <w:r>
        <w:rPr>
          <w:rFonts w:ascii="Times New Roman" w:hAnsi="Times New Roman" w:cs="Times New Roman" w:eastAsia="Times New Roman"/>
        </w:rPr>
        <w:t xml:space="preserve">, </w:t>
      </w:r>
      <w:r>
        <w:rPr>
          <w:rFonts w:ascii="Consolas" w:hAnsi="Consolas" w:cs="Consolas" w:eastAsia="Consolas"/>
          <w:sz w:val="21"/>
        </w:rPr>
        <w:t>capital-loss</w:t>
      </w:r>
      <w:r>
        <w:rPr>
          <w:rFonts w:ascii="Times New Roman" w:hAnsi="Times New Roman" w:cs="Times New Roman" w:eastAsia="Times New Roman"/>
        </w:rPr>
        <w:t xml:space="preserve"> and </w:t>
      </w:r>
      <w:r>
        <w:rPr>
          <w:rFonts w:ascii="Consolas" w:hAnsi="Consolas" w:cs="Consolas" w:eastAsia="Consolas"/>
          <w:sz w:val="21"/>
        </w:rPr>
        <w:t>hours-per-week</w:t>
      </w:r>
      <w:r>
        <w:rPr>
          <w:rFonts w:ascii="Times New Roman" w:hAnsi="Times New Roman" w:cs="Times New Roman" w:eastAsia="Times New Roman"/>
        </w:rPr>
        <w:t xml:space="preserve"> to numbers and removes the trailing '.' from test-file labels. </w:t>
      </w:r>
      <w:r>
        <w:rPr>
          <w:rFonts w:ascii="Consolas" w:hAnsi="Consolas" w:cs="Consolas" w:eastAsia="Consolas"/>
          <w:sz w:val="21"/>
        </w:rPr>
        <w:t>add_derived_features</w:t>
      </w:r>
      <w:r>
        <w:rPr>
          <w:rFonts w:ascii="Times New Roman" w:hAnsi="Times New Roman" w:cs="Times New Roman" w:eastAsia="Times New Roman"/>
        </w:rPr>
        <w:t xml:space="preserve"> then adds twelve columns, each computable from the raw fields of a new user:</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4</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Derived features added by add_derived_features()</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2160"/>
            <w:shd w:val="clear" w:color="auto" w:fill="1B2A41"/>
          </w:tcPr>
          <w:p>
            <w:pPr>
              <w:spacing w:line="240" w:lineRule="auto" w:after="40"/>
              <w:jc w:val="center"/>
            </w:pPr>
            <w:r/>
            <w:r>
              <w:rPr>
                <w:rFonts w:ascii="Times New Roman" w:hAnsi="Times New Roman" w:cs="Times New Roman" w:eastAsia="Times New Roman"/>
                <w:b/>
                <w:color w:val="FFFFFF"/>
                <w:sz w:val="18"/>
              </w:rPr>
              <w:t>Feature</w:t>
            </w:r>
          </w:p>
        </w:tc>
        <w:tc>
          <w:tcPr>
            <w:tcW w:type="dxa" w:w="4896"/>
            <w:shd w:val="clear" w:color="auto" w:fill="1B2A41"/>
          </w:tcPr>
          <w:p>
            <w:pPr>
              <w:spacing w:line="240" w:lineRule="auto" w:after="40"/>
              <w:jc w:val="center"/>
            </w:pPr>
            <w:r/>
            <w:r>
              <w:rPr>
                <w:rFonts w:ascii="Times New Roman" w:hAnsi="Times New Roman" w:cs="Times New Roman" w:eastAsia="Times New Roman"/>
                <w:b/>
                <w:color w:val="FFFFFF"/>
                <w:sz w:val="18"/>
              </w:rPr>
              <w:t>Rule</w:t>
            </w:r>
          </w:p>
        </w:tc>
        <w:tc>
          <w:tcPr>
            <w:tcW w:type="dxa" w:w="2304"/>
            <w:shd w:val="clear" w:color="auto" w:fill="1B2A41"/>
          </w:tcPr>
          <w:p>
            <w:pPr>
              <w:spacing w:line="240" w:lineRule="auto" w:after="40"/>
              <w:jc w:val="center"/>
            </w:pPr>
            <w:r/>
            <w:r>
              <w:rPr>
                <w:rFonts w:ascii="Times New Roman" w:hAnsi="Times New Roman" w:cs="Times New Roman" w:eastAsia="Times New Roman"/>
                <w:b/>
                <w:color w:val="FFFFFF"/>
                <w:sz w:val="18"/>
              </w:rPr>
              <w:t>Reason</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net-capital</w:t>
            </w:r>
          </w:p>
        </w:tc>
        <w:tc>
          <w:tcPr>
            <w:tcW w:type="dxa" w:w="4896"/>
          </w:tcPr>
          <w:p>
            <w:pPr>
              <w:spacing w:line="240" w:lineRule="auto" w:after="40"/>
              <w:jc w:val="left"/>
            </w:pPr>
            <w:r/>
            <w:r>
              <w:rPr>
                <w:rFonts w:ascii="Times New Roman" w:hAnsi="Times New Roman" w:cs="Times New Roman" w:eastAsia="Times New Roman"/>
                <w:sz w:val="18"/>
              </w:rPr>
              <w:t>capital-gain minus capital-loss</w:t>
            </w:r>
          </w:p>
        </w:tc>
        <w:tc>
          <w:tcPr>
            <w:tcW w:type="dxa" w:w="2304"/>
          </w:tcPr>
          <w:p>
            <w:pPr>
              <w:spacing w:line="240" w:lineRule="auto" w:after="40"/>
              <w:jc w:val="left"/>
            </w:pPr>
            <w:r/>
            <w:r>
              <w:rPr>
                <w:rFonts w:ascii="Times New Roman" w:hAnsi="Times New Roman" w:cs="Times New Roman" w:eastAsia="Times New Roman"/>
                <w:sz w:val="18"/>
              </w:rPr>
              <w:t>single investment-position signal</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capital-intensity</w:t>
            </w:r>
          </w:p>
        </w:tc>
        <w:tc>
          <w:tcPr>
            <w:tcW w:type="dxa" w:w="4896"/>
          </w:tcPr>
          <w:p>
            <w:pPr>
              <w:spacing w:line="240" w:lineRule="auto" w:after="40"/>
              <w:jc w:val="left"/>
            </w:pPr>
            <w:r/>
            <w:r>
              <w:rPr>
                <w:rFonts w:ascii="Times New Roman" w:hAnsi="Times New Roman" w:cs="Times New Roman" w:eastAsia="Times New Roman"/>
                <w:sz w:val="18"/>
              </w:rPr>
              <w:t>capital-gain plus capital-loss, at least 0</w:t>
            </w:r>
          </w:p>
        </w:tc>
        <w:tc>
          <w:tcPr>
            <w:tcW w:type="dxa" w:w="2304"/>
          </w:tcPr>
          <w:p>
            <w:pPr>
              <w:spacing w:line="240" w:lineRule="auto" w:after="40"/>
              <w:jc w:val="left"/>
            </w:pPr>
            <w:r/>
            <w:r>
              <w:rPr>
                <w:rFonts w:ascii="Times New Roman" w:hAnsi="Times New Roman" w:cs="Times New Roman" w:eastAsia="Times New Roman"/>
                <w:sz w:val="18"/>
              </w:rPr>
              <w:t>overall investment activity</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log-capital-gain, log-capital-loss</w:t>
            </w:r>
          </w:p>
        </w:tc>
        <w:tc>
          <w:tcPr>
            <w:tcW w:type="dxa" w:w="4896"/>
          </w:tcPr>
          <w:p>
            <w:pPr>
              <w:spacing w:line="240" w:lineRule="auto" w:after="40"/>
              <w:jc w:val="left"/>
            </w:pPr>
            <w:r/>
            <w:r>
              <w:rPr>
                <w:rFonts w:ascii="Times New Roman" w:hAnsi="Times New Roman" w:cs="Times New Roman" w:eastAsia="Times New Roman"/>
                <w:sz w:val="18"/>
              </w:rPr>
              <w:t>log(1 + value)</w:t>
            </w:r>
          </w:p>
        </w:tc>
        <w:tc>
          <w:tcPr>
            <w:tcW w:type="dxa" w:w="2304"/>
          </w:tcPr>
          <w:p>
            <w:pPr>
              <w:spacing w:line="240" w:lineRule="auto" w:after="40"/>
              <w:jc w:val="left"/>
            </w:pPr>
            <w:r/>
            <w:r>
              <w:rPr>
                <w:rFonts w:ascii="Times New Roman" w:hAnsi="Times New Roman" w:cs="Times New Roman" w:eastAsia="Times New Roman"/>
                <w:sz w:val="18"/>
              </w:rPr>
              <w:t>both are highly skewed; helps the linear model</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has-capital-gain, has-capital-loss</w:t>
            </w:r>
          </w:p>
        </w:tc>
        <w:tc>
          <w:tcPr>
            <w:tcW w:type="dxa" w:w="4896"/>
          </w:tcPr>
          <w:p>
            <w:pPr>
              <w:spacing w:line="240" w:lineRule="auto" w:after="40"/>
              <w:jc w:val="left"/>
            </w:pPr>
            <w:r/>
            <w:r>
              <w:rPr>
                <w:rFonts w:ascii="Times New Roman" w:hAnsi="Times New Roman" w:cs="Times New Roman" w:eastAsia="Times New Roman"/>
                <w:sz w:val="18"/>
              </w:rPr>
              <w:t>1 if the value is above 0, else 0 (as text)</w:t>
            </w:r>
          </w:p>
        </w:tc>
        <w:tc>
          <w:tcPr>
            <w:tcW w:type="dxa" w:w="2304"/>
          </w:tcPr>
          <w:p>
            <w:pPr>
              <w:spacing w:line="240" w:lineRule="auto" w:after="40"/>
              <w:jc w:val="left"/>
            </w:pPr>
            <w:r/>
            <w:r>
              <w:rPr>
                <w:rFonts w:ascii="Times New Roman" w:hAnsi="Times New Roman" w:cs="Times New Roman" w:eastAsia="Times New Roman"/>
                <w:sz w:val="18"/>
              </w:rPr>
              <w:t>interpretable yes / no indicators</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hours-band</w:t>
            </w:r>
          </w:p>
        </w:tc>
        <w:tc>
          <w:tcPr>
            <w:tcW w:type="dxa" w:w="4896"/>
          </w:tcPr>
          <w:p>
            <w:pPr>
              <w:spacing w:line="240" w:lineRule="auto" w:after="40"/>
              <w:jc w:val="left"/>
            </w:pPr>
            <w:r/>
            <w:r>
              <w:rPr>
                <w:rFonts w:ascii="Times New Roman" w:hAnsi="Times New Roman" w:cs="Times New Roman" w:eastAsia="Times New Roman"/>
                <w:sz w:val="18"/>
              </w:rPr>
              <w:t>up to 29 Part-time; 30-40 Full-time; 41-60 Extended; above 60 Very-long</w:t>
            </w:r>
          </w:p>
        </w:tc>
        <w:tc>
          <w:tcPr>
            <w:tcW w:type="dxa" w:w="2304"/>
          </w:tcPr>
          <w:p>
            <w:pPr>
              <w:spacing w:line="240" w:lineRule="auto" w:after="40"/>
              <w:jc w:val="left"/>
            </w:pPr>
            <w:r/>
            <w:r>
              <w:rPr>
                <w:rFonts w:ascii="Times New Roman" w:hAnsi="Times New Roman" w:cs="Times New Roman" w:eastAsia="Times New Roman"/>
                <w:sz w:val="18"/>
              </w:rPr>
              <w:t>earning-effort proxy</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age-band</w:t>
            </w:r>
          </w:p>
        </w:tc>
        <w:tc>
          <w:tcPr>
            <w:tcW w:type="dxa" w:w="4896"/>
          </w:tcPr>
          <w:p>
            <w:pPr>
              <w:spacing w:line="240" w:lineRule="auto" w:after="40"/>
              <w:jc w:val="left"/>
            </w:pPr>
            <w:r/>
            <w:r>
              <w:rPr>
                <w:rFonts w:ascii="Times New Roman" w:hAnsi="Times New Roman" w:cs="Times New Roman" w:eastAsia="Times New Roman"/>
                <w:sz w:val="18"/>
              </w:rPr>
              <w:t>up to 25; 26-35; 36-50; 51-65; above 65</w:t>
            </w:r>
          </w:p>
        </w:tc>
        <w:tc>
          <w:tcPr>
            <w:tcW w:type="dxa" w:w="2304"/>
          </w:tcPr>
          <w:p>
            <w:pPr>
              <w:spacing w:line="240" w:lineRule="auto" w:after="40"/>
              <w:jc w:val="left"/>
            </w:pPr>
            <w:r/>
            <w:r>
              <w:rPr>
                <w:rFonts w:ascii="Times New Roman" w:hAnsi="Times New Roman" w:cs="Times New Roman" w:eastAsia="Times New Roman"/>
                <w:sz w:val="18"/>
              </w:rPr>
              <w:t>life-stage proxy</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education-tier</w:t>
            </w:r>
          </w:p>
        </w:tc>
        <w:tc>
          <w:tcPr>
            <w:tcW w:type="dxa" w:w="4896"/>
          </w:tcPr>
          <w:p>
            <w:pPr>
              <w:spacing w:line="240" w:lineRule="auto" w:after="40"/>
              <w:jc w:val="left"/>
            </w:pPr>
            <w:r/>
            <w:r>
              <w:rPr>
                <w:rFonts w:ascii="Times New Roman" w:hAnsi="Times New Roman" w:cs="Times New Roman" w:eastAsia="Times New Roman"/>
                <w:sz w:val="18"/>
              </w:rPr>
              <w:t>education-num up to 9 Secondary-or-below; 10-12 Higher-secondary; 13 or more Tertiary</w:t>
            </w:r>
          </w:p>
        </w:tc>
        <w:tc>
          <w:tcPr>
            <w:tcW w:type="dxa" w:w="2304"/>
          </w:tcPr>
          <w:p>
            <w:pPr>
              <w:spacing w:line="240" w:lineRule="auto" w:after="40"/>
              <w:jc w:val="left"/>
            </w:pPr>
            <w:r/>
            <w:r>
              <w:rPr>
                <w:rFonts w:ascii="Times New Roman" w:hAnsi="Times New Roman" w:cs="Times New Roman" w:eastAsia="Times New Roman"/>
                <w:sz w:val="18"/>
              </w:rPr>
              <w:t>groups 16 levels into 3</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region</w:t>
            </w:r>
          </w:p>
        </w:tc>
        <w:tc>
          <w:tcPr>
            <w:tcW w:type="dxa" w:w="4896"/>
          </w:tcPr>
          <w:p>
            <w:pPr>
              <w:spacing w:line="240" w:lineRule="auto" w:after="40"/>
              <w:jc w:val="left"/>
            </w:pPr>
            <w:r/>
            <w:r>
              <w:rPr>
                <w:rFonts w:ascii="Times New Roman" w:hAnsi="Times New Roman" w:cs="Times New Roman" w:eastAsia="Times New Roman"/>
                <w:sz w:val="18"/>
              </w:rPr>
              <w:t>native-country mapped to North America, Latin America, Europe, Asia, Middle East or Other</w:t>
            </w:r>
          </w:p>
        </w:tc>
        <w:tc>
          <w:tcPr>
            <w:tcW w:type="dxa" w:w="2304"/>
          </w:tcPr>
          <w:p>
            <w:pPr>
              <w:spacing w:line="240" w:lineRule="auto" w:after="40"/>
              <w:jc w:val="left"/>
            </w:pPr>
            <w:r/>
            <w:r>
              <w:rPr>
                <w:rFonts w:ascii="Times New Roman" w:hAnsi="Times New Roman" w:cs="Times New Roman" w:eastAsia="Times New Roman"/>
                <w:sz w:val="18"/>
              </w:rPr>
              <w:t>regional economic category</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employment-stability</w:t>
            </w:r>
          </w:p>
        </w:tc>
        <w:tc>
          <w:tcPr>
            <w:tcW w:type="dxa" w:w="4896"/>
          </w:tcPr>
          <w:p>
            <w:pPr>
              <w:spacing w:line="240" w:lineRule="auto" w:after="40"/>
              <w:jc w:val="left"/>
            </w:pPr>
            <w:r/>
            <w:r>
              <w:rPr>
                <w:rFonts w:ascii="Times New Roman" w:hAnsi="Times New Roman" w:cs="Times New Roman" w:eastAsia="Times New Roman"/>
                <w:sz w:val="18"/>
              </w:rPr>
              <w:t>government Stable-public; Self-emp-inc Business-owner; Self-emp-not-inc Self-employed; Private with 35 or more hours Stable-private, otherwise Variable-private; Without-pay or Never-worked Not-employed</w:t>
            </w:r>
          </w:p>
        </w:tc>
        <w:tc>
          <w:tcPr>
            <w:tcW w:type="dxa" w:w="2304"/>
          </w:tcPr>
          <w:p>
            <w:pPr>
              <w:spacing w:line="240" w:lineRule="auto" w:after="40"/>
              <w:jc w:val="left"/>
            </w:pPr>
            <w:r/>
            <w:r>
              <w:rPr>
                <w:rFonts w:ascii="Times New Roman" w:hAnsi="Times New Roman" w:cs="Times New Roman" w:eastAsia="Times New Roman"/>
                <w:sz w:val="18"/>
              </w:rPr>
              <w:t>employment security proxy</w:t>
            </w:r>
          </w:p>
        </w:tc>
      </w:tr>
      <w:tr>
        <w:trPr>
          <w:cantSplit w:val="true"/>
        </w:trPr>
        <w:tc>
          <w:tcPr>
            <w:tcW w:type="dxa" w:w="2160"/>
          </w:tcPr>
          <w:p>
            <w:pPr>
              <w:spacing w:line="240" w:lineRule="auto" w:after="40"/>
              <w:jc w:val="left"/>
            </w:pPr>
            <w:r/>
            <w:r>
              <w:rPr>
                <w:rFonts w:ascii="Times New Roman" w:hAnsi="Times New Roman" w:cs="Times New Roman" w:eastAsia="Times New Roman"/>
                <w:sz w:val="18"/>
              </w:rPr>
              <w:t>capital-position</w:t>
            </w:r>
          </w:p>
        </w:tc>
        <w:tc>
          <w:tcPr>
            <w:tcW w:type="dxa" w:w="4896"/>
          </w:tcPr>
          <w:p>
            <w:pPr>
              <w:spacing w:line="240" w:lineRule="auto" w:after="40"/>
              <w:jc w:val="left"/>
            </w:pPr>
            <w:r/>
            <w:r>
              <w:rPr>
                <w:rFonts w:ascii="Times New Roman" w:hAnsi="Times New Roman" w:cs="Times New Roman" w:eastAsia="Times New Roman"/>
                <w:sz w:val="18"/>
              </w:rPr>
              <w:t>net-capital below 0 Net-loss; 0 No-capital; 1 to 4,999 Moderate-gain; 5,000 or more High-gain</w:t>
            </w:r>
          </w:p>
        </w:tc>
        <w:tc>
          <w:tcPr>
            <w:tcW w:type="dxa" w:w="2304"/>
          </w:tcPr>
          <w:p>
            <w:pPr>
              <w:spacing w:line="240" w:lineRule="auto" w:after="40"/>
              <w:jc w:val="left"/>
            </w:pPr>
            <w:r/>
            <w:r>
              <w:rPr>
                <w:rFonts w:ascii="Times New Roman" w:hAnsi="Times New Roman" w:cs="Times New Roman" w:eastAsia="Times New Roman"/>
                <w:sz w:val="18"/>
              </w:rPr>
              <w:t>categorical view of net-capital</w:t>
            </w:r>
          </w:p>
        </w:tc>
      </w:tr>
    </w:tbl>
    <w:p>
      <w:pPr>
        <w:spacing w:after="120" w:line="192" w:lineRule="auto"/>
      </w:pPr>
    </w:p>
    <w:p>
      <w:r>
        <w:rPr>
          <w:rFonts w:ascii="Times New Roman" w:hAnsi="Times New Roman" w:cs="Times New Roman" w:eastAsia="Times New Roman"/>
        </w:rPr>
        <w:t>The result has 26 columns: 10 numeric (</w:t>
      </w:r>
      <w:r>
        <w:rPr>
          <w:rFonts w:ascii="Consolas" w:hAnsi="Consolas" w:cs="Consolas" w:eastAsia="Consolas"/>
          <w:sz w:val="21"/>
        </w:rPr>
        <w:t>age</w:t>
      </w:r>
      <w:r>
        <w:rPr>
          <w:rFonts w:ascii="Times New Roman" w:hAnsi="Times New Roman" w:cs="Times New Roman" w:eastAsia="Times New Roman"/>
        </w:rPr>
        <w:t xml:space="preserve">, </w:t>
      </w:r>
      <w:r>
        <w:rPr>
          <w:rFonts w:ascii="Consolas" w:hAnsi="Consolas" w:cs="Consolas" w:eastAsia="Consolas"/>
          <w:sz w:val="21"/>
        </w:rPr>
        <w:t>fnlwgt</w:t>
      </w:r>
      <w:r>
        <w:rPr>
          <w:rFonts w:ascii="Times New Roman" w:hAnsi="Times New Roman" w:cs="Times New Roman" w:eastAsia="Times New Roman"/>
        </w:rPr>
        <w:t xml:space="preserve">, </w:t>
      </w:r>
      <w:r>
        <w:rPr>
          <w:rFonts w:ascii="Consolas" w:hAnsi="Consolas" w:cs="Consolas" w:eastAsia="Consolas"/>
          <w:sz w:val="21"/>
        </w:rPr>
        <w:t>education-num</w:t>
      </w:r>
      <w:r>
        <w:rPr>
          <w:rFonts w:ascii="Times New Roman" w:hAnsi="Times New Roman" w:cs="Times New Roman" w:eastAsia="Times New Roman"/>
        </w:rPr>
        <w:t xml:space="preserve">, </w:t>
      </w:r>
      <w:r>
        <w:rPr>
          <w:rFonts w:ascii="Consolas" w:hAnsi="Consolas" w:cs="Consolas" w:eastAsia="Consolas"/>
          <w:sz w:val="21"/>
        </w:rPr>
        <w:t>capital-gain</w:t>
      </w:r>
      <w:r>
        <w:rPr>
          <w:rFonts w:ascii="Times New Roman" w:hAnsi="Times New Roman" w:cs="Times New Roman" w:eastAsia="Times New Roman"/>
        </w:rPr>
        <w:t xml:space="preserve">, </w:t>
      </w:r>
      <w:r>
        <w:rPr>
          <w:rFonts w:ascii="Consolas" w:hAnsi="Consolas" w:cs="Consolas" w:eastAsia="Consolas"/>
          <w:sz w:val="21"/>
        </w:rPr>
        <w:t>capital-loss</w:t>
      </w:r>
      <w:r>
        <w:rPr>
          <w:rFonts w:ascii="Times New Roman" w:hAnsi="Times New Roman" w:cs="Times New Roman" w:eastAsia="Times New Roman"/>
        </w:rPr>
        <w:t xml:space="preserve">, </w:t>
      </w:r>
      <w:r>
        <w:rPr>
          <w:rFonts w:ascii="Consolas" w:hAnsi="Consolas" w:cs="Consolas" w:eastAsia="Consolas"/>
          <w:sz w:val="21"/>
        </w:rPr>
        <w:t>hours-per-week</w:t>
      </w:r>
      <w:r>
        <w:rPr>
          <w:rFonts w:ascii="Times New Roman" w:hAnsi="Times New Roman" w:cs="Times New Roman" w:eastAsia="Times New Roman"/>
        </w:rPr>
        <w:t xml:space="preserve">, </w:t>
      </w:r>
      <w:r>
        <w:rPr>
          <w:rFonts w:ascii="Consolas" w:hAnsi="Consolas" w:cs="Consolas" w:eastAsia="Consolas"/>
          <w:sz w:val="21"/>
        </w:rPr>
        <w:t>net-capital</w:t>
      </w:r>
      <w:r>
        <w:rPr>
          <w:rFonts w:ascii="Times New Roman" w:hAnsi="Times New Roman" w:cs="Times New Roman" w:eastAsia="Times New Roman"/>
        </w:rPr>
        <w:t xml:space="preserve">, </w:t>
      </w:r>
      <w:r>
        <w:rPr>
          <w:rFonts w:ascii="Consolas" w:hAnsi="Consolas" w:cs="Consolas" w:eastAsia="Consolas"/>
          <w:sz w:val="21"/>
        </w:rPr>
        <w:t>capital-intensity</w:t>
      </w:r>
      <w:r>
        <w:rPr>
          <w:rFonts w:ascii="Times New Roman" w:hAnsi="Times New Roman" w:cs="Times New Roman" w:eastAsia="Times New Roman"/>
        </w:rPr>
        <w:t xml:space="preserve"> and the two log columns) and 16 categorical. In the ColumnTransformer, numeric columns receive median imputation (and standard scaling for logistic regression only, because trees are insensitive to scale) and categorical columns receive imputation with the constant "Unknown" followed by one-hot encoding with </w:t>
      </w:r>
      <w:r>
        <w:rPr>
          <w:rFonts w:ascii="Consolas" w:hAnsi="Consolas" w:cs="Consolas" w:eastAsia="Consolas"/>
          <w:sz w:val="21"/>
        </w:rPr>
        <w:t>handle_unknown="ignore"</w:t>
      </w:r>
      <w:r>
        <w:rPr>
          <w:rFonts w:ascii="Times New Roman" w:hAnsi="Times New Roman" w:cs="Times New Roman" w:eastAsia="Times New Roman"/>
        </w:rPr>
        <w:t xml:space="preserve">, so a category never seen in training cannot crash a request. After encoding the fitted pipeline outputs </w:t>
      </w:r>
      <w:r>
        <w:rPr>
          <w:rFonts w:ascii="Times New Roman" w:hAnsi="Times New Roman" w:cs="Times New Roman" w:eastAsia="Times New Roman"/>
          <w:b/>
        </w:rPr>
        <w:t>145 columns</w:t>
      </w:r>
      <w:r>
        <w:rPr>
          <w:rFonts w:ascii="Times New Roman" w:hAnsi="Times New Roman" w:cs="Times New Roman" w:eastAsia="Times New Roman"/>
        </w:rPr>
        <w:t>.</w:t>
      </w:r>
    </w:p>
    <w:p>
      <w:pPr>
        <w:spacing w:line="240" w:lineRule="auto" w:after="0"/>
        <w:ind w:left="144"/>
        <w:jc w:val="left"/>
        <w:shd w:val="clear" w:color="auto" w:fill="F3F5F8"/>
      </w:pPr>
      <w:r>
        <w:rPr>
          <w:rFonts w:ascii="Consolas" w:hAnsi="Consolas" w:cs="Consolas" w:eastAsia="Consolas"/>
          <w:sz w:val="17"/>
        </w:rPr>
        <w:t>def build_preprocessor(scale_numeric: bool) -&gt; ColumnTransformer:</w:t>
      </w:r>
    </w:p>
    <w:p>
      <w:pPr>
        <w:spacing w:line="240" w:lineRule="auto" w:after="0"/>
        <w:ind w:left="144"/>
        <w:jc w:val="left"/>
        <w:shd w:val="clear" w:color="auto" w:fill="F3F5F8"/>
      </w:pPr>
      <w:r>
        <w:rPr>
          <w:rFonts w:ascii="Consolas" w:hAnsi="Consolas" w:cs="Consolas" w:eastAsia="Consolas"/>
          <w:sz w:val="17"/>
        </w:rPr>
        <w:t xml:space="preserve">    """Build a leakage-safe ColumnTransformer.</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scale_numeric=True for the Logistic Regression pipeline;</w:t>
      </w:r>
    </w:p>
    <w:p>
      <w:pPr>
        <w:spacing w:line="240" w:lineRule="auto" w:after="0"/>
        <w:ind w:left="144"/>
        <w:jc w:val="left"/>
        <w:shd w:val="clear" w:color="auto" w:fill="F3F5F8"/>
      </w:pPr>
      <w:r>
        <w:rPr>
          <w:rFonts w:ascii="Consolas" w:hAnsi="Consolas" w:cs="Consolas" w:eastAsia="Consolas"/>
          <w:sz w:val="17"/>
        </w:rPr>
        <w:t xml:space="preserve">    tree pipelines use scale_numeric=False.</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if scale_numeric:</w:t>
      </w:r>
    </w:p>
    <w:p>
      <w:pPr>
        <w:spacing w:line="240" w:lineRule="auto" w:after="0"/>
        <w:ind w:left="144"/>
        <w:jc w:val="left"/>
        <w:shd w:val="clear" w:color="auto" w:fill="F3F5F8"/>
      </w:pPr>
      <w:r>
        <w:rPr>
          <w:rFonts w:ascii="Consolas" w:hAnsi="Consolas" w:cs="Consolas" w:eastAsia="Consolas"/>
          <w:sz w:val="17"/>
        </w:rPr>
        <w:t xml:space="preserve">        num_pipe = Pipeline([</w:t>
      </w:r>
    </w:p>
    <w:p>
      <w:pPr>
        <w:spacing w:line="240" w:lineRule="auto" w:after="0"/>
        <w:ind w:left="144"/>
        <w:jc w:val="left"/>
        <w:shd w:val="clear" w:color="auto" w:fill="F3F5F8"/>
      </w:pPr>
      <w:r>
        <w:rPr>
          <w:rFonts w:ascii="Consolas" w:hAnsi="Consolas" w:cs="Consolas" w:eastAsia="Consolas"/>
          <w:sz w:val="17"/>
        </w:rPr>
        <w:t xml:space="preserve">            ("imputer", SimpleImputer(strategy="median")),</w:t>
      </w:r>
    </w:p>
    <w:p>
      <w:pPr>
        <w:spacing w:line="240" w:lineRule="auto" w:after="0"/>
        <w:ind w:left="144"/>
        <w:jc w:val="left"/>
        <w:shd w:val="clear" w:color="auto" w:fill="F3F5F8"/>
      </w:pPr>
      <w:r>
        <w:rPr>
          <w:rFonts w:ascii="Consolas" w:hAnsi="Consolas" w:cs="Consolas" w:eastAsia="Consolas"/>
          <w:sz w:val="17"/>
        </w:rPr>
        <w:t xml:space="preserve">            ("scaler", StandardScaler()),</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else:</w:t>
      </w:r>
    </w:p>
    <w:p>
      <w:pPr>
        <w:spacing w:line="240" w:lineRule="auto" w:after="0"/>
        <w:ind w:left="144"/>
        <w:jc w:val="left"/>
        <w:shd w:val="clear" w:color="auto" w:fill="F3F5F8"/>
      </w:pPr>
      <w:r>
        <w:rPr>
          <w:rFonts w:ascii="Consolas" w:hAnsi="Consolas" w:cs="Consolas" w:eastAsia="Consolas"/>
          <w:sz w:val="17"/>
        </w:rPr>
        <w:t xml:space="preserve">        num_pipe = Pipeline([</w:t>
      </w:r>
    </w:p>
    <w:p>
      <w:pPr>
        <w:spacing w:line="240" w:lineRule="auto" w:after="0"/>
        <w:ind w:left="144"/>
        <w:jc w:val="left"/>
        <w:shd w:val="clear" w:color="auto" w:fill="F3F5F8"/>
      </w:pPr>
      <w:r>
        <w:rPr>
          <w:rFonts w:ascii="Consolas" w:hAnsi="Consolas" w:cs="Consolas" w:eastAsia="Consolas"/>
          <w:sz w:val="17"/>
        </w:rPr>
        <w:t xml:space="preserve">            ("imputer", SimpleImputer(strategy="median")),</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cat_pipe = Pipeline([</w:t>
      </w:r>
    </w:p>
    <w:p>
      <w:pPr>
        <w:spacing w:line="240" w:lineRule="auto" w:after="0"/>
        <w:ind w:left="144"/>
        <w:jc w:val="left"/>
        <w:shd w:val="clear" w:color="auto" w:fill="F3F5F8"/>
      </w:pPr>
      <w:r>
        <w:rPr>
          <w:rFonts w:ascii="Consolas" w:hAnsi="Consolas" w:cs="Consolas" w:eastAsia="Consolas"/>
          <w:sz w:val="17"/>
        </w:rPr>
        <w:t xml:space="preserve">        ("imputer", SimpleImputer(strategy="constant", fill_value="Unknown")),</w:t>
      </w:r>
    </w:p>
    <w:p>
      <w:pPr>
        <w:spacing w:line="240" w:lineRule="auto" w:after="0"/>
        <w:ind w:left="144"/>
        <w:jc w:val="left"/>
        <w:shd w:val="clear" w:color="auto" w:fill="F3F5F8"/>
      </w:pPr>
      <w:r>
        <w:rPr>
          <w:rFonts w:ascii="Consolas" w:hAnsi="Consolas" w:cs="Consolas" w:eastAsia="Consolas"/>
          <w:sz w:val="17"/>
        </w:rPr>
        <w:t xml:space="preserve">        ("onehot", _onehot()),</w:t>
      </w:r>
    </w:p>
    <w:p>
      <w:pPr>
        <w:spacing w:line="240" w:lineRule="auto" w:after="0"/>
        <w:ind w:left="144"/>
        <w:jc w:val="left"/>
        <w:shd w:val="clear" w:color="auto" w:fill="F3F5F8"/>
      </w:pPr>
      <w:r>
        <w:rPr>
          <w:rFonts w:ascii="Consolas" w:hAnsi="Consolas" w:cs="Consolas" w:eastAsia="Consolas"/>
          <w:sz w:val="17"/>
        </w:rPr>
        <w:t xml:space="preserve">    ])</w:t>
      </w:r>
    </w:p>
    <w:p>
      <w:pPr>
        <w:spacing w:line="240" w:lineRule="auto" w:after="0"/>
        <w:ind w:left="144"/>
        <w:jc w:val="left"/>
        <w:shd w:val="clear" w:color="auto" w:fill="F3F5F8"/>
      </w:pPr>
      <w:r>
        <w:rPr>
          <w:rFonts w:ascii="Consolas" w:hAnsi="Consolas" w:cs="Consolas" w:eastAsia="Consolas"/>
          <w:sz w:val="17"/>
        </w:rPr>
        <w:t xml:space="preserve">    return ColumnTransformer([</w:t>
      </w:r>
    </w:p>
    <w:p>
      <w:pPr>
        <w:spacing w:line="240" w:lineRule="auto" w:after="0"/>
        <w:ind w:left="144"/>
        <w:jc w:val="left"/>
        <w:shd w:val="clear" w:color="auto" w:fill="F3F5F8"/>
      </w:pPr>
      <w:r>
        <w:rPr>
          <w:rFonts w:ascii="Consolas" w:hAnsi="Consolas" w:cs="Consolas" w:eastAsia="Consolas"/>
          <w:sz w:val="17"/>
        </w:rPr>
        <w:t xml:space="preserve">        ("num", num_pipe, NUMERIC_FEATURES),</w:t>
      </w:r>
    </w:p>
    <w:p>
      <w:pPr>
        <w:spacing w:line="240" w:lineRule="auto" w:after="0"/>
        <w:ind w:left="144"/>
        <w:jc w:val="left"/>
        <w:shd w:val="clear" w:color="auto" w:fill="F3F5F8"/>
      </w:pPr>
      <w:r>
        <w:rPr>
          <w:rFonts w:ascii="Consolas" w:hAnsi="Consolas" w:cs="Consolas" w:eastAsia="Consolas"/>
          <w:sz w:val="17"/>
        </w:rPr>
        <w:t xml:space="preserve">        ("cat", cat_pipe, CATEGORICAL_FEATURES),</w:t>
      </w:r>
    </w:p>
    <w:p>
      <w:pPr>
        <w:spacing w:line="240" w:lineRule="auto" w:after="0"/>
        <w:ind w:left="144"/>
        <w:jc w:val="left"/>
        <w:shd w:val="clear" w:color="auto" w:fill="F3F5F8"/>
      </w:pPr>
      <w:r>
        <w:rPr>
          <w:rFonts w:ascii="Consolas" w:hAnsi="Consolas" w:cs="Consolas" w:eastAsia="Consolas"/>
          <w:sz w:val="17"/>
        </w:rPr>
        <w:t xml:space="preserve">    ])</w:t>
      </w:r>
    </w:p>
    <w:p>
      <w:pPr>
        <w:spacing w:after="80" w:line="144" w:lineRule="auto"/>
      </w:pPr>
    </w:p>
    <w:p>
      <w:r>
        <w:rPr>
          <w:rFonts w:ascii="Times New Roman" w:hAnsi="Times New Roman" w:cs="Times New Roman" w:eastAsia="Times New Roman"/>
        </w:rPr>
        <w:t xml:space="preserve">The census sampling weight </w:t>
      </w:r>
      <w:r>
        <w:rPr>
          <w:rFonts w:ascii="Consolas" w:hAnsi="Consolas" w:cs="Consolas" w:eastAsia="Consolas"/>
          <w:sz w:val="21"/>
        </w:rPr>
        <w:t>fnlwgt</w:t>
      </w:r>
      <w:r>
        <w:rPr>
          <w:rFonts w:ascii="Times New Roman" w:hAnsi="Times New Roman" w:cs="Times New Roman" w:eastAsia="Times New Roman"/>
        </w:rPr>
        <w:t xml:space="preserve"> describes how many people a record represents and has no meaning for a new user. It is kept as a training feature, as in the original data, and left missing at prediction time, where the pipeline imputes the training median; its small SHAP importance (0.101) is reported rather than hidden.</w:t>
      </w:r>
    </w:p>
    <w:p>
      <w:pPr>
        <w:pStyle w:val="Heading2"/>
      </w:pPr>
      <w:r>
        <w:t>6.4 Algorithm choice and justification</w:t>
      </w:r>
    </w:p>
    <w:p>
      <w:r>
        <w:rPr>
          <w:rFonts w:ascii="Times New Roman" w:hAnsi="Times New Roman" w:cs="Times New Roman" w:eastAsia="Times New Roman"/>
        </w:rPr>
        <w:t>Four classifiers span the range used by the base paper [1]: a linear baseline, a bagging ensemble and two boosting ensembles. Tree ensembles are the natural choice for mixed, tabular data with interactions and skewed numeric columns, and Grinsztajn et al. [23] show that they still outperform deep networks on typical tabular data, which is why no neural network was trained. Explainability, the fifth objective, favours models for which exact attributions exist, which led to SHAP.</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5</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Methods used and the reason for each</w:t>
      </w:r>
    </w:p>
    <w:tbl>
      <w:tblPr>
        <w:tblStyle w:val="TableGrid"/>
        <w:tblW w:type="auto" w:w="0"/>
        <w:jc w:val="center"/>
        <w:tblLook w:firstColumn="1" w:firstRow="1" w:lastColumn="0" w:lastRow="0" w:noHBand="0" w:noVBand="1" w:val="04A0"/>
      </w:tblPr>
      <w:tblGrid>
        <w:gridCol w:w="2166"/>
        <w:gridCol w:w="2166"/>
        <w:gridCol w:w="2166"/>
        <w:gridCol w:w="2166"/>
      </w:tblGrid>
      <w:tr>
        <w:trPr>
          <w:tblHeader w:val="true"/>
          <w:cantSplit w:val="true"/>
        </w:trPr>
        <w:tc>
          <w:tcPr>
            <w:tcW w:type="dxa" w:w="1944"/>
            <w:shd w:val="clear" w:color="auto" w:fill="1B2A41"/>
          </w:tcPr>
          <w:p>
            <w:pPr>
              <w:spacing w:line="240" w:lineRule="auto" w:after="40"/>
              <w:jc w:val="center"/>
            </w:pPr>
            <w:r/>
            <w:r>
              <w:rPr>
                <w:rFonts w:ascii="Times New Roman" w:hAnsi="Times New Roman" w:cs="Times New Roman" w:eastAsia="Times New Roman"/>
                <w:b/>
                <w:color w:val="FFFFFF"/>
                <w:sz w:val="17"/>
              </w:rPr>
              <w:t>Method</w:t>
            </w:r>
          </w:p>
        </w:tc>
        <w:tc>
          <w:tcPr>
            <w:tcW w:type="dxa" w:w="1944"/>
            <w:shd w:val="clear" w:color="auto" w:fill="1B2A41"/>
          </w:tcPr>
          <w:p>
            <w:pPr>
              <w:spacing w:line="240" w:lineRule="auto" w:after="40"/>
              <w:jc w:val="center"/>
            </w:pPr>
            <w:r/>
            <w:r>
              <w:rPr>
                <w:rFonts w:ascii="Times New Roman" w:hAnsi="Times New Roman" w:cs="Times New Roman" w:eastAsia="Times New Roman"/>
                <w:b/>
                <w:color w:val="FFFFFF"/>
                <w:sz w:val="17"/>
              </w:rPr>
              <w:t>Role</w:t>
            </w:r>
          </w:p>
        </w:tc>
        <w:tc>
          <w:tcPr>
            <w:tcW w:type="dxa" w:w="3168"/>
            <w:shd w:val="clear" w:color="auto" w:fill="1B2A41"/>
          </w:tcPr>
          <w:p>
            <w:pPr>
              <w:spacing w:line="240" w:lineRule="auto" w:after="40"/>
              <w:jc w:val="center"/>
            </w:pPr>
            <w:r/>
            <w:r>
              <w:rPr>
                <w:rFonts w:ascii="Times New Roman" w:hAnsi="Times New Roman" w:cs="Times New Roman" w:eastAsia="Times New Roman"/>
                <w:b/>
                <w:color w:val="FFFFFF"/>
                <w:sz w:val="17"/>
              </w:rPr>
              <w:t>Why chosen</w:t>
            </w:r>
          </w:p>
        </w:tc>
        <w:tc>
          <w:tcPr>
            <w:tcW w:type="dxa" w:w="2304"/>
            <w:shd w:val="clear" w:color="auto" w:fill="1B2A41"/>
          </w:tcPr>
          <w:p>
            <w:pPr>
              <w:spacing w:line="240" w:lineRule="auto" w:after="40"/>
              <w:jc w:val="center"/>
            </w:pPr>
            <w:r/>
            <w:r>
              <w:rPr>
                <w:rFonts w:ascii="Times New Roman" w:hAnsi="Times New Roman" w:cs="Times New Roman" w:eastAsia="Times New Roman"/>
                <w:b/>
                <w:color w:val="FFFFFF"/>
                <w:sz w:val="17"/>
              </w:rPr>
              <w:t>Known limitation</w:t>
            </w:r>
          </w:p>
        </w:tc>
      </w:tr>
      <w:tr>
        <w:trPr>
          <w:cantSplit w:val="true"/>
        </w:trPr>
        <w:tc>
          <w:tcPr>
            <w:tcW w:type="dxa" w:w="1944"/>
          </w:tcPr>
          <w:p>
            <w:pPr>
              <w:spacing w:line="240" w:lineRule="auto" w:after="40"/>
              <w:jc w:val="left"/>
            </w:pPr>
            <w:r/>
            <w:r>
              <w:rPr>
                <w:rFonts w:ascii="Times New Roman" w:hAnsi="Times New Roman" w:cs="Times New Roman" w:eastAsia="Times New Roman"/>
                <w:sz w:val="17"/>
              </w:rPr>
              <w:t>Logistic regression [27]</w:t>
            </w:r>
          </w:p>
        </w:tc>
        <w:tc>
          <w:tcPr>
            <w:tcW w:type="dxa" w:w="1944"/>
          </w:tcPr>
          <w:p>
            <w:pPr>
              <w:spacing w:line="240" w:lineRule="auto" w:after="40"/>
              <w:jc w:val="left"/>
            </w:pPr>
            <w:r/>
            <w:r>
              <w:rPr>
                <w:rFonts w:ascii="Times New Roman" w:hAnsi="Times New Roman" w:cs="Times New Roman" w:eastAsia="Times New Roman"/>
                <w:sz w:val="17"/>
              </w:rPr>
              <w:t>Interpretable baseline (scaled inputs)</w:t>
            </w:r>
          </w:p>
        </w:tc>
        <w:tc>
          <w:tcPr>
            <w:tcW w:type="dxa" w:w="3168"/>
          </w:tcPr>
          <w:p>
            <w:pPr>
              <w:spacing w:line="240" w:lineRule="auto" w:after="40"/>
              <w:jc w:val="left"/>
            </w:pPr>
            <w:r/>
            <w:r>
              <w:rPr>
                <w:rFonts w:ascii="Times New Roman" w:hAnsi="Times New Roman" w:cs="Times New Roman" w:eastAsia="Times New Roman"/>
                <w:sz w:val="17"/>
              </w:rPr>
              <w:t>Coefficients readable; performance floor</w:t>
            </w:r>
          </w:p>
        </w:tc>
        <w:tc>
          <w:tcPr>
            <w:tcW w:type="dxa" w:w="2304"/>
          </w:tcPr>
          <w:p>
            <w:pPr>
              <w:spacing w:line="240" w:lineRule="auto" w:after="40"/>
              <w:jc w:val="left"/>
            </w:pPr>
            <w:r/>
            <w:r>
              <w:rPr>
                <w:rFonts w:ascii="Times New Roman" w:hAnsi="Times New Roman" w:cs="Times New Roman" w:eastAsia="Times New Roman"/>
                <w:sz w:val="17"/>
              </w:rPr>
              <w:t>Cannot represent interactions</w:t>
            </w:r>
          </w:p>
        </w:tc>
      </w:tr>
      <w:tr>
        <w:trPr>
          <w:cantSplit w:val="true"/>
        </w:trPr>
        <w:tc>
          <w:tcPr>
            <w:tcW w:type="dxa" w:w="1944"/>
          </w:tcPr>
          <w:p>
            <w:pPr>
              <w:spacing w:line="240" w:lineRule="auto" w:after="40"/>
              <w:jc w:val="left"/>
            </w:pPr>
            <w:r/>
            <w:r>
              <w:rPr>
                <w:rFonts w:ascii="Times New Roman" w:hAnsi="Times New Roman" w:cs="Times New Roman" w:eastAsia="Times New Roman"/>
                <w:sz w:val="17"/>
              </w:rPr>
              <w:t>Random forest [7]</w:t>
            </w:r>
          </w:p>
        </w:tc>
        <w:tc>
          <w:tcPr>
            <w:tcW w:type="dxa" w:w="1944"/>
          </w:tcPr>
          <w:p>
            <w:pPr>
              <w:spacing w:line="240" w:lineRule="auto" w:after="40"/>
              <w:jc w:val="left"/>
            </w:pPr>
            <w:r/>
            <w:r>
              <w:rPr>
                <w:rFonts w:ascii="Times New Roman" w:hAnsi="Times New Roman" w:cs="Times New Roman" w:eastAsia="Times New Roman"/>
                <w:sz w:val="17"/>
              </w:rPr>
              <w:t>Bagged-tree comparator</w:t>
            </w:r>
          </w:p>
        </w:tc>
        <w:tc>
          <w:tcPr>
            <w:tcW w:type="dxa" w:w="3168"/>
          </w:tcPr>
          <w:p>
            <w:pPr>
              <w:spacing w:line="240" w:lineRule="auto" w:after="40"/>
              <w:jc w:val="left"/>
            </w:pPr>
            <w:r/>
            <w:r>
              <w:rPr>
                <w:rFonts w:ascii="Times New Roman" w:hAnsi="Times New Roman" w:cs="Times New Roman" w:eastAsia="Times New Roman"/>
                <w:sz w:val="17"/>
              </w:rPr>
              <w:t>Robust, little tuning, captures non-linearity</w:t>
            </w:r>
          </w:p>
        </w:tc>
        <w:tc>
          <w:tcPr>
            <w:tcW w:type="dxa" w:w="2304"/>
          </w:tcPr>
          <w:p>
            <w:pPr>
              <w:spacing w:line="240" w:lineRule="auto" w:after="40"/>
              <w:jc w:val="left"/>
            </w:pPr>
            <w:r/>
            <w:r>
              <w:rPr>
                <w:rFonts w:ascii="Times New Roman" w:hAnsi="Times New Roman" w:cs="Times New Roman" w:eastAsia="Times New Roman"/>
                <w:sz w:val="17"/>
              </w:rPr>
              <w:t>Less accurate than boosting here; large model</w:t>
            </w:r>
          </w:p>
        </w:tc>
      </w:tr>
      <w:tr>
        <w:trPr>
          <w:cantSplit w:val="true"/>
        </w:trPr>
        <w:tc>
          <w:tcPr>
            <w:tcW w:type="dxa" w:w="1944"/>
          </w:tcPr>
          <w:p>
            <w:pPr>
              <w:spacing w:line="240" w:lineRule="auto" w:after="40"/>
              <w:jc w:val="left"/>
            </w:pPr>
            <w:r/>
            <w:r>
              <w:rPr>
                <w:rFonts w:ascii="Times New Roman" w:hAnsi="Times New Roman" w:cs="Times New Roman" w:eastAsia="Times New Roman"/>
                <w:sz w:val="17"/>
              </w:rPr>
              <w:t>Gradient boosting [8]</w:t>
            </w:r>
          </w:p>
        </w:tc>
        <w:tc>
          <w:tcPr>
            <w:tcW w:type="dxa" w:w="1944"/>
          </w:tcPr>
          <w:p>
            <w:pPr>
              <w:spacing w:line="240" w:lineRule="auto" w:after="40"/>
              <w:jc w:val="left"/>
            </w:pPr>
            <w:r/>
            <w:r>
              <w:rPr>
                <w:rFonts w:ascii="Times New Roman" w:hAnsi="Times New Roman" w:cs="Times New Roman" w:eastAsia="Times New Roman"/>
                <w:sz w:val="17"/>
              </w:rPr>
              <w:t>Boosted-tree comparator (scikit-learn)</w:t>
            </w:r>
          </w:p>
        </w:tc>
        <w:tc>
          <w:tcPr>
            <w:tcW w:type="dxa" w:w="3168"/>
          </w:tcPr>
          <w:p>
            <w:pPr>
              <w:spacing w:line="240" w:lineRule="auto" w:after="40"/>
              <w:jc w:val="left"/>
            </w:pPr>
            <w:r/>
            <w:r>
              <w:rPr>
                <w:rFonts w:ascii="Times New Roman" w:hAnsi="Times New Roman" w:cs="Times New Roman" w:eastAsia="Times New Roman"/>
                <w:sz w:val="17"/>
              </w:rPr>
              <w:t>Sequential error correction; strong on tabular data</w:t>
            </w:r>
          </w:p>
        </w:tc>
        <w:tc>
          <w:tcPr>
            <w:tcW w:type="dxa" w:w="2304"/>
          </w:tcPr>
          <w:p>
            <w:pPr>
              <w:spacing w:line="240" w:lineRule="auto" w:after="40"/>
              <w:jc w:val="left"/>
            </w:pPr>
            <w:r/>
            <w:r>
              <w:rPr>
                <w:rFonts w:ascii="Times New Roman" w:hAnsi="Times New Roman" w:cs="Times New Roman" w:eastAsia="Times New Roman"/>
                <w:sz w:val="17"/>
              </w:rPr>
              <w:t>Fewer regularisation options than XGBoost</w:t>
            </w:r>
          </w:p>
        </w:tc>
      </w:tr>
      <w:tr>
        <w:trPr>
          <w:cantSplit w:val="true"/>
        </w:trPr>
        <w:tc>
          <w:tcPr>
            <w:tcW w:type="dxa" w:w="1944"/>
          </w:tcPr>
          <w:p>
            <w:pPr>
              <w:spacing w:line="240" w:lineRule="auto" w:after="40"/>
              <w:jc w:val="left"/>
            </w:pPr>
            <w:r/>
            <w:r>
              <w:rPr>
                <w:rFonts w:ascii="Times New Roman" w:hAnsi="Times New Roman" w:cs="Times New Roman" w:eastAsia="Times New Roman"/>
                <w:sz w:val="17"/>
              </w:rPr>
              <w:t>XGBoost [9]</w:t>
            </w:r>
          </w:p>
        </w:tc>
        <w:tc>
          <w:tcPr>
            <w:tcW w:type="dxa" w:w="1944"/>
          </w:tcPr>
          <w:p>
            <w:pPr>
              <w:spacing w:line="240" w:lineRule="auto" w:after="40"/>
              <w:jc w:val="left"/>
            </w:pPr>
            <w:r/>
            <w:r>
              <w:rPr>
                <w:rFonts w:ascii="Times New Roman" w:hAnsi="Times New Roman" w:cs="Times New Roman" w:eastAsia="Times New Roman"/>
                <w:sz w:val="17"/>
              </w:rPr>
              <w:t>Primary classifier</w:t>
            </w:r>
          </w:p>
        </w:tc>
        <w:tc>
          <w:tcPr>
            <w:tcW w:type="dxa" w:w="3168"/>
          </w:tcPr>
          <w:p>
            <w:pPr>
              <w:spacing w:line="240" w:lineRule="auto" w:after="40"/>
              <w:jc w:val="left"/>
            </w:pPr>
            <w:r/>
            <w:r>
              <w:rPr>
                <w:rFonts w:ascii="Times New Roman" w:hAnsi="Times New Roman" w:cs="Times New Roman" w:eastAsia="Times New Roman"/>
                <w:sz w:val="17"/>
              </w:rPr>
              <w:t>Regularised boosting; best ROC-AUC in this study; exact TreeExplainer support</w:t>
            </w:r>
          </w:p>
        </w:tc>
        <w:tc>
          <w:tcPr>
            <w:tcW w:type="dxa" w:w="2304"/>
          </w:tcPr>
          <w:p>
            <w:pPr>
              <w:spacing w:line="240" w:lineRule="auto" w:after="40"/>
              <w:jc w:val="left"/>
            </w:pPr>
            <w:r/>
            <w:r>
              <w:rPr>
                <w:rFonts w:ascii="Times New Roman" w:hAnsi="Times New Roman" w:cs="Times New Roman" w:eastAsia="Times New Roman"/>
                <w:sz w:val="17"/>
              </w:rPr>
              <w:t>Needs care with extrapolation; many hyperparameters (not tuned)</w:t>
            </w:r>
          </w:p>
        </w:tc>
      </w:tr>
      <w:tr>
        <w:trPr>
          <w:cantSplit w:val="true"/>
        </w:trPr>
        <w:tc>
          <w:tcPr>
            <w:tcW w:type="dxa" w:w="1944"/>
          </w:tcPr>
          <w:p>
            <w:pPr>
              <w:spacing w:line="240" w:lineRule="auto" w:after="40"/>
              <w:jc w:val="left"/>
            </w:pPr>
            <w:r/>
            <w:r>
              <w:rPr>
                <w:rFonts w:ascii="Times New Roman" w:hAnsi="Times New Roman" w:cs="Times New Roman" w:eastAsia="Times New Roman"/>
                <w:sz w:val="17"/>
              </w:rPr>
              <w:t>SHAP TreeExplainer [14], [15]</w:t>
            </w:r>
          </w:p>
        </w:tc>
        <w:tc>
          <w:tcPr>
            <w:tcW w:type="dxa" w:w="1944"/>
          </w:tcPr>
          <w:p>
            <w:pPr>
              <w:spacing w:line="240" w:lineRule="auto" w:after="40"/>
              <w:jc w:val="left"/>
            </w:pPr>
            <w:r/>
            <w:r>
              <w:rPr>
                <w:rFonts w:ascii="Times New Roman" w:hAnsi="Times New Roman" w:cs="Times New Roman" w:eastAsia="Times New Roman"/>
                <w:sz w:val="17"/>
              </w:rPr>
              <w:t>Global and local explanation</w:t>
            </w:r>
          </w:p>
        </w:tc>
        <w:tc>
          <w:tcPr>
            <w:tcW w:type="dxa" w:w="3168"/>
          </w:tcPr>
          <w:p>
            <w:pPr>
              <w:spacing w:line="240" w:lineRule="auto" w:after="40"/>
              <w:jc w:val="left"/>
            </w:pPr>
            <w:r/>
            <w:r>
              <w:rPr>
                <w:rFonts w:ascii="Times New Roman" w:hAnsi="Times New Roman" w:cs="Times New Roman" w:eastAsia="Times New Roman"/>
                <w:sz w:val="17"/>
              </w:rPr>
              <w:t>Shapley-value attributions, exact and fast for trees; consistent with the base paper</w:t>
            </w:r>
          </w:p>
        </w:tc>
        <w:tc>
          <w:tcPr>
            <w:tcW w:type="dxa" w:w="2304"/>
          </w:tcPr>
          <w:p>
            <w:pPr>
              <w:spacing w:line="240" w:lineRule="auto" w:after="40"/>
              <w:jc w:val="left"/>
            </w:pPr>
            <w:r/>
            <w:r>
              <w:rPr>
                <w:rFonts w:ascii="Times New Roman" w:hAnsi="Times New Roman" w:cs="Times New Roman" w:eastAsia="Times New Roman"/>
                <w:sz w:val="17"/>
              </w:rPr>
              <w:t>Associational, not causal; correlated features share credit</w:t>
            </w:r>
          </w:p>
        </w:tc>
      </w:tr>
      <w:tr>
        <w:trPr>
          <w:cantSplit w:val="true"/>
        </w:trPr>
        <w:tc>
          <w:tcPr>
            <w:tcW w:type="dxa" w:w="1944"/>
          </w:tcPr>
          <w:p>
            <w:pPr>
              <w:spacing w:line="240" w:lineRule="auto" w:after="40"/>
              <w:jc w:val="left"/>
            </w:pPr>
            <w:r/>
            <w:r>
              <w:rPr>
                <w:rFonts w:ascii="Times New Roman" w:hAnsi="Times New Roman" w:cs="Times New Roman" w:eastAsia="Times New Roman"/>
                <w:sz w:val="17"/>
              </w:rPr>
              <w:t>Holt-Winters smoothing [33], [34]</w:t>
            </w:r>
          </w:p>
        </w:tc>
        <w:tc>
          <w:tcPr>
            <w:tcW w:type="dxa" w:w="1944"/>
          </w:tcPr>
          <w:p>
            <w:pPr>
              <w:spacing w:line="240" w:lineRule="auto" w:after="40"/>
              <w:jc w:val="left"/>
            </w:pPr>
            <w:r/>
            <w:r>
              <w:rPr>
                <w:rFonts w:ascii="Times New Roman" w:hAnsi="Times New Roman" w:cs="Times New Roman" w:eastAsia="Times New Roman"/>
                <w:sz w:val="17"/>
              </w:rPr>
              <w:t>12-month forecast</w:t>
            </w:r>
          </w:p>
        </w:tc>
        <w:tc>
          <w:tcPr>
            <w:tcW w:type="dxa" w:w="3168"/>
          </w:tcPr>
          <w:p>
            <w:pPr>
              <w:spacing w:line="240" w:lineRule="auto" w:after="40"/>
              <w:jc w:val="left"/>
            </w:pPr>
            <w:r/>
            <w:r>
              <w:rPr>
                <w:rFonts w:ascii="Times New Roman" w:hAnsi="Times New Roman" w:cs="Times New Roman" w:eastAsia="Times New Roman"/>
                <w:sz w:val="17"/>
              </w:rPr>
              <w:t>Simple, interpretable trend and seasonality; fits a single monthly series</w:t>
            </w:r>
          </w:p>
        </w:tc>
        <w:tc>
          <w:tcPr>
            <w:tcW w:type="dxa" w:w="2304"/>
          </w:tcPr>
          <w:p>
            <w:pPr>
              <w:spacing w:line="240" w:lineRule="auto" w:after="40"/>
              <w:jc w:val="left"/>
            </w:pPr>
            <w:r/>
            <w:r>
              <w:rPr>
                <w:rFonts w:ascii="Times New Roman" w:hAnsi="Times New Roman" w:cs="Times New Roman" w:eastAsia="Times New Roman"/>
                <w:sz w:val="17"/>
              </w:rPr>
              <w:t>Assumes the pattern continues; interval is constant in width</w:t>
            </w:r>
          </w:p>
        </w:tc>
      </w:tr>
      <w:tr>
        <w:trPr>
          <w:cantSplit w:val="true"/>
        </w:trPr>
        <w:tc>
          <w:tcPr>
            <w:tcW w:type="dxa" w:w="1944"/>
          </w:tcPr>
          <w:p>
            <w:pPr>
              <w:spacing w:line="240" w:lineRule="auto" w:after="40"/>
              <w:jc w:val="left"/>
            </w:pPr>
            <w:r/>
            <w:r>
              <w:rPr>
                <w:rFonts w:ascii="Times New Roman" w:hAnsi="Times New Roman" w:cs="Times New Roman" w:eastAsia="Times New Roman"/>
                <w:sz w:val="17"/>
              </w:rPr>
              <w:t>Stratified K-fold [26]</w:t>
            </w:r>
          </w:p>
        </w:tc>
        <w:tc>
          <w:tcPr>
            <w:tcW w:type="dxa" w:w="1944"/>
          </w:tcPr>
          <w:p>
            <w:pPr>
              <w:spacing w:line="240" w:lineRule="auto" w:after="40"/>
              <w:jc w:val="left"/>
            </w:pPr>
            <w:r/>
            <w:r>
              <w:rPr>
                <w:rFonts w:ascii="Times New Roman" w:hAnsi="Times New Roman" w:cs="Times New Roman" w:eastAsia="Times New Roman"/>
                <w:sz w:val="17"/>
              </w:rPr>
              <w:t>Validation</w:t>
            </w:r>
          </w:p>
        </w:tc>
        <w:tc>
          <w:tcPr>
            <w:tcW w:type="dxa" w:w="3168"/>
          </w:tcPr>
          <w:p>
            <w:pPr>
              <w:spacing w:line="240" w:lineRule="auto" w:after="40"/>
              <w:jc w:val="left"/>
            </w:pPr>
            <w:r/>
            <w:r>
              <w:rPr>
                <w:rFonts w:ascii="Times New Roman" w:hAnsi="Times New Roman" w:cs="Times New Roman" w:eastAsia="Times New Roman"/>
                <w:sz w:val="17"/>
              </w:rPr>
              <w:t>Keeps the 24% positive share in every fold</w:t>
            </w:r>
          </w:p>
        </w:tc>
        <w:tc>
          <w:tcPr>
            <w:tcW w:type="dxa" w:w="2304"/>
          </w:tcPr>
          <w:p>
            <w:pPr>
              <w:spacing w:line="240" w:lineRule="auto" w:after="40"/>
              <w:jc w:val="left"/>
            </w:pPr>
            <w:r/>
            <w:r>
              <w:rPr>
                <w:rFonts w:ascii="Times New Roman" w:hAnsi="Times New Roman" w:cs="Times New Roman" w:eastAsia="Times New Roman"/>
                <w:sz w:val="17"/>
              </w:rPr>
              <w:t>Not entity-aware (unnecessary: one row per person)</w:t>
            </w:r>
          </w:p>
        </w:tc>
      </w:tr>
    </w:tbl>
    <w:p>
      <w:pPr>
        <w:spacing w:after="120" w:line="192" w:lineRule="auto"/>
      </w:pPr>
    </w:p>
    <w:p>
      <w:r>
        <w:rPr>
          <w:rFonts w:ascii="Times New Roman" w:hAnsi="Times New Roman" w:cs="Times New Roman" w:eastAsia="Times New Roman"/>
        </w:rPr>
        <w:t>SHAP was preferred to LIME [16] for the reasons the base paper gives: Shapley values satisfy efficiency, symmetry and additivity, TreeExplainer computes them exactly for tree models, and one method supplies both the global ranking and the per-person explanation; comparisons of the two in credit risk [18] and applications to credit decisions [17] point the same way. The base paper's caution also applies here: SHAP attributions describe what the model relies on, not what would happen if a person changed a value.</w:t>
      </w:r>
    </w:p>
    <w:p>
      <w:pPr>
        <w:pStyle w:val="Heading2"/>
      </w:pPr>
      <w:r>
        <w:t>6.5 Mathematical formulation</w:t>
      </w:r>
    </w:p>
    <w:p>
      <w:r>
        <w:rPr>
          <w:rFonts w:ascii="Times New Roman" w:hAnsi="Times New Roman" w:cs="Times New Roman" w:eastAsia="Times New Roman"/>
          <w:b/>
        </w:rPr>
        <w:t>Logistic regression</w:t>
      </w:r>
      <w:r>
        <w:rPr>
          <w:rFonts w:ascii="Times New Roman" w:hAnsi="Times New Roman" w:cs="Times New Roman" w:eastAsia="Times New Roman"/>
        </w:rPr>
        <w:t xml:space="preserve"> models the log-odds of the positive class as a linear function of the encoded and scaled feature vector x:</w:t>
      </w:r>
    </w:p>
    <w:p>
      <w:pPr>
        <w:spacing w:line="276" w:lineRule="auto" w:after="120"/>
        <w:jc w:val="center"/>
      </w:pPr>
      <w:r>
        <w:rPr>
          <w:rFonts w:ascii="Cambria Math" w:hAnsi="Cambria Math" w:cs="Cambria Math" w:eastAsia="Cambria Math"/>
          <w:b w:val="0"/>
          <w:i/>
          <w:sz w:val="24"/>
        </w:rPr>
        <w:t>P(y = 1 | x) = 1 / (1 + exp( -(β0 + βᵀx) ))</w:t>
      </w:r>
      <w:r>
        <w:rPr>
          <w:rFonts w:ascii="Times New Roman" w:hAnsi="Times New Roman" w:cs="Times New Roman" w:eastAsia="Times New Roman"/>
          <w:sz w:val="24"/>
        </w:rPr>
        <w:t xml:space="preserve">      (1)</w:t>
      </w:r>
    </w:p>
    <w:p>
      <w:r>
        <w:rPr>
          <w:rFonts w:ascii="Times New Roman" w:hAnsi="Times New Roman" w:cs="Times New Roman" w:eastAsia="Times New Roman"/>
          <w:b/>
        </w:rPr>
        <w:t>Gradient boosting</w:t>
      </w:r>
      <w:r>
        <w:rPr>
          <w:rFonts w:ascii="Times New Roman" w:hAnsi="Times New Roman" w:cs="Times New Roman" w:eastAsia="Times New Roman"/>
        </w:rPr>
        <w:t xml:space="preserve"> builds an additive model of M shallow trees, each fitted to the gradient of the loss at the current prediction, with learning rate ν. </w:t>
      </w:r>
      <w:r>
        <w:rPr>
          <w:rFonts w:ascii="Times New Roman" w:hAnsi="Times New Roman" w:cs="Times New Roman" w:eastAsia="Times New Roman"/>
          <w:b/>
        </w:rPr>
        <w:t>XGBoost</w:t>
      </w:r>
      <w:r>
        <w:rPr>
          <w:rFonts w:ascii="Times New Roman" w:hAnsi="Times New Roman" w:cs="Times New Roman" w:eastAsia="Times New Roman"/>
        </w:rPr>
        <w:t xml:space="preserve"> adds an explicit regularisation term to the training objective, where T is the number of leaves of a tree and w its leaf weights:</w:t>
      </w:r>
    </w:p>
    <w:p>
      <w:pPr>
        <w:spacing w:line="276" w:lineRule="auto" w:after="120"/>
        <w:jc w:val="center"/>
      </w:pPr>
      <w:r>
        <w:rPr>
          <w:rFonts w:ascii="Cambria Math" w:hAnsi="Cambria Math" w:cs="Cambria Math" w:eastAsia="Cambria Math"/>
          <w:b w:val="0"/>
          <w:i/>
          <w:sz w:val="24"/>
        </w:rPr>
        <w:t>F(x) = Σ_{m=1..M} ν · f_m(x),     P(y = 1 | x) = 1 / (1 + exp(-F(x)))</w:t>
      </w:r>
      <w:r>
        <w:rPr>
          <w:rFonts w:ascii="Times New Roman" w:hAnsi="Times New Roman" w:cs="Times New Roman" w:eastAsia="Times New Roman"/>
          <w:sz w:val="24"/>
        </w:rPr>
        <w:t xml:space="preserve">      (2)</w:t>
      </w:r>
    </w:p>
    <w:p>
      <w:pPr>
        <w:spacing w:line="276" w:lineRule="auto" w:after="120"/>
        <w:jc w:val="center"/>
      </w:pPr>
      <w:r>
        <w:rPr>
          <w:rFonts w:ascii="Cambria Math" w:hAnsi="Cambria Math" w:cs="Cambria Math" w:eastAsia="Cambria Math"/>
          <w:b w:val="0"/>
          <w:i/>
          <w:sz w:val="24"/>
        </w:rPr>
        <w:t>L = Σ_i l(y_i, ŷ_i) + Σ_m Ω(f_m),     Ω(f) = γ·T + ½·λ·‖w‖²</w:t>
      </w:r>
      <w:r>
        <w:rPr>
          <w:rFonts w:ascii="Times New Roman" w:hAnsi="Times New Roman" w:cs="Times New Roman" w:eastAsia="Times New Roman"/>
          <w:sz w:val="24"/>
        </w:rPr>
        <w:t xml:space="preserve">      (3)</w:t>
      </w:r>
    </w:p>
    <w:p>
      <w:r>
        <w:rPr>
          <w:rFonts w:ascii="Times New Roman" w:hAnsi="Times New Roman" w:cs="Times New Roman" w:eastAsia="Times New Roman"/>
        </w:rPr>
        <w:t>In this project λ = 1 (the library default L2 weight written explicitly), the learning rate is 0.05, 400 trees of depth at most 6 are grown, and each tree sees 90% of the rows and 90% of the columns.</w:t>
      </w:r>
    </w:p>
    <w:p>
      <w:r>
        <w:rPr>
          <w:rFonts w:ascii="Times New Roman" w:hAnsi="Times New Roman" w:cs="Times New Roman" w:eastAsia="Times New Roman"/>
          <w:b/>
        </w:rPr>
        <w:t>Shapley values</w:t>
      </w:r>
      <w:r>
        <w:rPr>
          <w:rFonts w:ascii="Times New Roman" w:hAnsi="Times New Roman" w:cs="Times New Roman" w:eastAsia="Times New Roman"/>
        </w:rPr>
        <w:t xml:space="preserve"> attribute a prediction to features. For a model f with feature set N of size M, the contribution of feature i is the weighted average of its marginal effect over all feature subsets S:</w:t>
      </w:r>
    </w:p>
    <w:p>
      <w:pPr>
        <w:spacing w:line="276" w:lineRule="auto" w:after="120"/>
        <w:jc w:val="center"/>
      </w:pPr>
      <w:r>
        <w:rPr>
          <w:rFonts w:ascii="Cambria Math" w:hAnsi="Cambria Math" w:cs="Cambria Math" w:eastAsia="Cambria Math"/>
          <w:b w:val="0"/>
          <w:i/>
          <w:sz w:val="24"/>
        </w:rPr>
        <w:t>φ_i = Σ_{S ⊆ N∖{i}}  [ |S|! (M − |S| − 1)! / M! ] · [ f(S ∪ {i}) − f(S) ]</w:t>
      </w:r>
      <w:r>
        <w:rPr>
          <w:rFonts w:ascii="Times New Roman" w:hAnsi="Times New Roman" w:cs="Times New Roman" w:eastAsia="Times New Roman"/>
          <w:sz w:val="24"/>
        </w:rPr>
        <w:t xml:space="preserve">      (4)</w:t>
      </w:r>
    </w:p>
    <w:p>
      <w:pPr>
        <w:spacing w:line="276" w:lineRule="auto" w:after="120"/>
        <w:jc w:val="center"/>
      </w:pPr>
      <w:r>
        <w:rPr>
          <w:rFonts w:ascii="Cambria Math" w:hAnsi="Cambria Math" w:cs="Cambria Math" w:eastAsia="Cambria Math"/>
          <w:b w:val="0"/>
          <w:i/>
          <w:sz w:val="24"/>
        </w:rPr>
        <w:t>f(x) = φ_0 + Σ_{i=1..M} φ_i     (local accuracy; for XGBoost the sum is in log-odds)</w:t>
      </w:r>
      <w:r>
        <w:rPr>
          <w:rFonts w:ascii="Times New Roman" w:hAnsi="Times New Roman" w:cs="Times New Roman" w:eastAsia="Times New Roman"/>
          <w:sz w:val="24"/>
        </w:rPr>
        <w:t xml:space="preserve">      (5)</w:t>
      </w:r>
    </w:p>
    <w:p>
      <w:r>
        <w:rPr>
          <w:rFonts w:ascii="Times New Roman" w:hAnsi="Times New Roman" w:cs="Times New Roman" w:eastAsia="Times New Roman"/>
        </w:rPr>
        <w:t>For the selected model the base value φ_0 is -1.1765 in log-odds, about a 24% probability, which is the share of positive records. The global importance of a feature is the mean of |φ_i| over a sample of 500 training rows; the local explanation of one request uses the five largest positive and five largest negative φ_i.</w:t>
      </w:r>
    </w:p>
    <w:p>
      <w:r>
        <w:rPr>
          <w:rFonts w:ascii="Times New Roman" w:hAnsi="Times New Roman" w:cs="Times New Roman" w:eastAsia="Times New Roman"/>
          <w:b/>
        </w:rPr>
        <w:t>Profile mapping.</w:t>
      </w:r>
      <w:r>
        <w:rPr>
          <w:rFonts w:ascii="Times New Roman" w:hAnsi="Times New Roman" w:cs="Times New Roman" w:eastAsia="Times New Roman"/>
        </w:rPr>
        <w:t xml:space="preserve"> The predicted probability p of income above 50K is the financial-strength score. It is converted to a profile and a risk band by two fixed cut-offs chosen for this project:</w:t>
      </w:r>
    </w:p>
    <w:p>
      <w:pPr>
        <w:spacing w:line="276" w:lineRule="auto" w:after="120"/>
        <w:jc w:val="center"/>
      </w:pPr>
      <w:r>
        <w:rPr>
          <w:rFonts w:ascii="Cambria Math" w:hAnsi="Cambria Math" w:cs="Cambria Math" w:eastAsia="Cambria Math"/>
          <w:b w:val="0"/>
          <w:i/>
          <w:sz w:val="24"/>
        </w:rPr>
        <w:t>(profile, risk) = (Established, Low) if p ≥ 0.60;   (Developing, Moderate) if 0.35 ≤ p &lt; 0.60;   (Emerging, High) otherwise</w:t>
      </w:r>
      <w:r>
        <w:rPr>
          <w:rFonts w:ascii="Times New Roman" w:hAnsi="Times New Roman" w:cs="Times New Roman" w:eastAsia="Times New Roman"/>
          <w:sz w:val="24"/>
        </w:rPr>
        <w:t xml:space="preserve">      (6)</w:t>
      </w:r>
    </w:p>
    <w:p>
      <w:pPr>
        <w:spacing w:line="276" w:lineRule="auto" w:after="120"/>
        <w:jc w:val="center"/>
      </w:pPr>
      <w:r>
        <w:rPr>
          <w:rFonts w:ascii="Cambria Math" w:hAnsi="Cambria Math" w:cs="Cambria Math" w:eastAsia="Cambria Math"/>
          <w:b w:val="0"/>
          <w:i/>
          <w:sz w:val="24"/>
        </w:rPr>
        <w:t>strength = 100·p,     risk score = 100·(1 − p)</w:t>
      </w:r>
      <w:r>
        <w:rPr>
          <w:rFonts w:ascii="Times New Roman" w:hAnsi="Times New Roman" w:cs="Times New Roman" w:eastAsia="Times New Roman"/>
          <w:sz w:val="24"/>
        </w:rPr>
        <w:t xml:space="preserve">      (7)</w:t>
      </w:r>
    </w:p>
    <w:p>
      <w:r>
        <w:rPr>
          <w:rFonts w:ascii="Times New Roman" w:hAnsi="Times New Roman" w:cs="Times New Roman" w:eastAsia="Times New Roman"/>
          <w:b/>
        </w:rPr>
        <w:t>Holt-Winters (additive trend and additive seasonality)</w:t>
      </w:r>
      <w:r>
        <w:rPr>
          <w:rFonts w:ascii="Times New Roman" w:hAnsi="Times New Roman" w:cs="Times New Roman" w:eastAsia="Times New Roman"/>
        </w:rPr>
        <w:t xml:space="preserve"> keeps a level ℓ, a trend b and m = 12 seasonal terms s, updated with smoothing weights α, β and γ that are estimated by optimisation:</w:t>
      </w:r>
    </w:p>
    <w:p>
      <w:pPr>
        <w:spacing w:line="276" w:lineRule="auto" w:after="120"/>
        <w:jc w:val="center"/>
      </w:pPr>
      <w:r>
        <w:rPr>
          <w:rFonts w:ascii="Cambria Math" w:hAnsi="Cambria Math" w:cs="Cambria Math" w:eastAsia="Cambria Math"/>
          <w:b w:val="0"/>
          <w:i/>
          <w:sz w:val="24"/>
        </w:rPr>
        <w:t>ℓ_t = α (y_t − s_{t−m}) + (1 − α)(ℓ_{t−1} + b_{t−1})</w:t>
      </w:r>
      <w:r>
        <w:rPr>
          <w:rFonts w:ascii="Times New Roman" w:hAnsi="Times New Roman" w:cs="Times New Roman" w:eastAsia="Times New Roman"/>
          <w:sz w:val="24"/>
        </w:rPr>
        <w:t xml:space="preserve">      (8)</w:t>
      </w:r>
    </w:p>
    <w:p>
      <w:pPr>
        <w:spacing w:line="276" w:lineRule="auto" w:after="120"/>
        <w:jc w:val="center"/>
      </w:pPr>
      <w:r>
        <w:rPr>
          <w:rFonts w:ascii="Cambria Math" w:hAnsi="Cambria Math" w:cs="Cambria Math" w:eastAsia="Cambria Math"/>
          <w:b w:val="0"/>
          <w:i/>
          <w:sz w:val="24"/>
        </w:rPr>
        <w:t>b_t = β (ℓ_t − ℓ_{t−1}) + (1 − β) b_{t−1}</w:t>
      </w:r>
      <w:r>
        <w:rPr>
          <w:rFonts w:ascii="Times New Roman" w:hAnsi="Times New Roman" w:cs="Times New Roman" w:eastAsia="Times New Roman"/>
          <w:sz w:val="24"/>
        </w:rPr>
        <w:t xml:space="preserve">      (9)</w:t>
      </w:r>
    </w:p>
    <w:p>
      <w:pPr>
        <w:spacing w:line="276" w:lineRule="auto" w:after="120"/>
        <w:jc w:val="center"/>
      </w:pPr>
      <w:r>
        <w:rPr>
          <w:rFonts w:ascii="Cambria Math" w:hAnsi="Cambria Math" w:cs="Cambria Math" w:eastAsia="Cambria Math"/>
          <w:b w:val="0"/>
          <w:i/>
          <w:sz w:val="24"/>
        </w:rPr>
        <w:t>s_t = γ (y_t − ℓ_{t−1} − b_{t−1}) + (1 − γ) s_{t−m}</w:t>
      </w:r>
      <w:r>
        <w:rPr>
          <w:rFonts w:ascii="Times New Roman" w:hAnsi="Times New Roman" w:cs="Times New Roman" w:eastAsia="Times New Roman"/>
          <w:sz w:val="24"/>
        </w:rPr>
        <w:t xml:space="preserve">      (10)</w:t>
      </w:r>
    </w:p>
    <w:p>
      <w:pPr>
        <w:spacing w:line="276" w:lineRule="auto" w:after="120"/>
        <w:jc w:val="center"/>
      </w:pPr>
      <w:r>
        <w:rPr>
          <w:rFonts w:ascii="Cambria Math" w:hAnsi="Cambria Math" w:cs="Cambria Math" w:eastAsia="Cambria Math"/>
          <w:b w:val="0"/>
          <w:i/>
          <w:sz w:val="24"/>
        </w:rPr>
        <w:t>ŷ_{t+h} = ℓ_t + h·b_t + s_{t+h−m(k+1)},     k = ⌊(h − 1)/m⌋</w:t>
      </w:r>
      <w:r>
        <w:rPr>
          <w:rFonts w:ascii="Times New Roman" w:hAnsi="Times New Roman" w:cs="Times New Roman" w:eastAsia="Times New Roman"/>
          <w:sz w:val="24"/>
        </w:rPr>
        <w:t xml:space="preserve">      (11)</w:t>
      </w:r>
    </w:p>
    <w:p>
      <w:r>
        <w:rPr>
          <w:rFonts w:ascii="Times New Roman" w:hAnsi="Times New Roman" w:cs="Times New Roman" w:eastAsia="Times New Roman"/>
        </w:rPr>
        <w:t>The 95% band used by the application is ŷ ± 1.96·σ, where σ is the standard deviation of the in-sample residuals (1.659). It is an approximation with constant width, not a full prediction interval whose width grows with the horizon [36]. The synthetic series itself is y_t = 100 + 0.35t + 4 sin(2π(month_t − 1)/12) + shock_t + ε_t with ε_t ~ N(0, 1.6²).</w:t>
      </w:r>
    </w:p>
    <w:p>
      <w:r>
        <w:rPr>
          <w:rFonts w:ascii="Times New Roman" w:hAnsi="Times New Roman" w:cs="Times New Roman" w:eastAsia="Times New Roman"/>
          <w:b/>
        </w:rPr>
        <w:t>Evaluation metrics</w:t>
      </w:r>
      <w:r>
        <w:rPr>
          <w:rFonts w:ascii="Times New Roman" w:hAnsi="Times New Roman" w:cs="Times New Roman" w:eastAsia="Times New Roman"/>
        </w:rPr>
        <w:t xml:space="preserve"> are computed from the confusion matrix (TP, FP, TN, FN) of the positive class, income above 50K:</w:t>
      </w:r>
    </w:p>
    <w:p>
      <w:pPr>
        <w:spacing w:line="276" w:lineRule="auto" w:after="120"/>
        <w:jc w:val="center"/>
      </w:pPr>
      <w:r>
        <w:rPr>
          <w:rFonts w:ascii="Cambria Math" w:hAnsi="Cambria Math" w:cs="Cambria Math" w:eastAsia="Cambria Math"/>
          <w:b w:val="0"/>
          <w:i/>
          <w:sz w:val="24"/>
        </w:rPr>
        <w:t>accuracy = (TP + TN) / (TP + TN + FP + FN);   precision = TP / (TP + FP);   recall = TP / (TP + FN);   F1 = 2·precision·recall / (precision + recall)</w:t>
      </w:r>
      <w:r>
        <w:rPr>
          <w:rFonts w:ascii="Times New Roman" w:hAnsi="Times New Roman" w:cs="Times New Roman" w:eastAsia="Times New Roman"/>
          <w:sz w:val="24"/>
        </w:rPr>
        <w:t xml:space="preserve">      (12)</w:t>
      </w:r>
    </w:p>
    <w:p>
      <w:pPr>
        <w:spacing w:line="276" w:lineRule="auto" w:after="120"/>
        <w:jc w:val="center"/>
      </w:pPr>
      <w:r>
        <w:rPr>
          <w:rFonts w:ascii="Cambria Math" w:hAnsi="Cambria Math" w:cs="Cambria Math" w:eastAsia="Cambria Math"/>
          <w:b w:val="0"/>
          <w:i/>
          <w:sz w:val="24"/>
        </w:rPr>
        <w:t>ROC-AUC = P( score(positive) &gt; score(negative) ),   the area under the TPR-versus-FPR curve</w:t>
      </w:r>
      <w:r>
        <w:rPr>
          <w:rFonts w:ascii="Times New Roman" w:hAnsi="Times New Roman" w:cs="Times New Roman" w:eastAsia="Times New Roman"/>
          <w:sz w:val="24"/>
        </w:rPr>
        <w:t xml:space="preserve">      (13)</w:t>
      </w:r>
    </w:p>
    <w:p>
      <w:r>
        <w:rPr>
          <w:rFonts w:ascii="Times New Roman" w:hAnsi="Times New Roman" w:cs="Times New Roman" w:eastAsia="Times New Roman"/>
        </w:rPr>
        <w:t>As a check, the selected model's test confusion matrix is TN 7,021, FP 410, FN 780, TP 1,558, so precision is 1,558 / 1,968 = 0.7917, recall is 1,558 / 2,338 = 0.6664 and accuracy is 8,579 / 9,769 = 0.8782, matching the stored report. ROC-AUC [28], [29] equals the probability that a randomly chosen positive record receives a higher score than a randomly chosen negative one.</w:t>
      </w:r>
    </w:p>
    <w:p>
      <w:pPr>
        <w:pStyle w:val="Heading2"/>
      </w:pPr>
      <w:r>
        <w:t>6.6 Model training and selection</w:t>
      </w:r>
    </w:p>
    <w:p>
      <w:r>
        <w:rPr>
          <w:rFonts w:ascii="Times New Roman" w:hAnsi="Times New Roman" w:cs="Times New Roman" w:eastAsia="Times New Roman"/>
        </w:rPr>
        <w:t xml:space="preserve">Training is performed by </w:t>
      </w:r>
      <w:r>
        <w:rPr>
          <w:rFonts w:ascii="Consolas" w:hAnsi="Consolas" w:cs="Consolas" w:eastAsia="Consolas"/>
          <w:sz w:val="21"/>
        </w:rPr>
        <w:t>python scripts/train.py</w:t>
      </w:r>
      <w:r>
        <w:rPr>
          <w:rFonts w:ascii="Times New Roman" w:hAnsi="Times New Roman" w:cs="Times New Roman" w:eastAsia="Times New Roman"/>
        </w:rPr>
        <w:t xml:space="preserve">. The four candidates are defined in </w:t>
      </w:r>
      <w:r>
        <w:rPr>
          <w:rFonts w:ascii="Consolas" w:hAnsi="Consolas" w:cs="Consolas" w:eastAsia="Consolas"/>
          <w:sz w:val="21"/>
        </w:rPr>
        <w:t>scripts/models.py</w:t>
      </w:r>
      <w:r>
        <w:rPr>
          <w:rFonts w:ascii="Times New Roman" w:hAnsi="Times New Roman" w:cs="Times New Roman" w:eastAsia="Times New Roman"/>
        </w:rPr>
        <w:t xml:space="preserve"> with fixed hyperparameters and </w:t>
      </w:r>
      <w:r>
        <w:rPr>
          <w:rFonts w:ascii="Consolas" w:hAnsi="Consolas" w:cs="Consolas" w:eastAsia="Consolas"/>
          <w:sz w:val="21"/>
        </w:rPr>
        <w:t>random_state = 42</w:t>
      </w:r>
      <w:r>
        <w:rPr>
          <w:rFonts w:ascii="Times New Roman" w:hAnsi="Times New Roman" w:cs="Times New Roman" w:eastAsia="Times New Roman"/>
        </w:rPr>
        <w:t>; no grid or random search was run, which follows the base paper's choice of defaults for reproducibility [1] but means the models may be under-tuned.</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6</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Hyperparameters of the four candidate classifiers</w:t>
      </w:r>
    </w:p>
    <w:tbl>
      <w:tblPr>
        <w:tblStyle w:val="TableGrid"/>
        <w:tblW w:type="auto" w:w="0"/>
        <w:jc w:val="center"/>
        <w:tblLook w:firstColumn="1" w:firstRow="1" w:lastColumn="0" w:lastRow="0" w:noHBand="0" w:noVBand="1" w:val="04A0"/>
      </w:tblPr>
      <w:tblGrid>
        <w:gridCol w:w="4333"/>
        <w:gridCol w:w="4333"/>
      </w:tblGrid>
      <w:tr>
        <w:trPr>
          <w:tblHeader w:val="true"/>
          <w:cantSplit w:val="true"/>
        </w:trPr>
        <w:tc>
          <w:tcPr>
            <w:tcW w:type="dxa" w:w="2304"/>
            <w:shd w:val="clear" w:color="auto" w:fill="1B2A41"/>
          </w:tcPr>
          <w:p>
            <w:pPr>
              <w:spacing w:line="240" w:lineRule="auto" w:after="40"/>
              <w:jc w:val="center"/>
            </w:pPr>
            <w:r/>
            <w:r>
              <w:rPr>
                <w:rFonts w:ascii="Times New Roman" w:hAnsi="Times New Roman" w:cs="Times New Roman" w:eastAsia="Times New Roman"/>
                <w:b/>
                <w:color w:val="FFFFFF"/>
                <w:sz w:val="19"/>
              </w:rPr>
              <w:t>Model</w:t>
            </w:r>
          </w:p>
        </w:tc>
        <w:tc>
          <w:tcPr>
            <w:tcW w:type="dxa" w:w="7056"/>
            <w:shd w:val="clear" w:color="auto" w:fill="1B2A41"/>
          </w:tcPr>
          <w:p>
            <w:pPr>
              <w:spacing w:line="240" w:lineRule="auto" w:after="40"/>
              <w:jc w:val="center"/>
            </w:pPr>
            <w:r/>
            <w:r>
              <w:rPr>
                <w:rFonts w:ascii="Times New Roman" w:hAnsi="Times New Roman" w:cs="Times New Roman" w:eastAsia="Times New Roman"/>
                <w:b/>
                <w:color w:val="FFFFFF"/>
                <w:sz w:val="19"/>
              </w:rPr>
              <w:t>Settings</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Logistic Regression</w:t>
            </w:r>
          </w:p>
        </w:tc>
        <w:tc>
          <w:tcPr>
            <w:tcW w:type="dxa" w:w="7056"/>
          </w:tcPr>
          <w:p>
            <w:pPr>
              <w:spacing w:line="240" w:lineRule="auto" w:after="40"/>
              <w:jc w:val="left"/>
            </w:pPr>
            <w:r/>
            <w:r>
              <w:rPr>
                <w:rFonts w:ascii="Times New Roman" w:hAnsi="Times New Roman" w:cs="Times New Roman" w:eastAsia="Times New Roman"/>
                <w:sz w:val="19"/>
              </w:rPr>
              <w:t>C = 1.0, max_iter 2000; numeric inputs standardised</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Random Forest</w:t>
            </w:r>
          </w:p>
        </w:tc>
        <w:tc>
          <w:tcPr>
            <w:tcW w:type="dxa" w:w="7056"/>
          </w:tcPr>
          <w:p>
            <w:pPr>
              <w:spacing w:line="240" w:lineRule="auto" w:after="40"/>
              <w:jc w:val="left"/>
            </w:pPr>
            <w:r/>
            <w:r>
              <w:rPr>
                <w:rFonts w:ascii="Times New Roman" w:hAnsi="Times New Roman" w:cs="Times New Roman" w:eastAsia="Times New Roman"/>
                <w:sz w:val="19"/>
              </w:rPr>
              <w:t>300 trees, unlimited depth, min_samples_split 2, all cores</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Gradient Boosting</w:t>
            </w:r>
          </w:p>
        </w:tc>
        <w:tc>
          <w:tcPr>
            <w:tcW w:type="dxa" w:w="7056"/>
          </w:tcPr>
          <w:p>
            <w:pPr>
              <w:spacing w:line="240" w:lineRule="auto" w:after="40"/>
              <w:jc w:val="left"/>
            </w:pPr>
            <w:r/>
            <w:r>
              <w:rPr>
                <w:rFonts w:ascii="Times New Roman" w:hAnsi="Times New Roman" w:cs="Times New Roman" w:eastAsia="Times New Roman"/>
                <w:sz w:val="19"/>
              </w:rPr>
              <w:t>scikit-learn defaults (100 trees, depth 3, learning rate 0.1)</w:t>
            </w:r>
          </w:p>
        </w:tc>
      </w:tr>
      <w:tr>
        <w:trPr>
          <w:cantSplit w:val="true"/>
        </w:trPr>
        <w:tc>
          <w:tcPr>
            <w:tcW w:type="dxa" w:w="2304"/>
          </w:tcPr>
          <w:p>
            <w:pPr>
              <w:spacing w:line="240" w:lineRule="auto" w:after="40"/>
              <w:jc w:val="left"/>
            </w:pPr>
            <w:r/>
            <w:r>
              <w:rPr>
                <w:rFonts w:ascii="Times New Roman" w:hAnsi="Times New Roman" w:cs="Times New Roman" w:eastAsia="Times New Roman"/>
                <w:sz w:val="19"/>
              </w:rPr>
              <w:t>XGBoost</w:t>
            </w:r>
          </w:p>
        </w:tc>
        <w:tc>
          <w:tcPr>
            <w:tcW w:type="dxa" w:w="7056"/>
          </w:tcPr>
          <w:p>
            <w:pPr>
              <w:spacing w:line="240" w:lineRule="auto" w:after="40"/>
              <w:jc w:val="left"/>
            </w:pPr>
            <w:r/>
            <w:r>
              <w:rPr>
                <w:rFonts w:ascii="Times New Roman" w:hAnsi="Times New Roman" w:cs="Times New Roman" w:eastAsia="Times New Roman"/>
                <w:sz w:val="19"/>
              </w:rPr>
              <w:t>400 trees, max_depth 6, learning_rate 0.05, subsample 0.9, colsample_bytree 0.9, reg_lambda 1.0, logloss</w:t>
            </w:r>
          </w:p>
        </w:tc>
      </w:tr>
    </w:tbl>
    <w:p>
      <w:pPr>
        <w:spacing w:after="120" w:line="192" w:lineRule="auto"/>
      </w:pPr>
    </w:p>
    <w:p>
      <w:r>
        <w:rPr>
          <w:rFonts w:ascii="Times New Roman" w:hAnsi="Times New Roman" w:cs="Times New Roman" w:eastAsia="Times New Roman"/>
        </w:rPr>
        <w:t xml:space="preserve">Each candidate is wrapped as </w:t>
      </w:r>
      <w:r>
        <w:rPr>
          <w:rFonts w:ascii="Consolas" w:hAnsi="Consolas" w:cs="Consolas" w:eastAsia="Consolas"/>
          <w:sz w:val="21"/>
        </w:rPr>
        <w:t>Pipeline([preprocess, model])</w:t>
      </w:r>
      <w:r>
        <w:rPr>
          <w:rFonts w:ascii="Times New Roman" w:hAnsi="Times New Roman" w:cs="Times New Roman" w:eastAsia="Times New Roman"/>
        </w:rPr>
        <w:t xml:space="preserve">. The 5-fold stratified cross-validation (shuffled, seed 42) is run on the 39,073 training rows with ROC-AUC as the score; the pipeline is then fitted on all training rows and evaluated once on the 9,769 test rows at the 0.5 threshold. The best model is the one with the highest </w:t>
      </w:r>
      <w:r>
        <w:rPr>
          <w:rFonts w:ascii="Times New Roman" w:hAnsi="Times New Roman" w:cs="Times New Roman" w:eastAsia="Times New Roman"/>
          <w:b/>
        </w:rPr>
        <w:t>test</w:t>
      </w:r>
      <w:r>
        <w:rPr>
          <w:rFonts w:ascii="Times New Roman" w:hAnsi="Times New Roman" w:cs="Times New Roman" w:eastAsia="Times New Roman"/>
        </w:rPr>
        <w:t xml:space="preserve"> ROC-AUC. Selecting on the test split slightly favours the winner and no separate validation set was held out; the cross-validation ranking is identical, which reduces but does not remove that concern. The time taken to train was not recorded.</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7</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Test-split metrics and cross-validated ROC-AUC of the four models</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rPr>
          <w:tblHeader w:val="true"/>
          <w:cantSplit w:val="true"/>
        </w:trPr>
        <w:tc>
          <w:tcPr>
            <w:tcW w:type="dxa" w:w="2088"/>
            <w:shd w:val="clear" w:color="auto" w:fill="1B2A41"/>
          </w:tcPr>
          <w:p>
            <w:pPr>
              <w:spacing w:line="240" w:lineRule="auto" w:after="40"/>
              <w:jc w:val="center"/>
            </w:pPr>
            <w:r/>
            <w:r>
              <w:rPr>
                <w:rFonts w:ascii="Times New Roman" w:hAnsi="Times New Roman" w:cs="Times New Roman" w:eastAsia="Times New Roman"/>
                <w:b/>
                <w:color w:val="FFFFFF"/>
                <w:sz w:val="18"/>
              </w:rPr>
              <w:t>Model</w:t>
            </w:r>
          </w:p>
        </w:tc>
        <w:tc>
          <w:tcPr>
            <w:tcW w:type="dxa" w:w="1080"/>
            <w:shd w:val="clear" w:color="auto" w:fill="1B2A41"/>
          </w:tcPr>
          <w:p>
            <w:pPr>
              <w:spacing w:line="240" w:lineRule="auto" w:after="40"/>
              <w:jc w:val="center"/>
            </w:pPr>
            <w:r/>
            <w:r>
              <w:rPr>
                <w:rFonts w:ascii="Times New Roman" w:hAnsi="Times New Roman" w:cs="Times New Roman" w:eastAsia="Times New Roman"/>
                <w:b/>
                <w:color w:val="FFFFFF"/>
                <w:sz w:val="18"/>
              </w:rPr>
              <w:t>Accuracy</w:t>
            </w:r>
          </w:p>
        </w:tc>
        <w:tc>
          <w:tcPr>
            <w:tcW w:type="dxa" w:w="1080"/>
            <w:shd w:val="clear" w:color="auto" w:fill="1B2A41"/>
          </w:tcPr>
          <w:p>
            <w:pPr>
              <w:spacing w:line="240" w:lineRule="auto" w:after="40"/>
              <w:jc w:val="center"/>
            </w:pPr>
            <w:r/>
            <w:r>
              <w:rPr>
                <w:rFonts w:ascii="Times New Roman" w:hAnsi="Times New Roman" w:cs="Times New Roman" w:eastAsia="Times New Roman"/>
                <w:b/>
                <w:color w:val="FFFFFF"/>
                <w:sz w:val="18"/>
              </w:rPr>
              <w:t>Precision</w:t>
            </w:r>
          </w:p>
        </w:tc>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18"/>
              </w:rPr>
              <w:t>Recall</w:t>
            </w:r>
          </w:p>
        </w:tc>
        <w:tc>
          <w:tcPr>
            <w:tcW w:type="dxa" w:w="936"/>
            <w:shd w:val="clear" w:color="auto" w:fill="1B2A41"/>
          </w:tcPr>
          <w:p>
            <w:pPr>
              <w:spacing w:line="240" w:lineRule="auto" w:after="40"/>
              <w:jc w:val="center"/>
            </w:pPr>
            <w:r/>
            <w:r>
              <w:rPr>
                <w:rFonts w:ascii="Times New Roman" w:hAnsi="Times New Roman" w:cs="Times New Roman" w:eastAsia="Times New Roman"/>
                <w:b/>
                <w:color w:val="FFFFFF"/>
                <w:sz w:val="18"/>
              </w:rPr>
              <w:t>F1</w:t>
            </w:r>
          </w:p>
        </w:tc>
        <w:tc>
          <w:tcPr>
            <w:tcW w:type="dxa" w:w="1080"/>
            <w:shd w:val="clear" w:color="auto" w:fill="1B2A41"/>
          </w:tcPr>
          <w:p>
            <w:pPr>
              <w:spacing w:line="240" w:lineRule="auto" w:after="40"/>
              <w:jc w:val="center"/>
            </w:pPr>
            <w:r/>
            <w:r>
              <w:rPr>
                <w:rFonts w:ascii="Times New Roman" w:hAnsi="Times New Roman" w:cs="Times New Roman" w:eastAsia="Times New Roman"/>
                <w:b/>
                <w:color w:val="FFFFFF"/>
                <w:sz w:val="18"/>
              </w:rPr>
              <w:t>ROC-AUC</w:t>
            </w:r>
          </w:p>
        </w:tc>
        <w:tc>
          <w:tcPr>
            <w:tcW w:type="dxa" w:w="2088"/>
            <w:shd w:val="clear" w:color="auto" w:fill="1B2A41"/>
          </w:tcPr>
          <w:p>
            <w:pPr>
              <w:spacing w:line="240" w:lineRule="auto" w:after="40"/>
              <w:jc w:val="center"/>
            </w:pPr>
            <w:r/>
            <w:r>
              <w:rPr>
                <w:rFonts w:ascii="Times New Roman" w:hAnsi="Times New Roman" w:cs="Times New Roman" w:eastAsia="Times New Roman"/>
                <w:b/>
                <w:color w:val="FFFFFF"/>
                <w:sz w:val="18"/>
              </w:rPr>
              <w:t>CV ROC-AUC (mean +/- sd)</w:t>
            </w:r>
          </w:p>
        </w:tc>
      </w:tr>
      <w:tr>
        <w:trPr>
          <w:cantSplit w:val="true"/>
        </w:trPr>
        <w:tc>
          <w:tcPr>
            <w:tcW w:type="dxa" w:w="2088"/>
          </w:tcPr>
          <w:p>
            <w:pPr>
              <w:spacing w:line="240" w:lineRule="auto" w:after="40"/>
              <w:jc w:val="left"/>
            </w:pPr>
            <w:r/>
            <w:r>
              <w:rPr>
                <w:rFonts w:ascii="Times New Roman" w:hAnsi="Times New Roman" w:cs="Times New Roman" w:eastAsia="Times New Roman"/>
                <w:sz w:val="18"/>
              </w:rPr>
              <w:t>Logistic Regression</w:t>
            </w:r>
          </w:p>
        </w:tc>
        <w:tc>
          <w:tcPr>
            <w:tcW w:type="dxa" w:w="1080"/>
          </w:tcPr>
          <w:p>
            <w:pPr>
              <w:spacing w:line="240" w:lineRule="auto" w:after="40"/>
              <w:jc w:val="center"/>
            </w:pPr>
            <w:r/>
            <w:r>
              <w:rPr>
                <w:rFonts w:ascii="Times New Roman" w:hAnsi="Times New Roman" w:cs="Times New Roman" w:eastAsia="Times New Roman"/>
                <w:sz w:val="18"/>
              </w:rPr>
              <w:t>0.8599</w:t>
            </w:r>
          </w:p>
        </w:tc>
        <w:tc>
          <w:tcPr>
            <w:tcW w:type="dxa" w:w="1080"/>
          </w:tcPr>
          <w:p>
            <w:pPr>
              <w:spacing w:line="240" w:lineRule="auto" w:after="40"/>
              <w:jc w:val="center"/>
            </w:pPr>
            <w:r/>
            <w:r>
              <w:rPr>
                <w:rFonts w:ascii="Times New Roman" w:hAnsi="Times New Roman" w:cs="Times New Roman" w:eastAsia="Times New Roman"/>
                <w:sz w:val="18"/>
              </w:rPr>
              <w:t>0.7568</w:t>
            </w:r>
          </w:p>
        </w:tc>
        <w:tc>
          <w:tcPr>
            <w:tcW w:type="dxa" w:w="1008"/>
          </w:tcPr>
          <w:p>
            <w:pPr>
              <w:spacing w:line="240" w:lineRule="auto" w:after="40"/>
              <w:jc w:val="center"/>
            </w:pPr>
            <w:r/>
            <w:r>
              <w:rPr>
                <w:rFonts w:ascii="Times New Roman" w:hAnsi="Times New Roman" w:cs="Times New Roman" w:eastAsia="Times New Roman"/>
                <w:sz w:val="18"/>
              </w:rPr>
              <w:t>0.6108</w:t>
            </w:r>
          </w:p>
        </w:tc>
        <w:tc>
          <w:tcPr>
            <w:tcW w:type="dxa" w:w="936"/>
          </w:tcPr>
          <w:p>
            <w:pPr>
              <w:spacing w:line="240" w:lineRule="auto" w:after="40"/>
              <w:jc w:val="center"/>
            </w:pPr>
            <w:r/>
            <w:r>
              <w:rPr>
                <w:rFonts w:ascii="Times New Roman" w:hAnsi="Times New Roman" w:cs="Times New Roman" w:eastAsia="Times New Roman"/>
                <w:sz w:val="18"/>
              </w:rPr>
              <w:t>0.6760</w:t>
            </w:r>
          </w:p>
        </w:tc>
        <w:tc>
          <w:tcPr>
            <w:tcW w:type="dxa" w:w="1080"/>
          </w:tcPr>
          <w:p>
            <w:pPr>
              <w:spacing w:line="240" w:lineRule="auto" w:after="40"/>
              <w:jc w:val="center"/>
            </w:pPr>
            <w:r/>
            <w:r>
              <w:rPr>
                <w:rFonts w:ascii="Times New Roman" w:hAnsi="Times New Roman" w:cs="Times New Roman" w:eastAsia="Times New Roman"/>
                <w:sz w:val="18"/>
              </w:rPr>
              <w:t>0.9140</w:t>
            </w:r>
          </w:p>
        </w:tc>
        <w:tc>
          <w:tcPr>
            <w:tcW w:type="dxa" w:w="2088"/>
          </w:tcPr>
          <w:p>
            <w:pPr>
              <w:spacing w:line="240" w:lineRule="auto" w:after="40"/>
              <w:jc w:val="center"/>
            </w:pPr>
            <w:r/>
            <w:r>
              <w:rPr>
                <w:rFonts w:ascii="Times New Roman" w:hAnsi="Times New Roman" w:cs="Times New Roman" w:eastAsia="Times New Roman"/>
                <w:sz w:val="18"/>
              </w:rPr>
              <w:t>0.9133 +/- 0.0013</w:t>
            </w:r>
          </w:p>
        </w:tc>
      </w:tr>
      <w:tr>
        <w:trPr>
          <w:cantSplit w:val="true"/>
        </w:trPr>
        <w:tc>
          <w:tcPr>
            <w:tcW w:type="dxa" w:w="2088"/>
          </w:tcPr>
          <w:p>
            <w:pPr>
              <w:spacing w:line="240" w:lineRule="auto" w:after="40"/>
              <w:jc w:val="left"/>
            </w:pPr>
            <w:r/>
            <w:r>
              <w:rPr>
                <w:rFonts w:ascii="Times New Roman" w:hAnsi="Times New Roman" w:cs="Times New Roman" w:eastAsia="Times New Roman"/>
                <w:sz w:val="18"/>
              </w:rPr>
              <w:t>Random Forest</w:t>
            </w:r>
          </w:p>
        </w:tc>
        <w:tc>
          <w:tcPr>
            <w:tcW w:type="dxa" w:w="1080"/>
          </w:tcPr>
          <w:p>
            <w:pPr>
              <w:spacing w:line="240" w:lineRule="auto" w:after="40"/>
              <w:jc w:val="center"/>
            </w:pPr>
            <w:r/>
            <w:r>
              <w:rPr>
                <w:rFonts w:ascii="Times New Roman" w:hAnsi="Times New Roman" w:cs="Times New Roman" w:eastAsia="Times New Roman"/>
                <w:sz w:val="18"/>
              </w:rPr>
              <w:t>0.8597</w:t>
            </w:r>
          </w:p>
        </w:tc>
        <w:tc>
          <w:tcPr>
            <w:tcW w:type="dxa" w:w="1080"/>
          </w:tcPr>
          <w:p>
            <w:pPr>
              <w:spacing w:line="240" w:lineRule="auto" w:after="40"/>
              <w:jc w:val="center"/>
            </w:pPr>
            <w:r/>
            <w:r>
              <w:rPr>
                <w:rFonts w:ascii="Times New Roman" w:hAnsi="Times New Roman" w:cs="Times New Roman" w:eastAsia="Times New Roman"/>
                <w:sz w:val="18"/>
              </w:rPr>
              <w:t>0.7402</w:t>
            </w:r>
          </w:p>
        </w:tc>
        <w:tc>
          <w:tcPr>
            <w:tcW w:type="dxa" w:w="1008"/>
          </w:tcPr>
          <w:p>
            <w:pPr>
              <w:spacing w:line="240" w:lineRule="auto" w:after="40"/>
              <w:jc w:val="center"/>
            </w:pPr>
            <w:r/>
            <w:r>
              <w:rPr>
                <w:rFonts w:ascii="Times New Roman" w:hAnsi="Times New Roman" w:cs="Times New Roman" w:eastAsia="Times New Roman"/>
                <w:sz w:val="18"/>
              </w:rPr>
              <w:t>0.6373</w:t>
            </w:r>
          </w:p>
        </w:tc>
        <w:tc>
          <w:tcPr>
            <w:tcW w:type="dxa" w:w="936"/>
          </w:tcPr>
          <w:p>
            <w:pPr>
              <w:spacing w:line="240" w:lineRule="auto" w:after="40"/>
              <w:jc w:val="center"/>
            </w:pPr>
            <w:r/>
            <w:r>
              <w:rPr>
                <w:rFonts w:ascii="Times New Roman" w:hAnsi="Times New Roman" w:cs="Times New Roman" w:eastAsia="Times New Roman"/>
                <w:sz w:val="18"/>
              </w:rPr>
              <w:t>0.6849</w:t>
            </w:r>
          </w:p>
        </w:tc>
        <w:tc>
          <w:tcPr>
            <w:tcW w:type="dxa" w:w="1080"/>
          </w:tcPr>
          <w:p>
            <w:pPr>
              <w:spacing w:line="240" w:lineRule="auto" w:after="40"/>
              <w:jc w:val="center"/>
            </w:pPr>
            <w:r/>
            <w:r>
              <w:rPr>
                <w:rFonts w:ascii="Times New Roman" w:hAnsi="Times New Roman" w:cs="Times New Roman" w:eastAsia="Times New Roman"/>
                <w:sz w:val="18"/>
              </w:rPr>
              <w:t>0.9100</w:t>
            </w:r>
          </w:p>
        </w:tc>
        <w:tc>
          <w:tcPr>
            <w:tcW w:type="dxa" w:w="2088"/>
          </w:tcPr>
          <w:p>
            <w:pPr>
              <w:spacing w:line="240" w:lineRule="auto" w:after="40"/>
              <w:jc w:val="center"/>
            </w:pPr>
            <w:r/>
            <w:r>
              <w:rPr>
                <w:rFonts w:ascii="Times New Roman" w:hAnsi="Times New Roman" w:cs="Times New Roman" w:eastAsia="Times New Roman"/>
                <w:sz w:val="18"/>
              </w:rPr>
              <w:t>0.9079 +/- 0.0016</w:t>
            </w:r>
          </w:p>
        </w:tc>
      </w:tr>
      <w:tr>
        <w:trPr>
          <w:cantSplit w:val="true"/>
        </w:trPr>
        <w:tc>
          <w:tcPr>
            <w:tcW w:type="dxa" w:w="2088"/>
          </w:tcPr>
          <w:p>
            <w:pPr>
              <w:spacing w:line="240" w:lineRule="auto" w:after="40"/>
              <w:jc w:val="left"/>
            </w:pPr>
            <w:r/>
            <w:r>
              <w:rPr>
                <w:rFonts w:ascii="Times New Roman" w:hAnsi="Times New Roman" w:cs="Times New Roman" w:eastAsia="Times New Roman"/>
                <w:sz w:val="18"/>
              </w:rPr>
              <w:t>Gradient Boosting</w:t>
            </w:r>
          </w:p>
        </w:tc>
        <w:tc>
          <w:tcPr>
            <w:tcW w:type="dxa" w:w="1080"/>
          </w:tcPr>
          <w:p>
            <w:pPr>
              <w:spacing w:line="240" w:lineRule="auto" w:after="40"/>
              <w:jc w:val="center"/>
            </w:pPr>
            <w:r/>
            <w:r>
              <w:rPr>
                <w:rFonts w:ascii="Times New Roman" w:hAnsi="Times New Roman" w:cs="Times New Roman" w:eastAsia="Times New Roman"/>
                <w:sz w:val="18"/>
              </w:rPr>
              <w:t>0.8697</w:t>
            </w:r>
          </w:p>
        </w:tc>
        <w:tc>
          <w:tcPr>
            <w:tcW w:type="dxa" w:w="1080"/>
          </w:tcPr>
          <w:p>
            <w:pPr>
              <w:spacing w:line="240" w:lineRule="auto" w:after="40"/>
              <w:jc w:val="center"/>
            </w:pPr>
            <w:r/>
            <w:r>
              <w:rPr>
                <w:rFonts w:ascii="Times New Roman" w:hAnsi="Times New Roman" w:cs="Times New Roman" w:eastAsia="Times New Roman"/>
                <w:sz w:val="18"/>
              </w:rPr>
              <w:t>0.7915</w:t>
            </w:r>
          </w:p>
        </w:tc>
        <w:tc>
          <w:tcPr>
            <w:tcW w:type="dxa" w:w="1008"/>
          </w:tcPr>
          <w:p>
            <w:pPr>
              <w:spacing w:line="240" w:lineRule="auto" w:after="40"/>
              <w:jc w:val="center"/>
            </w:pPr>
            <w:r/>
            <w:r>
              <w:rPr>
                <w:rFonts w:ascii="Times New Roman" w:hAnsi="Times New Roman" w:cs="Times New Roman" w:eastAsia="Times New Roman"/>
                <w:sz w:val="18"/>
              </w:rPr>
              <w:t>0.6185</w:t>
            </w:r>
          </w:p>
        </w:tc>
        <w:tc>
          <w:tcPr>
            <w:tcW w:type="dxa" w:w="936"/>
          </w:tcPr>
          <w:p>
            <w:pPr>
              <w:spacing w:line="240" w:lineRule="auto" w:after="40"/>
              <w:jc w:val="center"/>
            </w:pPr>
            <w:r/>
            <w:r>
              <w:rPr>
                <w:rFonts w:ascii="Times New Roman" w:hAnsi="Times New Roman" w:cs="Times New Roman" w:eastAsia="Times New Roman"/>
                <w:sz w:val="18"/>
              </w:rPr>
              <w:t>0.6944</w:t>
            </w:r>
          </w:p>
        </w:tc>
        <w:tc>
          <w:tcPr>
            <w:tcW w:type="dxa" w:w="1080"/>
          </w:tcPr>
          <w:p>
            <w:pPr>
              <w:spacing w:line="240" w:lineRule="auto" w:after="40"/>
              <w:jc w:val="center"/>
            </w:pPr>
            <w:r/>
            <w:r>
              <w:rPr>
                <w:rFonts w:ascii="Times New Roman" w:hAnsi="Times New Roman" w:cs="Times New Roman" w:eastAsia="Times New Roman"/>
                <w:sz w:val="18"/>
              </w:rPr>
              <w:t>0.9247</w:t>
            </w:r>
          </w:p>
        </w:tc>
        <w:tc>
          <w:tcPr>
            <w:tcW w:type="dxa" w:w="2088"/>
          </w:tcPr>
          <w:p>
            <w:pPr>
              <w:spacing w:line="240" w:lineRule="auto" w:after="40"/>
              <w:jc w:val="center"/>
            </w:pPr>
            <w:r/>
            <w:r>
              <w:rPr>
                <w:rFonts w:ascii="Times New Roman" w:hAnsi="Times New Roman" w:cs="Times New Roman" w:eastAsia="Times New Roman"/>
                <w:sz w:val="18"/>
              </w:rPr>
              <w:t>0.9204 +/- 0.0022</w:t>
            </w:r>
          </w:p>
        </w:tc>
      </w:tr>
      <w:tr>
        <w:trPr>
          <w:cantSplit w:val="true"/>
        </w:trPr>
        <w:tc>
          <w:tcPr>
            <w:tcW w:type="dxa" w:w="2088"/>
          </w:tcPr>
          <w:p>
            <w:pPr>
              <w:spacing w:line="240" w:lineRule="auto" w:after="40"/>
              <w:jc w:val="left"/>
            </w:pPr>
            <w:r/>
            <w:r>
              <w:rPr>
                <w:rFonts w:ascii="Times New Roman" w:hAnsi="Times New Roman" w:cs="Times New Roman" w:eastAsia="Times New Roman"/>
                <w:b/>
                <w:sz w:val="18"/>
              </w:rPr>
              <w:t>XGBoost</w:t>
            </w:r>
          </w:p>
        </w:tc>
        <w:tc>
          <w:tcPr>
            <w:tcW w:type="dxa" w:w="1080"/>
          </w:tcPr>
          <w:p>
            <w:pPr>
              <w:spacing w:line="240" w:lineRule="auto" w:after="40"/>
              <w:jc w:val="center"/>
            </w:pPr>
            <w:r/>
            <w:r>
              <w:rPr>
                <w:rFonts w:ascii="Times New Roman" w:hAnsi="Times New Roman" w:cs="Times New Roman" w:eastAsia="Times New Roman"/>
                <w:sz w:val="18"/>
              </w:rPr>
              <w:t>0.8782</w:t>
            </w:r>
          </w:p>
        </w:tc>
        <w:tc>
          <w:tcPr>
            <w:tcW w:type="dxa" w:w="1080"/>
          </w:tcPr>
          <w:p>
            <w:pPr>
              <w:spacing w:line="240" w:lineRule="auto" w:after="40"/>
              <w:jc w:val="center"/>
            </w:pPr>
            <w:r/>
            <w:r>
              <w:rPr>
                <w:rFonts w:ascii="Times New Roman" w:hAnsi="Times New Roman" w:cs="Times New Roman" w:eastAsia="Times New Roman"/>
                <w:sz w:val="18"/>
              </w:rPr>
              <w:t>0.7917</w:t>
            </w:r>
          </w:p>
        </w:tc>
        <w:tc>
          <w:tcPr>
            <w:tcW w:type="dxa" w:w="1008"/>
          </w:tcPr>
          <w:p>
            <w:pPr>
              <w:spacing w:line="240" w:lineRule="auto" w:after="40"/>
              <w:jc w:val="center"/>
            </w:pPr>
            <w:r/>
            <w:r>
              <w:rPr>
                <w:rFonts w:ascii="Times New Roman" w:hAnsi="Times New Roman" w:cs="Times New Roman" w:eastAsia="Times New Roman"/>
                <w:sz w:val="18"/>
              </w:rPr>
              <w:t>0.6664</w:t>
            </w:r>
          </w:p>
        </w:tc>
        <w:tc>
          <w:tcPr>
            <w:tcW w:type="dxa" w:w="936"/>
          </w:tcPr>
          <w:p>
            <w:pPr>
              <w:spacing w:line="240" w:lineRule="auto" w:after="40"/>
              <w:jc w:val="center"/>
            </w:pPr>
            <w:r/>
            <w:r>
              <w:rPr>
                <w:rFonts w:ascii="Times New Roman" w:hAnsi="Times New Roman" w:cs="Times New Roman" w:eastAsia="Times New Roman"/>
                <w:sz w:val="18"/>
              </w:rPr>
              <w:t>0.7236</w:t>
            </w:r>
          </w:p>
        </w:tc>
        <w:tc>
          <w:tcPr>
            <w:tcW w:type="dxa" w:w="1080"/>
          </w:tcPr>
          <w:p>
            <w:pPr>
              <w:spacing w:line="240" w:lineRule="auto" w:after="40"/>
              <w:jc w:val="center"/>
            </w:pPr>
            <w:r/>
            <w:r>
              <w:rPr>
                <w:rFonts w:ascii="Times New Roman" w:hAnsi="Times New Roman" w:cs="Times New Roman" w:eastAsia="Times New Roman"/>
                <w:sz w:val="18"/>
              </w:rPr>
              <w:t>0.9319</w:t>
            </w:r>
          </w:p>
        </w:tc>
        <w:tc>
          <w:tcPr>
            <w:tcW w:type="dxa" w:w="2088"/>
          </w:tcPr>
          <w:p>
            <w:pPr>
              <w:spacing w:line="240" w:lineRule="auto" w:after="40"/>
              <w:jc w:val="center"/>
            </w:pPr>
            <w:r/>
            <w:r>
              <w:rPr>
                <w:rFonts w:ascii="Times New Roman" w:hAnsi="Times New Roman" w:cs="Times New Roman" w:eastAsia="Times New Roman"/>
                <w:sz w:val="18"/>
              </w:rPr>
              <w:t>0.9293 +/- 0.0011</w:t>
            </w:r>
          </w:p>
        </w:tc>
      </w:tr>
    </w:tbl>
    <w:p>
      <w:pPr>
        <w:spacing w:after="120" w:line="192" w:lineRule="auto"/>
      </w:pPr>
    </w:p>
    <w:p>
      <w:pPr>
        <w:keepNext/>
        <w:spacing w:line="240" w:lineRule="auto" w:after="80"/>
        <w:jc w:val="center"/>
      </w:pPr>
      <w:r>
        <w:drawing>
          <wp:inline xmlns:a="http://schemas.openxmlformats.org/drawingml/2006/main" xmlns:pic="http://schemas.openxmlformats.org/drawingml/2006/picture">
            <wp:extent cx="5120640" cy="305853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120640" cy="305853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The four classifiers compared on the held-out test split</w:t>
      </w:r>
    </w:p>
    <w:p>
      <w:pPr>
        <w:keepNext/>
        <w:spacing w:line="240" w:lineRule="auto" w:after="80"/>
        <w:jc w:val="center"/>
      </w:pPr>
      <w:r>
        <w:drawing>
          <wp:inline xmlns:a="http://schemas.openxmlformats.org/drawingml/2006/main" xmlns:pic="http://schemas.openxmlformats.org/drawingml/2006/picture">
            <wp:extent cx="4480560" cy="2639870"/>
            <wp:docPr id="2" name="Picture 2"/>
            <wp:cNvGraphicFramePr>
              <a:graphicFrameLocks noChangeAspect="1"/>
            </wp:cNvGraphicFramePr>
            <a:graphic>
              <a:graphicData uri="http://schemas.openxmlformats.org/drawingml/2006/picture">
                <pic:pic>
                  <pic:nvPicPr>
                    <pic:cNvPr id="0" name="cv_folds.png"/>
                    <pic:cNvPicPr/>
                  </pic:nvPicPr>
                  <pic:blipFill>
                    <a:blip r:embed="rId12"/>
                    <a:stretch>
                      <a:fillRect/>
                    </a:stretch>
                  </pic:blipFill>
                  <pic:spPr>
                    <a:xfrm>
                      <a:off x="0" y="0"/>
                      <a:ext cx="4480560" cy="2639870"/>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ROC-AUC of every cross-validation fold for each model</w:t>
      </w:r>
    </w:p>
    <w:p>
      <w:r>
        <w:rPr>
          <w:rFonts w:ascii="Times New Roman" w:hAnsi="Times New Roman" w:cs="Times New Roman" w:eastAsia="Times New Roman"/>
        </w:rPr>
        <w:t>XGBoost leads on every metric, with Gradient Boosting a close second (precision 0.7915 against 0.7917); the spread between folds is at most 0.0035 AUC for XGBoost, so the ranking is stable across folds. Chapter 8 gives the confusion matrices and the threshold analysis.</w:t>
      </w:r>
    </w:p>
    <w:p>
      <w:pPr>
        <w:pStyle w:val="Heading1"/>
        <w:pageBreakBefore/>
      </w:pPr>
      <w:r>
        <w:t>2. NOVELTY AGAINST THE BASE PAPER</w:t>
      </w:r>
    </w:p>
    <w:p>
      <w:r>
        <w:rPr>
          <w:rFonts w:ascii="Times New Roman" w:hAnsi="Times New Roman" w:cs="Times New Roman" w:eastAsia="Times New Roman"/>
        </w:rPr>
        <w:t>The base paper [1] presents a four-stage explainable framework (domain-adaptive feature engineering, multi-model training, SHAP interpretation, domain-specific validation) and instantiates it on 165 Korean hospitals and 825 hospital-year observations to detect financial distress. This project keeps the architecture of that framework and changes the object it is applied to: one person's demographic and financial profile instead of an organisation's disclosed accounts.</w:t>
      </w:r>
    </w:p>
    <w:p>
      <w:pPr>
        <w:pStyle w:val="Heading2"/>
      </w:pPr>
      <w:r>
        <w:t>What is new in this project</w:t>
      </w:r>
    </w:p>
    <w:p>
      <w:pPr>
        <w:spacing w:after="60"/>
        <w:ind w:left="720" w:hanging="432"/>
      </w:pPr>
      <w:r>
        <w:rPr>
          <w:rFonts w:ascii="Times New Roman" w:hAnsi="Times New Roman" w:cs="Times New Roman" w:eastAsia="Times New Roman"/>
        </w:rPr>
        <w:t xml:space="preserve">1.  </w:t>
      </w:r>
      <w:r>
        <w:rPr>
          <w:rFonts w:ascii="Times New Roman" w:hAnsi="Times New Roman" w:cs="Times New Roman" w:eastAsia="Times New Roman"/>
          <w:b/>
        </w:rPr>
        <w:t>A different unit of analysis.</w:t>
      </w:r>
      <w:r>
        <w:rPr>
          <w:rFonts w:ascii="Times New Roman" w:hAnsi="Times New Roman" w:cs="Times New Roman" w:eastAsia="Times New Roman"/>
        </w:rPr>
        <w:t xml:space="preserve"> The framework is applied to 48,842 individual records with demographic inputs (age, education, occupation, marital status, household role, country) and investment gains and losses. This is the gap named in the literature survey: the surveyed work targets organisations, and demographic context carries much of the signal for individuals.</w:t>
      </w:r>
    </w:p>
    <w:p>
      <w:pPr>
        <w:spacing w:after="60"/>
        <w:ind w:left="720" w:hanging="432"/>
      </w:pPr>
      <w:r>
        <w:rPr>
          <w:rFonts w:ascii="Times New Roman" w:hAnsi="Times New Roman" w:cs="Times New Roman" w:eastAsia="Times New Roman"/>
        </w:rPr>
        <w:t xml:space="preserve">2.  </w:t>
      </w:r>
      <w:r>
        <w:rPr>
          <w:rFonts w:ascii="Times New Roman" w:hAnsi="Times New Roman" w:cs="Times New Roman" w:eastAsia="Times New Roman"/>
          <w:b/>
        </w:rPr>
        <w:t>SHAP as a live service.</w:t>
      </w:r>
      <w:r>
        <w:rPr>
          <w:rFonts w:ascii="Times New Roman" w:hAnsi="Times New Roman" w:cs="Times New Roman" w:eastAsia="Times New Roman"/>
        </w:rPr>
        <w:t xml:space="preserve"> The base paper computes SHAP once, offline, for a research figure. Here a TreeExplainer is built at start-up and </w:t>
      </w:r>
      <w:r>
        <w:rPr>
          <w:rFonts w:ascii="Consolas" w:hAnsi="Consolas" w:cs="Consolas" w:eastAsia="Consolas"/>
          <w:sz w:val="21"/>
        </w:rPr>
        <w:t>local_shap</w:t>
      </w:r>
      <w:r>
        <w:rPr>
          <w:rFonts w:ascii="Times New Roman" w:hAnsi="Times New Roman" w:cs="Times New Roman" w:eastAsia="Times New Roman"/>
        </w:rPr>
        <w:t xml:space="preserve"> returns the contributions of each request in the response, so every assessment carries its own explanation.</w:t>
      </w:r>
    </w:p>
    <w:p>
      <w:pPr>
        <w:spacing w:after="60"/>
        <w:ind w:left="720" w:hanging="432"/>
      </w:pPr>
      <w:r>
        <w:rPr>
          <w:rFonts w:ascii="Times New Roman" w:hAnsi="Times New Roman" w:cs="Times New Roman" w:eastAsia="Times New Roman"/>
        </w:rPr>
        <w:t xml:space="preserve">3.  </w:t>
      </w:r>
      <w:r>
        <w:rPr>
          <w:rFonts w:ascii="Times New Roman" w:hAnsi="Times New Roman" w:cs="Times New Roman" w:eastAsia="Times New Roman"/>
          <w:b/>
        </w:rPr>
        <w:t>Explanations in plain language.</w:t>
      </w:r>
      <w:r>
        <w:rPr>
          <w:rFonts w:ascii="Times New Roman" w:hAnsi="Times New Roman" w:cs="Times New Roman" w:eastAsia="Times New Roman"/>
        </w:rPr>
        <w:t xml:space="preserve"> Each contribution is turned into a sentence, and one-hot features are read correctly: a value of 0 for </w:t>
      </w:r>
      <w:r>
        <w:rPr>
          <w:rFonts w:ascii="Consolas" w:hAnsi="Consolas" w:cs="Consolas" w:eastAsia="Consolas"/>
          <w:sz w:val="21"/>
        </w:rPr>
        <w:t>occupation = Prof-specialty</w:t>
      </w:r>
      <w:r>
        <w:rPr>
          <w:rFonts w:ascii="Times New Roman" w:hAnsi="Times New Roman" w:cs="Times New Roman" w:eastAsia="Times New Roman"/>
        </w:rPr>
        <w:t xml:space="preserve"> is reported as the </w:t>
      </w:r>
      <w:r>
        <w:rPr>
          <w:rFonts w:ascii="Times New Roman" w:hAnsi="Times New Roman" w:cs="Times New Roman" w:eastAsia="Times New Roman"/>
          <w:i/>
        </w:rPr>
        <w:t>absence</w:t>
      </w:r>
      <w:r>
        <w:rPr>
          <w:rFonts w:ascii="Times New Roman" w:hAnsi="Times New Roman" w:cs="Times New Roman" w:eastAsia="Times New Roman"/>
        </w:rPr>
        <w:t xml:space="preserve"> of that category, not as an effect of the category itself.</w:t>
      </w:r>
    </w:p>
    <w:p>
      <w:pPr>
        <w:spacing w:after="60"/>
        <w:ind w:left="720" w:hanging="432"/>
      </w:pPr>
      <w:r>
        <w:rPr>
          <w:rFonts w:ascii="Times New Roman" w:hAnsi="Times New Roman" w:cs="Times New Roman" w:eastAsia="Times New Roman"/>
        </w:rPr>
        <w:t xml:space="preserve">4.  </w:t>
      </w:r>
      <w:r>
        <w:rPr>
          <w:rFonts w:ascii="Times New Roman" w:hAnsi="Times New Roman" w:cs="Times New Roman" w:eastAsia="Times New Roman"/>
          <w:b/>
        </w:rPr>
        <w:t>A what-if screen.</w:t>
      </w:r>
      <w:r>
        <w:rPr>
          <w:rFonts w:ascii="Times New Roman" w:hAnsi="Times New Roman" w:cs="Times New Roman" w:eastAsia="Times New Roman"/>
        </w:rPr>
        <w:t xml:space="preserve"> </w:t>
      </w:r>
      <w:r>
        <w:rPr>
          <w:rFonts w:ascii="Consolas" w:hAnsi="Consolas" w:cs="Consolas" w:eastAsia="Consolas"/>
          <w:sz w:val="21"/>
        </w:rPr>
        <w:t>run_whatif</w:t>
      </w:r>
      <w:r>
        <w:rPr>
          <w:rFonts w:ascii="Times New Roman" w:hAnsi="Times New Roman" w:cs="Times New Roman" w:eastAsia="Times New Roman"/>
        </w:rPr>
        <w:t xml:space="preserve"> predicts twice, for a baseline and for a scenario with changed gains, losses, hours or education, and reports the change in score, profile and risk band, labelled as simulation and not as causation.</w:t>
      </w:r>
    </w:p>
    <w:p>
      <w:pPr>
        <w:spacing w:after="60"/>
        <w:ind w:left="720" w:hanging="432"/>
      </w:pPr>
      <w:r>
        <w:rPr>
          <w:rFonts w:ascii="Times New Roman" w:hAnsi="Times New Roman" w:cs="Times New Roman" w:eastAsia="Times New Roman"/>
        </w:rPr>
        <w:t xml:space="preserve">5.  </w:t>
      </w:r>
      <w:r>
        <w:rPr>
          <w:rFonts w:ascii="Times New Roman" w:hAnsi="Times New Roman" w:cs="Times New Roman" w:eastAsia="Times New Roman"/>
          <w:b/>
        </w:rPr>
        <w:t>A forecasting component and a usable interface.</w:t>
      </w:r>
      <w:r>
        <w:rPr>
          <w:rFonts w:ascii="Times New Roman" w:hAnsi="Times New Roman" w:cs="Times New Roman" w:eastAsia="Times New Roman"/>
        </w:rPr>
        <w:t xml:space="preserve"> A Holt-Winters 12-month forecast with a 95% band, performance views and a React interface sit around the model. The base paper has no application layer.</w:t>
      </w:r>
    </w:p>
    <w:p>
      <w:pPr>
        <w:spacing w:after="60"/>
        <w:ind w:left="720" w:hanging="432"/>
      </w:pPr>
      <w:r>
        <w:rPr>
          <w:rFonts w:ascii="Times New Roman" w:hAnsi="Times New Roman" w:cs="Times New Roman" w:eastAsia="Times New Roman"/>
        </w:rPr>
        <w:t xml:space="preserve">6.  </w:t>
      </w:r>
      <w:r>
        <w:rPr>
          <w:rFonts w:ascii="Times New Roman" w:hAnsi="Times New Roman" w:cs="Times New Roman" w:eastAsia="Times New Roman"/>
          <w:b/>
        </w:rPr>
        <w:t>Evaluation of the served system.</w:t>
      </w:r>
      <w:r>
        <w:rPr>
          <w:rFonts w:ascii="Times New Roman" w:hAnsi="Times New Roman" w:cs="Times New Roman" w:eastAsia="Times New Roman"/>
        </w:rPr>
        <w:t xml:space="preserve"> Besides accuracy and AUC the project reports calibration bins, a threshold sweep, observed income rates per profile band, API latency (68.9 ms median for a prediction) and automated test results.</w:t>
      </w:r>
    </w:p>
    <w:p>
      <w:pPr>
        <w:pStyle w:val="Heading2"/>
      </w:pPr>
      <w:r>
        <w:t>What is not new</w:t>
      </w:r>
    </w:p>
    <w:p>
      <w:r>
        <w:rPr>
          <w:rFonts w:ascii="Times New Roman" w:hAnsi="Times New Roman" w:cs="Times New Roman" w:eastAsia="Times New Roman"/>
        </w:rPr>
        <w:t>The model families (Logistic Regression, Random Forest, Gradient Boosting, XGBoost [7], [8], [9]), SHAP [14], [15], stratified cross-validation [26] and Holt-Winters smoothing [33], [34] are standard and used as published. The project does not reproduce the base paper's group-wise or temporal validation, its counterfactual subsidy analysis or its panel regression, because one row describes one person and the Adult data have no time dimension. The two studies use different data, targets and protocols, so their scores are not compared as a ranking.</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8</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Base paper and this project side by side</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1728"/>
            <w:shd w:val="clear" w:color="auto" w:fill="1B2A41"/>
          </w:tcPr>
          <w:p>
            <w:pPr>
              <w:spacing w:line="240" w:lineRule="auto" w:after="40"/>
              <w:jc w:val="center"/>
            </w:pPr>
            <w:r/>
            <w:r>
              <w:rPr>
                <w:rFonts w:ascii="Times New Roman" w:hAnsi="Times New Roman" w:cs="Times New Roman" w:eastAsia="Times New Roman"/>
                <w:b/>
                <w:color w:val="FFFFFF"/>
                <w:sz w:val="19"/>
              </w:rPr>
              <w:t>Aspect</w:t>
            </w:r>
          </w:p>
        </w:tc>
        <w:tc>
          <w:tcPr>
            <w:tcW w:type="dxa" w:w="3600"/>
            <w:shd w:val="clear" w:color="auto" w:fill="1B2A41"/>
          </w:tcPr>
          <w:p>
            <w:pPr>
              <w:spacing w:line="240" w:lineRule="auto" w:after="40"/>
              <w:jc w:val="center"/>
            </w:pPr>
            <w:r/>
            <w:r>
              <w:rPr>
                <w:rFonts w:ascii="Times New Roman" w:hAnsi="Times New Roman" w:cs="Times New Roman" w:eastAsia="Times New Roman"/>
                <w:b/>
                <w:color w:val="FFFFFF"/>
                <w:sz w:val="19"/>
              </w:rPr>
              <w:t>Base paper</w:t>
            </w:r>
          </w:p>
        </w:tc>
        <w:tc>
          <w:tcPr>
            <w:tcW w:type="dxa" w:w="3744"/>
            <w:shd w:val="clear" w:color="auto" w:fill="1B2A41"/>
          </w:tcPr>
          <w:p>
            <w:pPr>
              <w:spacing w:line="240" w:lineRule="auto" w:after="40"/>
              <w:jc w:val="center"/>
            </w:pPr>
            <w:r/>
            <w:r>
              <w:rPr>
                <w:rFonts w:ascii="Times New Roman" w:hAnsi="Times New Roman" w:cs="Times New Roman" w:eastAsia="Times New Roman"/>
                <w:b/>
                <w:color w:val="FFFFFF"/>
                <w:sz w:val="19"/>
              </w:rPr>
              <w:t>This project</w:t>
            </w:r>
          </w:p>
        </w:tc>
      </w:tr>
      <w:tr>
        <w:trPr>
          <w:cantSplit w:val="true"/>
        </w:trPr>
        <w:tc>
          <w:tcPr>
            <w:tcW w:type="dxa" w:w="1728"/>
          </w:tcPr>
          <w:p>
            <w:pPr>
              <w:spacing w:line="240" w:lineRule="auto" w:after="40"/>
              <w:jc w:val="left"/>
            </w:pPr>
            <w:r/>
            <w:r>
              <w:rPr>
                <w:rFonts w:ascii="Times New Roman" w:hAnsi="Times New Roman" w:cs="Times New Roman" w:eastAsia="Times New Roman"/>
                <w:sz w:val="19"/>
              </w:rPr>
              <w:t>Unit</w:t>
            </w:r>
          </w:p>
        </w:tc>
        <w:tc>
          <w:tcPr>
            <w:tcW w:type="dxa" w:w="3600"/>
          </w:tcPr>
          <w:p>
            <w:pPr>
              <w:spacing w:line="240" w:lineRule="auto" w:after="40"/>
              <w:jc w:val="left"/>
            </w:pPr>
            <w:r/>
            <w:r>
              <w:rPr>
                <w:rFonts w:ascii="Times New Roman" w:hAnsi="Times New Roman" w:cs="Times New Roman" w:eastAsia="Times New Roman"/>
                <w:sz w:val="19"/>
              </w:rPr>
              <w:t>165 hospitals, 825 hospital-years (2019-2023)</w:t>
            </w:r>
          </w:p>
        </w:tc>
        <w:tc>
          <w:tcPr>
            <w:tcW w:type="dxa" w:w="3744"/>
          </w:tcPr>
          <w:p>
            <w:pPr>
              <w:spacing w:line="240" w:lineRule="auto" w:after="40"/>
              <w:jc w:val="left"/>
            </w:pPr>
            <w:r/>
            <w:r>
              <w:rPr>
                <w:rFonts w:ascii="Times New Roman" w:hAnsi="Times New Roman" w:cs="Times New Roman" w:eastAsia="Times New Roman"/>
                <w:sz w:val="19"/>
              </w:rPr>
              <w:t>48,842 individuals (UCI Adult)</w:t>
            </w:r>
          </w:p>
        </w:tc>
      </w:tr>
      <w:tr>
        <w:trPr>
          <w:cantSplit w:val="true"/>
        </w:trPr>
        <w:tc>
          <w:tcPr>
            <w:tcW w:type="dxa" w:w="1728"/>
          </w:tcPr>
          <w:p>
            <w:pPr>
              <w:spacing w:line="240" w:lineRule="auto" w:after="40"/>
              <w:jc w:val="left"/>
            </w:pPr>
            <w:r/>
            <w:r>
              <w:rPr>
                <w:rFonts w:ascii="Times New Roman" w:hAnsi="Times New Roman" w:cs="Times New Roman" w:eastAsia="Times New Roman"/>
                <w:sz w:val="19"/>
              </w:rPr>
              <w:t>Target</w:t>
            </w:r>
          </w:p>
        </w:tc>
        <w:tc>
          <w:tcPr>
            <w:tcW w:type="dxa" w:w="3600"/>
          </w:tcPr>
          <w:p>
            <w:pPr>
              <w:spacing w:line="240" w:lineRule="auto" w:after="40"/>
              <w:jc w:val="left"/>
            </w:pPr>
            <w:r/>
            <w:r>
              <w:rPr>
                <w:rFonts w:ascii="Times New Roman" w:hAnsi="Times New Roman" w:cs="Times New Roman" w:eastAsia="Times New Roman"/>
                <w:sz w:val="19"/>
              </w:rPr>
              <w:t>Deficit (net income below zero), 41.2% positive</w:t>
            </w:r>
          </w:p>
        </w:tc>
        <w:tc>
          <w:tcPr>
            <w:tcW w:type="dxa" w:w="3744"/>
          </w:tcPr>
          <w:p>
            <w:pPr>
              <w:spacing w:line="240" w:lineRule="auto" w:after="40"/>
              <w:jc w:val="left"/>
            </w:pPr>
            <w:r/>
            <w:r>
              <w:rPr>
                <w:rFonts w:ascii="Times New Roman" w:hAnsi="Times New Roman" w:cs="Times New Roman" w:eastAsia="Times New Roman"/>
                <w:sz w:val="19"/>
              </w:rPr>
              <w:t>Income above 50K, 23.9% positive, read as a profile signal</w:t>
            </w:r>
          </w:p>
        </w:tc>
      </w:tr>
      <w:tr>
        <w:trPr>
          <w:cantSplit w:val="true"/>
        </w:trPr>
        <w:tc>
          <w:tcPr>
            <w:tcW w:type="dxa" w:w="1728"/>
          </w:tcPr>
          <w:p>
            <w:pPr>
              <w:spacing w:line="240" w:lineRule="auto" w:after="40"/>
              <w:jc w:val="left"/>
            </w:pPr>
            <w:r/>
            <w:r>
              <w:rPr>
                <w:rFonts w:ascii="Times New Roman" w:hAnsi="Times New Roman" w:cs="Times New Roman" w:eastAsia="Times New Roman"/>
                <w:sz w:val="19"/>
              </w:rPr>
              <w:t>Models</w:t>
            </w:r>
          </w:p>
        </w:tc>
        <w:tc>
          <w:tcPr>
            <w:tcW w:type="dxa" w:w="3600"/>
          </w:tcPr>
          <w:p>
            <w:pPr>
              <w:spacing w:line="240" w:lineRule="auto" w:after="40"/>
              <w:jc w:val="left"/>
            </w:pPr>
            <w:r/>
            <w:r>
              <w:rPr>
                <w:rFonts w:ascii="Times New Roman" w:hAnsi="Times New Roman" w:cs="Times New Roman" w:eastAsia="Times New Roman"/>
                <w:sz w:val="19"/>
              </w:rPr>
              <w:t>LR, RF, GB, XGBoost, MLP</w:t>
            </w:r>
          </w:p>
        </w:tc>
        <w:tc>
          <w:tcPr>
            <w:tcW w:type="dxa" w:w="3744"/>
          </w:tcPr>
          <w:p>
            <w:pPr>
              <w:spacing w:line="240" w:lineRule="auto" w:after="40"/>
              <w:jc w:val="left"/>
            </w:pPr>
            <w:r/>
            <w:r>
              <w:rPr>
                <w:rFonts w:ascii="Times New Roman" w:hAnsi="Times New Roman" w:cs="Times New Roman" w:eastAsia="Times New Roman"/>
                <w:sz w:val="19"/>
              </w:rPr>
              <w:t>LR, RF, GB, XGBoost</w:t>
            </w:r>
          </w:p>
        </w:tc>
      </w:tr>
      <w:tr>
        <w:trPr>
          <w:cantSplit w:val="true"/>
        </w:trPr>
        <w:tc>
          <w:tcPr>
            <w:tcW w:type="dxa" w:w="1728"/>
          </w:tcPr>
          <w:p>
            <w:pPr>
              <w:spacing w:line="240" w:lineRule="auto" w:after="40"/>
              <w:jc w:val="left"/>
            </w:pPr>
            <w:r/>
            <w:r>
              <w:rPr>
                <w:rFonts w:ascii="Times New Roman" w:hAnsi="Times New Roman" w:cs="Times New Roman" w:eastAsia="Times New Roman"/>
                <w:sz w:val="19"/>
              </w:rPr>
              <w:t>Validation</w:t>
            </w:r>
          </w:p>
        </w:tc>
        <w:tc>
          <w:tcPr>
            <w:tcW w:type="dxa" w:w="3600"/>
          </w:tcPr>
          <w:p>
            <w:pPr>
              <w:spacing w:line="240" w:lineRule="auto" w:after="40"/>
              <w:jc w:val="left"/>
            </w:pPr>
            <w:r/>
            <w:r>
              <w:rPr>
                <w:rFonts w:ascii="Times New Roman" w:hAnsi="Times New Roman" w:cs="Times New Roman" w:eastAsia="Times New Roman"/>
                <w:sz w:val="19"/>
              </w:rPr>
              <w:t>Hospital-level Group K-Fold, temporal hold-out, stratified K-Fold</w:t>
            </w:r>
          </w:p>
        </w:tc>
        <w:tc>
          <w:tcPr>
            <w:tcW w:type="dxa" w:w="3744"/>
          </w:tcPr>
          <w:p>
            <w:pPr>
              <w:spacing w:line="240" w:lineRule="auto" w:after="40"/>
              <w:jc w:val="left"/>
            </w:pPr>
            <w:r/>
            <w:r>
              <w:rPr>
                <w:rFonts w:ascii="Times New Roman" w:hAnsi="Times New Roman" w:cs="Times New Roman" w:eastAsia="Times New Roman"/>
                <w:sz w:val="19"/>
              </w:rPr>
              <w:t>Stratified 80/20 split and 5-fold stratified CV (one row per person)</w:t>
            </w:r>
          </w:p>
        </w:tc>
      </w:tr>
      <w:tr>
        <w:trPr>
          <w:cantSplit w:val="true"/>
        </w:trPr>
        <w:tc>
          <w:tcPr>
            <w:tcW w:type="dxa" w:w="1728"/>
          </w:tcPr>
          <w:p>
            <w:pPr>
              <w:spacing w:line="240" w:lineRule="auto" w:after="40"/>
              <w:jc w:val="left"/>
            </w:pPr>
            <w:r/>
            <w:r>
              <w:rPr>
                <w:rFonts w:ascii="Times New Roman" w:hAnsi="Times New Roman" w:cs="Times New Roman" w:eastAsia="Times New Roman"/>
                <w:sz w:val="19"/>
              </w:rPr>
              <w:t>Best AUC</w:t>
            </w:r>
          </w:p>
        </w:tc>
        <w:tc>
          <w:tcPr>
            <w:tcW w:type="dxa" w:w="3600"/>
          </w:tcPr>
          <w:p>
            <w:pPr>
              <w:spacing w:line="240" w:lineRule="auto" w:after="40"/>
              <w:jc w:val="left"/>
            </w:pPr>
            <w:r/>
            <w:r>
              <w:rPr>
                <w:rFonts w:ascii="Times New Roman" w:hAnsi="Times New Roman" w:cs="Times New Roman" w:eastAsia="Times New Roman"/>
                <w:sz w:val="19"/>
              </w:rPr>
              <w:t>0.842 (XGBoost, Group K-Fold)</w:t>
            </w:r>
          </w:p>
        </w:tc>
        <w:tc>
          <w:tcPr>
            <w:tcW w:type="dxa" w:w="3744"/>
          </w:tcPr>
          <w:p>
            <w:pPr>
              <w:spacing w:line="240" w:lineRule="auto" w:after="40"/>
              <w:jc w:val="left"/>
            </w:pPr>
            <w:r/>
            <w:r>
              <w:rPr>
                <w:rFonts w:ascii="Times New Roman" w:hAnsi="Times New Roman" w:cs="Times New Roman" w:eastAsia="Times New Roman"/>
                <w:sz w:val="19"/>
              </w:rPr>
              <w:t>0.932 (XGBoost, test split)</w:t>
            </w:r>
          </w:p>
        </w:tc>
      </w:tr>
      <w:tr>
        <w:trPr>
          <w:cantSplit w:val="true"/>
        </w:trPr>
        <w:tc>
          <w:tcPr>
            <w:tcW w:type="dxa" w:w="1728"/>
          </w:tcPr>
          <w:p>
            <w:pPr>
              <w:spacing w:line="240" w:lineRule="auto" w:after="40"/>
              <w:jc w:val="left"/>
            </w:pPr>
            <w:r/>
            <w:r>
              <w:rPr>
                <w:rFonts w:ascii="Times New Roman" w:hAnsi="Times New Roman" w:cs="Times New Roman" w:eastAsia="Times New Roman"/>
                <w:sz w:val="19"/>
              </w:rPr>
              <w:t>Explainability</w:t>
            </w:r>
          </w:p>
        </w:tc>
        <w:tc>
          <w:tcPr>
            <w:tcW w:type="dxa" w:w="3600"/>
          </w:tcPr>
          <w:p>
            <w:pPr>
              <w:spacing w:line="240" w:lineRule="auto" w:after="40"/>
              <w:jc w:val="left"/>
            </w:pPr>
            <w:r/>
            <w:r>
              <w:rPr>
                <w:rFonts w:ascii="Times New Roman" w:hAnsi="Times New Roman" w:cs="Times New Roman" w:eastAsia="Times New Roman"/>
                <w:sz w:val="19"/>
              </w:rPr>
              <w:t>Offline global and local SHAP, cross-method reconciliation</w:t>
            </w:r>
          </w:p>
        </w:tc>
        <w:tc>
          <w:tcPr>
            <w:tcW w:type="dxa" w:w="3744"/>
          </w:tcPr>
          <w:p>
            <w:pPr>
              <w:spacing w:line="240" w:lineRule="auto" w:after="40"/>
              <w:jc w:val="left"/>
            </w:pPr>
            <w:r/>
            <w:r>
              <w:rPr>
                <w:rFonts w:ascii="Times New Roman" w:hAnsi="Times New Roman" w:cs="Times New Roman" w:eastAsia="Times New Roman"/>
                <w:sz w:val="19"/>
              </w:rPr>
              <w:t>Global SHAP at training time plus live local SHAP per request</w:t>
            </w:r>
          </w:p>
        </w:tc>
      </w:tr>
      <w:tr>
        <w:trPr>
          <w:cantSplit w:val="true"/>
        </w:trPr>
        <w:tc>
          <w:tcPr>
            <w:tcW w:type="dxa" w:w="1728"/>
          </w:tcPr>
          <w:p>
            <w:pPr>
              <w:spacing w:line="240" w:lineRule="auto" w:after="40"/>
              <w:jc w:val="left"/>
            </w:pPr>
            <w:r/>
            <w:r>
              <w:rPr>
                <w:rFonts w:ascii="Times New Roman" w:hAnsi="Times New Roman" w:cs="Times New Roman" w:eastAsia="Times New Roman"/>
                <w:sz w:val="19"/>
              </w:rPr>
              <w:t>Beyond the model</w:t>
            </w:r>
          </w:p>
        </w:tc>
        <w:tc>
          <w:tcPr>
            <w:tcW w:type="dxa" w:w="3600"/>
          </w:tcPr>
          <w:p>
            <w:pPr>
              <w:spacing w:line="240" w:lineRule="auto" w:after="40"/>
              <w:jc w:val="left"/>
            </w:pPr>
            <w:r/>
            <w:r>
              <w:rPr>
                <w:rFonts w:ascii="Times New Roman" w:hAnsi="Times New Roman" w:cs="Times New Roman" w:eastAsia="Times New Roman"/>
                <w:sz w:val="19"/>
              </w:rPr>
              <w:t>Counterfactual subsidy analysis, panel regression</w:t>
            </w:r>
          </w:p>
        </w:tc>
        <w:tc>
          <w:tcPr>
            <w:tcW w:type="dxa" w:w="3744"/>
          </w:tcPr>
          <w:p>
            <w:pPr>
              <w:spacing w:line="240" w:lineRule="auto" w:after="40"/>
              <w:jc w:val="left"/>
            </w:pPr>
            <w:r/>
            <w:r>
              <w:rPr>
                <w:rFonts w:ascii="Times New Roman" w:hAnsi="Times New Roman" w:cs="Times New Roman" w:eastAsia="Times New Roman"/>
                <w:sz w:val="19"/>
              </w:rPr>
              <w:t>Web application, what-if, 12-month forecast on a synthetic index</w:t>
            </w:r>
          </w:p>
        </w:tc>
      </w:tr>
    </w:tbl>
    <w:p>
      <w:pPr>
        <w:spacing w:after="120" w:line="192" w:lineRule="auto"/>
      </w:pPr>
    </w:p>
    <w:p>
      <w:pPr>
        <w:pStyle w:val="Heading1"/>
        <w:pageBreakBefore/>
      </w:pPr>
      <w:r>
        <w:t>3. KEY CONTRIBUTIONS</w:t>
      </w:r>
    </w:p>
    <w:p>
      <w:r>
        <w:rPr>
          <w:rFonts w:ascii="Times New Roman" w:hAnsi="Times New Roman" w:cs="Times New Roman" w:eastAsia="Times New Roman"/>
        </w:rPr>
        <w:t>The work makes six contributions. Each is stated together with the place where the evidence for it can be inspected.</w:t>
      </w:r>
    </w:p>
    <w:p>
      <w:pPr>
        <w:spacing w:after="60"/>
        <w:ind w:left="720" w:hanging="432"/>
      </w:pPr>
      <w:r>
        <w:rPr>
          <w:rFonts w:ascii="Times New Roman" w:hAnsi="Times New Roman" w:cs="Times New Roman" w:eastAsia="Times New Roman"/>
        </w:rPr>
        <w:t xml:space="preserve">1.  </w:t>
      </w:r>
      <w:r>
        <w:rPr>
          <w:rFonts w:ascii="Times New Roman" w:hAnsi="Times New Roman" w:cs="Times New Roman" w:eastAsia="Times New Roman"/>
          <w:b/>
        </w:rPr>
        <w:t>From organisations to individuals.</w:t>
      </w:r>
      <w:r>
        <w:rPr>
          <w:rFonts w:ascii="Times New Roman" w:hAnsi="Times New Roman" w:cs="Times New Roman" w:eastAsia="Times New Roman"/>
        </w:rPr>
        <w:t xml:space="preserve"> The explainable machine-learning framework of the base paper [1] (feature engineering, multi-model comparison, SHAP, validation) is carried over from hospital panel data to individual demographic and financial profiling on 48,842 census records.</w:t>
      </w:r>
    </w:p>
    <w:p>
      <w:pPr>
        <w:spacing w:after="60"/>
        <w:ind w:left="720" w:hanging="432"/>
      </w:pPr>
      <w:r>
        <w:rPr>
          <w:rFonts w:ascii="Times New Roman" w:hAnsi="Times New Roman" w:cs="Times New Roman" w:eastAsia="Times New Roman"/>
        </w:rPr>
        <w:t xml:space="preserve">2.  </w:t>
      </w:r>
      <w:r>
        <w:rPr>
          <w:rFonts w:ascii="Times New Roman" w:hAnsi="Times New Roman" w:cs="Times New Roman" w:eastAsia="Times New Roman"/>
          <w:b/>
        </w:rPr>
        <w:t>An end-to-end system, not only a model.</w:t>
      </w:r>
      <w:r>
        <w:rPr>
          <w:rFonts w:ascii="Times New Roman" w:hAnsi="Times New Roman" w:cs="Times New Roman" w:eastAsia="Times New Roman"/>
        </w:rPr>
        <w:t xml:space="preserve"> Validated form input, feature engineering, XGBoost prediction, profile and risk band, live SHAP explanation, what-if comparison, forecast and performance views are served through a Flask API and a React interface.</w:t>
      </w:r>
    </w:p>
    <w:p>
      <w:pPr>
        <w:spacing w:after="60"/>
        <w:ind w:left="720" w:hanging="432"/>
      </w:pPr>
      <w:r>
        <w:rPr>
          <w:rFonts w:ascii="Times New Roman" w:hAnsi="Times New Roman" w:cs="Times New Roman" w:eastAsia="Times New Roman"/>
        </w:rPr>
        <w:t xml:space="preserve">3.  </w:t>
      </w:r>
      <w:r>
        <w:rPr>
          <w:rFonts w:ascii="Times New Roman" w:hAnsi="Times New Roman" w:cs="Times New Roman" w:eastAsia="Times New Roman"/>
          <w:b/>
        </w:rPr>
        <w:t>Leakage-safe, reproducible evaluation.</w:t>
      </w:r>
      <w:r>
        <w:rPr>
          <w:rFonts w:ascii="Times New Roman" w:hAnsi="Times New Roman" w:cs="Times New Roman" w:eastAsia="Times New Roman"/>
        </w:rPr>
        <w:t xml:space="preserve"> Imputation, encoding and scaling live inside each Pipeline; four models are compared on one stratified split plus 5-fold CV; every metric is written to JSON and re-derived by a script.</w:t>
      </w:r>
    </w:p>
    <w:p>
      <w:pPr>
        <w:spacing w:after="60"/>
        <w:ind w:left="720" w:hanging="432"/>
      </w:pPr>
      <w:r>
        <w:rPr>
          <w:rFonts w:ascii="Times New Roman" w:hAnsi="Times New Roman" w:cs="Times New Roman" w:eastAsia="Times New Roman"/>
        </w:rPr>
        <w:t xml:space="preserve">4.  </w:t>
      </w:r>
      <w:r>
        <w:rPr>
          <w:rFonts w:ascii="Times New Roman" w:hAnsi="Times New Roman" w:cs="Times New Roman" w:eastAsia="Times New Roman"/>
          <w:b/>
        </w:rPr>
        <w:t>Explanations in plain language.</w:t>
      </w:r>
      <w:r>
        <w:rPr>
          <w:rFonts w:ascii="Times New Roman" w:hAnsi="Times New Roman" w:cs="Times New Roman" w:eastAsia="Times New Roman"/>
        </w:rPr>
        <w:t xml:space="preserve"> Per-assessment SHAP values become sentences, including a correct reading of one-hot features (the absence of a category), and the what-if screen is labelled as simulation, not causation.</w:t>
      </w:r>
    </w:p>
    <w:p>
      <w:pPr>
        <w:spacing w:after="60"/>
        <w:ind w:left="720" w:hanging="432"/>
      </w:pPr>
      <w:r>
        <w:rPr>
          <w:rFonts w:ascii="Times New Roman" w:hAnsi="Times New Roman" w:cs="Times New Roman" w:eastAsia="Times New Roman"/>
        </w:rPr>
        <w:t xml:space="preserve">5.  </w:t>
      </w:r>
      <w:r>
        <w:rPr>
          <w:rFonts w:ascii="Times New Roman" w:hAnsi="Times New Roman" w:cs="Times New Roman" w:eastAsia="Times New Roman"/>
          <w:b/>
        </w:rPr>
        <w:t>A forecasting component with honest provenance.</w:t>
      </w:r>
      <w:r>
        <w:rPr>
          <w:rFonts w:ascii="Times New Roman" w:hAnsi="Times New Roman" w:cs="Times New Roman" w:eastAsia="Times New Roman"/>
        </w:rPr>
        <w:t xml:space="preserve"> A Holt-Winters 12-month forecast with a 95% band is built on a documented synthetic index and its limits are stated wherever it appears.</w:t>
      </w:r>
    </w:p>
    <w:p>
      <w:pPr>
        <w:spacing w:after="60"/>
        <w:ind w:left="720" w:hanging="432"/>
      </w:pPr>
      <w:r>
        <w:rPr>
          <w:rFonts w:ascii="Times New Roman" w:hAnsi="Times New Roman" w:cs="Times New Roman" w:eastAsia="Times New Roman"/>
        </w:rPr>
        <w:t xml:space="preserve">6.  </w:t>
      </w:r>
      <w:r>
        <w:rPr>
          <w:rFonts w:ascii="Times New Roman" w:hAnsi="Times New Roman" w:cs="Times New Roman" w:eastAsia="Times New Roman"/>
          <w:b/>
        </w:rPr>
        <w:t>Evaluation beyond a single score.</w:t>
      </w:r>
      <w:r>
        <w:rPr>
          <w:rFonts w:ascii="Times New Roman" w:hAnsi="Times New Roman" w:cs="Times New Roman" w:eastAsia="Times New Roman"/>
        </w:rPr>
        <w:t xml:space="preserve"> Confusion matrices, a threshold sweep, calibration bins, observed income rates per profile band, API latency and automated test results are reported.</w:t>
      </w:r>
    </w:p>
    <w:p>
      <w:r>
        <w:rPr>
          <w:rFonts w:ascii="Times New Roman" w:hAnsi="Times New Roman" w:cs="Times New Roman" w:eastAsia="Times New Roman"/>
          <w:i/>
        </w:rPr>
        <w:t>Contribution 1.</w:t>
      </w:r>
      <w:r>
        <w:rPr>
          <w:rFonts w:ascii="Times New Roman" w:hAnsi="Times New Roman" w:cs="Times New Roman" w:eastAsia="Times New Roman"/>
        </w:rPr>
        <w:t xml:space="preserve"> Evidence: Chapters 4 and 6, the data description in </w:t>
      </w:r>
      <w:r>
        <w:rPr>
          <w:rFonts w:ascii="Consolas" w:hAnsi="Consolas" w:cs="Consolas" w:eastAsia="Consolas"/>
          <w:sz w:val="21"/>
        </w:rPr>
        <w:t>data/README.md</w:t>
      </w:r>
      <w:r>
        <w:rPr>
          <w:rFonts w:ascii="Times New Roman" w:hAnsi="Times New Roman" w:cs="Times New Roman" w:eastAsia="Times New Roman"/>
        </w:rPr>
        <w:t xml:space="preserve"> and the 12-field form validated by </w:t>
      </w:r>
      <w:r>
        <w:rPr>
          <w:rFonts w:ascii="Consolas" w:hAnsi="Consolas" w:cs="Consolas" w:eastAsia="Consolas"/>
          <w:sz w:val="21"/>
        </w:rPr>
        <w:t>validate_assessment</w:t>
      </w:r>
      <w:r>
        <w:rPr>
          <w:rFonts w:ascii="Times New Roman" w:hAnsi="Times New Roman" w:cs="Times New Roman" w:eastAsia="Times New Roman"/>
        </w:rPr>
        <w:t>.</w:t>
      </w:r>
    </w:p>
    <w:p>
      <w:r>
        <w:rPr>
          <w:rFonts w:ascii="Times New Roman" w:hAnsi="Times New Roman" w:cs="Times New Roman" w:eastAsia="Times New Roman"/>
          <w:i/>
        </w:rPr>
        <w:t>Contribution 2.</w:t>
      </w:r>
      <w:r>
        <w:rPr>
          <w:rFonts w:ascii="Times New Roman" w:hAnsi="Times New Roman" w:cs="Times New Roman" w:eastAsia="Times New Roman"/>
        </w:rPr>
        <w:t xml:space="preserve"> Evidence: the screens of Chapter 8 and Appendix C and the 9 passing tests; every screen is backed by an API route.</w:t>
      </w:r>
    </w:p>
    <w:p>
      <w:r>
        <w:rPr>
          <w:rFonts w:ascii="Times New Roman" w:hAnsi="Times New Roman" w:cs="Times New Roman" w:eastAsia="Times New Roman"/>
          <w:i/>
        </w:rPr>
        <w:t>Contribution 3.</w:t>
      </w:r>
      <w:r>
        <w:rPr>
          <w:rFonts w:ascii="Times New Roman" w:hAnsi="Times New Roman" w:cs="Times New Roman" w:eastAsia="Times New Roman"/>
        </w:rPr>
        <w:t xml:space="preserve"> Evidence: </w:t>
      </w:r>
      <w:r>
        <w:rPr>
          <w:rFonts w:ascii="Consolas" w:hAnsi="Consolas" w:cs="Consolas" w:eastAsia="Consolas"/>
          <w:sz w:val="21"/>
        </w:rPr>
        <w:t>build_preprocessor</w:t>
      </w:r>
      <w:r>
        <w:rPr>
          <w:rFonts w:ascii="Times New Roman" w:hAnsi="Times New Roman" w:cs="Times New Roman" w:eastAsia="Times New Roman"/>
        </w:rPr>
        <w:t xml:space="preserve"> places the imputers, encoder and scaler inside each Pipeline, and </w:t>
      </w:r>
      <w:r>
        <w:rPr>
          <w:rFonts w:ascii="Consolas" w:hAnsi="Consolas" w:cs="Consolas" w:eastAsia="Consolas"/>
          <w:sz w:val="21"/>
        </w:rPr>
        <w:t>artifacts/*.json</w:t>
      </w:r>
      <w:r>
        <w:rPr>
          <w:rFonts w:ascii="Times New Roman" w:hAnsi="Times New Roman" w:cs="Times New Roman" w:eastAsia="Times New Roman"/>
        </w:rPr>
        <w:t xml:space="preserve"> hold every number quoted in this report.</w:t>
      </w:r>
    </w:p>
    <w:p>
      <w:r>
        <w:rPr>
          <w:rFonts w:ascii="Times New Roman" w:hAnsi="Times New Roman" w:cs="Times New Roman" w:eastAsia="Times New Roman"/>
          <w:i/>
        </w:rPr>
        <w:t>Contribution 4.</w:t>
      </w:r>
      <w:r>
        <w:rPr>
          <w:rFonts w:ascii="Times New Roman" w:hAnsi="Times New Roman" w:cs="Times New Roman" w:eastAsia="Times New Roman"/>
        </w:rPr>
        <w:t xml:space="preserve"> Evidence: </w:t>
      </w:r>
      <w:r>
        <w:rPr>
          <w:rFonts w:ascii="Consolas" w:hAnsi="Consolas" w:cs="Consolas" w:eastAsia="Consolas"/>
          <w:sz w:val="21"/>
        </w:rPr>
        <w:t>local_shap</w:t>
      </w:r>
      <w:r>
        <w:rPr>
          <w:rFonts w:ascii="Times New Roman" w:hAnsi="Times New Roman" w:cs="Times New Roman" w:eastAsia="Times New Roman"/>
        </w:rPr>
        <w:t xml:space="preserve"> and </w:t>
      </w:r>
      <w:r>
        <w:rPr>
          <w:rFonts w:ascii="Consolas" w:hAnsi="Consolas" w:cs="Consolas" w:eastAsia="Consolas"/>
          <w:sz w:val="21"/>
        </w:rPr>
        <w:t>build_insights</w:t>
      </w:r>
      <w:r>
        <w:rPr>
          <w:rFonts w:ascii="Times New Roman" w:hAnsi="Times New Roman" w:cs="Times New Roman" w:eastAsia="Times New Roman"/>
        </w:rPr>
        <w:t xml:space="preserve"> in </w:t>
      </w:r>
      <w:r>
        <w:rPr>
          <w:rFonts w:ascii="Consolas" w:hAnsi="Consolas" w:cs="Consolas" w:eastAsia="Consolas"/>
          <w:sz w:val="21"/>
        </w:rPr>
        <w:t>app/services/predictor.py</w:t>
      </w:r>
      <w:r>
        <w:rPr>
          <w:rFonts w:ascii="Times New Roman" w:hAnsi="Times New Roman" w:cs="Times New Roman" w:eastAsia="Times New Roman"/>
        </w:rPr>
        <w:t xml:space="preserve"> and the </w:t>
      </w:r>
      <w:r>
        <w:rPr>
          <w:rFonts w:ascii="Times New Roman" w:hAnsi="Times New Roman" w:cs="Times New Roman" w:eastAsia="Times New Roman"/>
          <w:i/>
        </w:rPr>
        <w:t>What shaped your score</w:t>
      </w:r>
      <w:r>
        <w:rPr>
          <w:rFonts w:ascii="Times New Roman" w:hAnsi="Times New Roman" w:cs="Times New Roman" w:eastAsia="Times New Roman"/>
        </w:rPr>
        <w:t xml:space="preserve"> panel on the result screen.</w:t>
      </w:r>
    </w:p>
    <w:p>
      <w:r>
        <w:rPr>
          <w:rFonts w:ascii="Times New Roman" w:hAnsi="Times New Roman" w:cs="Times New Roman" w:eastAsia="Times New Roman"/>
          <w:i/>
        </w:rPr>
        <w:t>Contribution 5.</w:t>
      </w:r>
      <w:r>
        <w:rPr>
          <w:rFonts w:ascii="Times New Roman" w:hAnsi="Times New Roman" w:cs="Times New Roman" w:eastAsia="Times New Roman"/>
        </w:rPr>
        <w:t xml:space="preserve"> Evidence: </w:t>
      </w:r>
      <w:r>
        <w:rPr>
          <w:rFonts w:ascii="Consolas" w:hAnsi="Consolas" w:cs="Consolas" w:eastAsia="Consolas"/>
          <w:sz w:val="21"/>
        </w:rPr>
        <w:t>scripts/forecast.py</w:t>
      </w:r>
      <w:r>
        <w:rPr>
          <w:rFonts w:ascii="Times New Roman" w:hAnsi="Times New Roman" w:cs="Times New Roman" w:eastAsia="Times New Roman"/>
        </w:rPr>
        <w:t xml:space="preserve"> and </w:t>
      </w:r>
      <w:r>
        <w:rPr>
          <w:rFonts w:ascii="Consolas" w:hAnsi="Consolas" w:cs="Consolas" w:eastAsia="Consolas"/>
          <w:sz w:val="21"/>
        </w:rPr>
        <w:t>data/README.md</w:t>
      </w:r>
      <w:r>
        <w:rPr>
          <w:rFonts w:ascii="Times New Roman" w:hAnsi="Times New Roman" w:cs="Times New Roman" w:eastAsia="Times New Roman"/>
        </w:rPr>
        <w:t>, which state that the index is synthetic; the forecast screen repeats this in its interpretation text.</w:t>
      </w:r>
    </w:p>
    <w:p>
      <w:r>
        <w:rPr>
          <w:rFonts w:ascii="Times New Roman" w:hAnsi="Times New Roman" w:cs="Times New Roman" w:eastAsia="Times New Roman"/>
          <w:i/>
        </w:rPr>
        <w:t>Contribution 6.</w:t>
      </w:r>
      <w:r>
        <w:rPr>
          <w:rFonts w:ascii="Times New Roman" w:hAnsi="Times New Roman" w:cs="Times New Roman" w:eastAsia="Times New Roman"/>
        </w:rPr>
        <w:t xml:space="preserve"> Evidence: Chapter 8 tables and figures: confusion matrices, threshold analysis, calibration bins, profile-band rates, latency and test counts.</w:t>
      </w:r>
    </w:p>
    <w:sectPr w:rsidR="00FC693F" w:rsidRPr="0006063C" w:rsidSect="00034616">
      <w:footerReference w:type="default" r:id="rId9"/>
      <w:headerReference w:type="default" r:id="rId10"/>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cs="Times New Roman" w:eastAsia="Times New Roman"/>
        <w:b w:val="0"/>
        <w:i/>
        <w:color w:val="555555"/>
        <w:sz w:val="20"/>
      </w:rPr>
      <w:t>FinSight AI  |  Methodology, Novelty and Key Contributions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200"/>
      <w:jc w:val="center"/>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40" w:lineRule="auto" w:after="40"/>
      <w:ind w:left="0"/>
      <w:jc w:val="left"/>
    </w:pPr>
    <w:rPr>
      <w:rFonts w:ascii="Times New Roman" w:hAnsi="Times New Roman"/>
      <w:sz w:val="22"/>
    </w:rPr>
  </w:style>
  <w:style w:type="paragraph" w:customStyle="1" w:styleId="TOC2">
    <w:name w:val="TOC 2"/>
    <w:basedOn w:val="Normal"/>
    <w:pPr>
      <w:spacing w:line="240" w:lineRule="auto" w:after="40"/>
      <w:ind w:left="360"/>
      <w:jc w:val="left"/>
    </w:pPr>
    <w:rPr>
      <w:rFonts w:ascii="Times New Roman" w:hAnsi="Times New Roman"/>
      <w:sz w:val="22"/>
    </w:rPr>
  </w:style>
  <w:style w:type="paragraph" w:customStyle="1" w:styleId="TableofFigures">
    <w:name w:val="Table of Figures"/>
    <w:basedOn w:val="Normal"/>
    <w:pPr>
      <w:spacing w:line="240" w:lineRule="auto" w:after="40"/>
      <w:ind w:left="0"/>
      <w:jc w:val="left"/>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