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2AAD" w:rsidRDefault="00D62AAD">
      <w:pPr>
        <w:spacing w:after="480" w:line="240" w:lineRule="auto"/>
      </w:pPr>
      <w:bookmarkStart w:id="0" w:name="_GoBack"/>
      <w:bookmarkEnd w:id="0"/>
    </w:p>
    <w:p w:rsidR="00D62AAD" w:rsidRDefault="00C636E0">
      <w:pPr>
        <w:jc w:val="center"/>
      </w:pPr>
      <w:r>
        <w:rPr>
          <w:rFonts w:cs="Times New Roman"/>
          <w:b/>
          <w:sz w:val="36"/>
        </w:rPr>
        <w:t>AI BASED PERSONAL FINANCE MANAGER</w:t>
      </w:r>
    </w:p>
    <w:p w:rsidR="00D62AAD" w:rsidRDefault="00C636E0">
      <w:pPr>
        <w:spacing w:after="280"/>
        <w:jc w:val="center"/>
      </w:pPr>
      <w:r>
        <w:rPr>
          <w:rFonts w:cs="Times New Roman"/>
          <w:b/>
          <w:sz w:val="28"/>
        </w:rPr>
        <w:t>Block Diagrams (all)</w:t>
      </w:r>
    </w:p>
    <w:p w:rsidR="00D62AAD" w:rsidRDefault="00C636E0">
      <w:pPr>
        <w:spacing w:after="40"/>
        <w:jc w:val="center"/>
      </w:pPr>
      <w:r>
        <w:rPr>
          <w:rFonts w:cs="Times New Roman"/>
        </w:rPr>
        <w:t>Department of Computer Science and Engineering, TKR College of Engineering &amp; Technology</w:t>
      </w:r>
    </w:p>
    <w:p w:rsidR="00D62AAD" w:rsidRDefault="00C636E0">
      <w:pPr>
        <w:spacing w:after="240"/>
        <w:jc w:val="center"/>
      </w:pPr>
      <w:r>
        <w:rPr>
          <w:rFonts w:cs="Times New Roman"/>
        </w:rPr>
        <w:t>Batch C11 (CSE-C)  ·  Academic year [ACADEMIC YEAR]</w:t>
      </w:r>
    </w:p>
    <w:p w:rsidR="00D62AAD" w:rsidRDefault="00C636E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62AAD">
        <w:trPr>
          <w:cantSplit/>
          <w:tblHeader/>
          <w:jc w:val="center"/>
        </w:trPr>
        <w:tc>
          <w:tcPr>
            <w:tcW w:w="1008" w:type="dxa"/>
            <w:shd w:val="clear" w:color="auto" w:fill="1B2A41"/>
          </w:tcPr>
          <w:p w:rsidR="00D62AAD" w:rsidRDefault="00C636E0">
            <w:pPr>
              <w:spacing w:after="40" w:line="240" w:lineRule="auto"/>
              <w:jc w:val="center"/>
            </w:pPr>
            <w:r>
              <w:rPr>
                <w:rFonts w:cs="Times New Roman"/>
                <w:b/>
                <w:color w:val="FFFFFF"/>
                <w:sz w:val="22"/>
              </w:rPr>
              <w:t>S.No.</w:t>
            </w:r>
          </w:p>
        </w:tc>
        <w:tc>
          <w:tcPr>
            <w:tcW w:w="4896" w:type="dxa"/>
            <w:shd w:val="clear" w:color="auto" w:fill="1B2A41"/>
          </w:tcPr>
          <w:p w:rsidR="00D62AAD" w:rsidRDefault="00C636E0">
            <w:pPr>
              <w:spacing w:after="40" w:line="240" w:lineRule="auto"/>
              <w:jc w:val="center"/>
            </w:pPr>
            <w:r>
              <w:rPr>
                <w:rFonts w:cs="Times New Roman"/>
                <w:b/>
                <w:color w:val="FFFFFF"/>
                <w:sz w:val="22"/>
              </w:rPr>
              <w:t>Student</w:t>
            </w:r>
            <w:r>
              <w:rPr>
                <w:rFonts w:cs="Times New Roman"/>
                <w:b/>
                <w:color w:val="FFFFFF"/>
                <w:sz w:val="22"/>
              </w:rPr>
              <w:t xml:space="preserve"> name</w:t>
            </w:r>
          </w:p>
        </w:tc>
        <w:tc>
          <w:tcPr>
            <w:tcW w:w="2592" w:type="dxa"/>
            <w:shd w:val="clear" w:color="auto" w:fill="1B2A41"/>
          </w:tcPr>
          <w:p w:rsidR="00D62AAD" w:rsidRDefault="00C636E0">
            <w:pPr>
              <w:spacing w:after="40" w:line="240" w:lineRule="auto"/>
              <w:jc w:val="center"/>
            </w:pPr>
            <w:r>
              <w:rPr>
                <w:rFonts w:cs="Times New Roman"/>
                <w:b/>
                <w:color w:val="FFFFFF"/>
                <w:sz w:val="22"/>
              </w:rPr>
              <w:t>Roll number</w:t>
            </w:r>
          </w:p>
        </w:tc>
      </w:tr>
      <w:tr w:rsidR="00D62AAD">
        <w:trPr>
          <w:cantSplit/>
          <w:jc w:val="center"/>
        </w:trPr>
        <w:tc>
          <w:tcPr>
            <w:tcW w:w="1008" w:type="dxa"/>
          </w:tcPr>
          <w:p w:rsidR="00D62AAD" w:rsidRDefault="00C636E0">
            <w:pPr>
              <w:spacing w:after="40" w:line="240" w:lineRule="auto"/>
              <w:jc w:val="center"/>
            </w:pPr>
            <w:r>
              <w:rPr>
                <w:rFonts w:cs="Times New Roman"/>
                <w:sz w:val="22"/>
              </w:rPr>
              <w:t>1</w:t>
            </w:r>
          </w:p>
        </w:tc>
        <w:tc>
          <w:tcPr>
            <w:tcW w:w="4896" w:type="dxa"/>
          </w:tcPr>
          <w:p w:rsidR="00D62AAD" w:rsidRDefault="00C636E0">
            <w:pPr>
              <w:spacing w:after="40" w:line="240" w:lineRule="auto"/>
              <w:jc w:val="left"/>
            </w:pPr>
            <w:r>
              <w:rPr>
                <w:rFonts w:cs="Times New Roman"/>
                <w:sz w:val="22"/>
              </w:rPr>
              <w:t>Mekala Kalyan</w:t>
            </w:r>
          </w:p>
        </w:tc>
        <w:tc>
          <w:tcPr>
            <w:tcW w:w="2592" w:type="dxa"/>
          </w:tcPr>
          <w:p w:rsidR="00D62AAD" w:rsidRDefault="00C636E0">
            <w:pPr>
              <w:spacing w:after="40" w:line="240" w:lineRule="auto"/>
              <w:jc w:val="center"/>
            </w:pPr>
            <w:r>
              <w:rPr>
                <w:rFonts w:cs="Times New Roman"/>
                <w:sz w:val="22"/>
              </w:rPr>
              <w:t>23K91A05F0</w:t>
            </w:r>
          </w:p>
        </w:tc>
      </w:tr>
      <w:tr w:rsidR="00D62AAD">
        <w:trPr>
          <w:cantSplit/>
          <w:jc w:val="center"/>
        </w:trPr>
        <w:tc>
          <w:tcPr>
            <w:tcW w:w="1008" w:type="dxa"/>
          </w:tcPr>
          <w:p w:rsidR="00D62AAD" w:rsidRDefault="00C636E0">
            <w:pPr>
              <w:spacing w:after="40" w:line="240" w:lineRule="auto"/>
              <w:jc w:val="center"/>
            </w:pPr>
            <w:r>
              <w:rPr>
                <w:rFonts w:cs="Times New Roman"/>
                <w:sz w:val="22"/>
              </w:rPr>
              <w:t>2</w:t>
            </w:r>
          </w:p>
        </w:tc>
        <w:tc>
          <w:tcPr>
            <w:tcW w:w="4896" w:type="dxa"/>
          </w:tcPr>
          <w:p w:rsidR="00D62AAD" w:rsidRDefault="00C636E0">
            <w:pPr>
              <w:spacing w:after="40" w:line="240" w:lineRule="auto"/>
              <w:jc w:val="left"/>
            </w:pPr>
            <w:r>
              <w:rPr>
                <w:rFonts w:cs="Times New Roman"/>
                <w:sz w:val="22"/>
              </w:rPr>
              <w:t>Rajanala Sai Hemanth</w:t>
            </w:r>
          </w:p>
        </w:tc>
        <w:tc>
          <w:tcPr>
            <w:tcW w:w="2592" w:type="dxa"/>
          </w:tcPr>
          <w:p w:rsidR="00D62AAD" w:rsidRDefault="00C636E0">
            <w:pPr>
              <w:spacing w:after="40" w:line="240" w:lineRule="auto"/>
              <w:jc w:val="center"/>
            </w:pPr>
            <w:r>
              <w:rPr>
                <w:rFonts w:cs="Times New Roman"/>
                <w:sz w:val="22"/>
              </w:rPr>
              <w:t>23K91A05K3</w:t>
            </w:r>
          </w:p>
        </w:tc>
      </w:tr>
      <w:tr w:rsidR="00D62AAD">
        <w:trPr>
          <w:cantSplit/>
          <w:jc w:val="center"/>
        </w:trPr>
        <w:tc>
          <w:tcPr>
            <w:tcW w:w="1008" w:type="dxa"/>
          </w:tcPr>
          <w:p w:rsidR="00D62AAD" w:rsidRDefault="00C636E0">
            <w:pPr>
              <w:spacing w:after="40" w:line="240" w:lineRule="auto"/>
              <w:jc w:val="center"/>
            </w:pPr>
            <w:r>
              <w:rPr>
                <w:rFonts w:cs="Times New Roman"/>
                <w:sz w:val="22"/>
              </w:rPr>
              <w:t>3</w:t>
            </w:r>
          </w:p>
        </w:tc>
        <w:tc>
          <w:tcPr>
            <w:tcW w:w="4896" w:type="dxa"/>
          </w:tcPr>
          <w:p w:rsidR="00D62AAD" w:rsidRDefault="00C636E0">
            <w:pPr>
              <w:spacing w:after="40" w:line="240" w:lineRule="auto"/>
              <w:jc w:val="left"/>
            </w:pPr>
            <w:r>
              <w:rPr>
                <w:rFonts w:cs="Times New Roman"/>
                <w:sz w:val="22"/>
              </w:rPr>
              <w:t>Middala Surya Teja Reddy</w:t>
            </w:r>
          </w:p>
        </w:tc>
        <w:tc>
          <w:tcPr>
            <w:tcW w:w="2592" w:type="dxa"/>
          </w:tcPr>
          <w:p w:rsidR="00D62AAD" w:rsidRDefault="00C636E0">
            <w:pPr>
              <w:spacing w:after="40" w:line="240" w:lineRule="auto"/>
              <w:jc w:val="center"/>
            </w:pPr>
            <w:r>
              <w:rPr>
                <w:rFonts w:cs="Times New Roman"/>
                <w:sz w:val="22"/>
              </w:rPr>
              <w:t>23K91A05F2</w:t>
            </w:r>
          </w:p>
        </w:tc>
      </w:tr>
      <w:tr w:rsidR="00D62AAD">
        <w:trPr>
          <w:cantSplit/>
          <w:jc w:val="center"/>
        </w:trPr>
        <w:tc>
          <w:tcPr>
            <w:tcW w:w="1008" w:type="dxa"/>
          </w:tcPr>
          <w:p w:rsidR="00D62AAD" w:rsidRDefault="00C636E0">
            <w:pPr>
              <w:spacing w:after="40" w:line="240" w:lineRule="auto"/>
              <w:jc w:val="center"/>
            </w:pPr>
            <w:r>
              <w:rPr>
                <w:rFonts w:cs="Times New Roman"/>
                <w:sz w:val="22"/>
              </w:rPr>
              <w:t>4</w:t>
            </w:r>
          </w:p>
        </w:tc>
        <w:tc>
          <w:tcPr>
            <w:tcW w:w="4896" w:type="dxa"/>
          </w:tcPr>
          <w:p w:rsidR="00D62AAD" w:rsidRDefault="00C636E0">
            <w:pPr>
              <w:spacing w:after="40" w:line="240" w:lineRule="auto"/>
              <w:jc w:val="left"/>
            </w:pPr>
            <w:r>
              <w:rPr>
                <w:rFonts w:cs="Times New Roman"/>
                <w:sz w:val="22"/>
              </w:rPr>
              <w:t>Manga Akash</w:t>
            </w:r>
          </w:p>
        </w:tc>
        <w:tc>
          <w:tcPr>
            <w:tcW w:w="2592" w:type="dxa"/>
          </w:tcPr>
          <w:p w:rsidR="00D62AAD" w:rsidRDefault="00C636E0">
            <w:pPr>
              <w:spacing w:after="40" w:line="240" w:lineRule="auto"/>
              <w:jc w:val="center"/>
            </w:pPr>
            <w:r>
              <w:rPr>
                <w:rFonts w:cs="Times New Roman"/>
                <w:sz w:val="22"/>
              </w:rPr>
              <w:t>23K91A05E5</w:t>
            </w:r>
          </w:p>
        </w:tc>
      </w:tr>
    </w:tbl>
    <w:p w:rsidR="00D62AAD" w:rsidRDefault="00D62AAD">
      <w:pPr>
        <w:spacing w:line="192" w:lineRule="auto"/>
      </w:pPr>
    </w:p>
    <w:p w:rsidR="00D62AAD" w:rsidRDefault="00C636E0">
      <w:pPr>
        <w:spacing w:after="200"/>
        <w:jc w:val="center"/>
      </w:pPr>
      <w:r>
        <w:rPr>
          <w:rFonts w:cs="Times New Roman"/>
          <w:b/>
        </w:rPr>
        <w:t>Project guide:</w:t>
      </w:r>
      <w:r>
        <w:rPr>
          <w:rFonts w:cs="Times New Roman"/>
        </w:rPr>
        <w:t xml:space="preserve"> N Padmavathi</w:t>
      </w:r>
    </w:p>
    <w:p w:rsidR="00D62AAD" w:rsidRDefault="00C636E0">
      <w:r>
        <w:rPr>
          <w:rFonts w:cs="Times New Roman"/>
          <w:i/>
          <w:sz w:val="21"/>
        </w:rPr>
        <w:t>Chapter and section numbers quoted in the text (for example Chapter 8 or Section</w:t>
      </w:r>
      <w:r>
        <w:rPr>
          <w:rFonts w:cs="Times New Roman"/>
          <w:i/>
          <w:sz w:val="21"/>
        </w:rPr>
        <w:t xml:space="preserve"> 6.2) refer to the full project report, 17.Final Document. Figures and tables in this document are numbered from 1.</w:t>
      </w:r>
    </w:p>
    <w:p w:rsidR="00D62AAD" w:rsidRDefault="00C636E0">
      <w:pPr>
        <w:pStyle w:val="Heading1"/>
      </w:pPr>
      <w:r>
        <w:t>1. INDEX OF DIAGRAMS</w:t>
      </w:r>
    </w:p>
    <w:p w:rsidR="00D62AAD" w:rsidRDefault="00C636E0">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database/models.py</w:t>
      </w:r>
      <w:r>
        <w:rPr>
          <w:rFonts w:cs="Times New Roman"/>
        </w:rPr>
        <w:t xml:space="preserve">, </w:t>
      </w:r>
      <w:r>
        <w:rPr>
          <w:rFonts w:ascii="Consolas" w:eastAsia="Consolas" w:hAnsi="Consolas" w:cs="Consolas"/>
          <w:sz w:val="21"/>
        </w:rPr>
        <w:t>backend/main.py</w:t>
      </w:r>
      <w:r>
        <w:rPr>
          <w:rFonts w:cs="Times New Roman"/>
        </w:rPr>
        <w:t xml:space="preserve">, </w:t>
      </w:r>
      <w:r>
        <w:rPr>
          <w:rFonts w:ascii="Consolas" w:eastAsia="Consolas" w:hAnsi="Consolas" w:cs="Consolas"/>
          <w:sz w:val="21"/>
        </w:rPr>
        <w:t>services/</w:t>
      </w:r>
      <w:r>
        <w:rPr>
          <w:rFonts w:cs="Times New Roman"/>
        </w:rPr>
        <w:t xml:space="preserve">, </w:t>
      </w:r>
      <w:r>
        <w:rPr>
          <w:rFonts w:ascii="Consolas" w:eastAsia="Consolas" w:hAnsi="Consolas" w:cs="Consolas"/>
          <w:sz w:val="21"/>
        </w:rPr>
        <w:t>ml/</w:t>
      </w:r>
      <w:r>
        <w:rPr>
          <w:rFonts w:cs="Times New Roman"/>
        </w:rPr>
        <w:t xml:space="preserve"> and </w:t>
      </w:r>
      <w:r>
        <w:rPr>
          <w:rFonts w:ascii="Consolas" w:eastAsia="Consolas" w:hAnsi="Consolas" w:cs="Consolas"/>
          <w:sz w:val="21"/>
        </w:rPr>
        <w:t>auth/authentication.py</w:t>
      </w:r>
      <w:r>
        <w:rPr>
          <w:rFonts w:cs="Times New Roman"/>
        </w:rPr>
        <w:t>. The entity-relationship diagram shows the six tables of the SQLite database exactly as the SQLAlchemy models define them.</w:t>
      </w:r>
    </w:p>
    <w:p w:rsidR="00D62AAD" w:rsidRDefault="00C636E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95"/>
        <w:gridCol w:w="3913"/>
        <w:gridCol w:w="4274"/>
      </w:tblGrid>
      <w:tr w:rsidR="00D62AAD">
        <w:trPr>
          <w:cantSplit/>
          <w:tblHeader/>
          <w:jc w:val="center"/>
        </w:trPr>
        <w:tc>
          <w:tcPr>
            <w:tcW w:w="720" w:type="dxa"/>
            <w:shd w:val="clear" w:color="auto" w:fill="1B2A41"/>
          </w:tcPr>
          <w:p w:rsidR="00D62AAD" w:rsidRDefault="00C636E0">
            <w:pPr>
              <w:spacing w:after="40" w:line="240" w:lineRule="auto"/>
              <w:jc w:val="center"/>
            </w:pPr>
            <w:r>
              <w:rPr>
                <w:rFonts w:cs="Times New Roman"/>
                <w:b/>
                <w:color w:val="FFFFFF"/>
                <w:sz w:val="21"/>
              </w:rPr>
              <w:t>No.</w:t>
            </w:r>
          </w:p>
        </w:tc>
        <w:tc>
          <w:tcPr>
            <w:tcW w:w="4320" w:type="dxa"/>
            <w:shd w:val="clear" w:color="auto" w:fill="1B2A41"/>
          </w:tcPr>
          <w:p w:rsidR="00D62AAD" w:rsidRDefault="00C636E0">
            <w:pPr>
              <w:spacing w:after="40" w:line="240" w:lineRule="auto"/>
              <w:jc w:val="center"/>
            </w:pPr>
            <w:r>
              <w:rPr>
                <w:rFonts w:cs="Times New Roman"/>
                <w:b/>
                <w:color w:val="FFFFFF"/>
                <w:sz w:val="21"/>
              </w:rPr>
              <w:t>Diagram</w:t>
            </w:r>
          </w:p>
        </w:tc>
        <w:tc>
          <w:tcPr>
            <w:tcW w:w="4032" w:type="dxa"/>
            <w:shd w:val="clear" w:color="auto" w:fill="1B2A41"/>
          </w:tcPr>
          <w:p w:rsidR="00D62AAD" w:rsidRDefault="00C636E0">
            <w:pPr>
              <w:spacing w:after="40" w:line="240" w:lineRule="auto"/>
              <w:jc w:val="center"/>
            </w:pPr>
            <w:r>
              <w:rPr>
                <w:rFonts w:cs="Times New Roman"/>
                <w:b/>
                <w:color w:val="FFFFFF"/>
                <w:sz w:val="21"/>
              </w:rPr>
              <w:t>Image file</w:t>
            </w:r>
          </w:p>
        </w:tc>
      </w:tr>
      <w:tr w:rsidR="00D62AAD">
        <w:trPr>
          <w:cantSplit/>
          <w:jc w:val="center"/>
        </w:trPr>
        <w:tc>
          <w:tcPr>
            <w:tcW w:w="720" w:type="dxa"/>
          </w:tcPr>
          <w:p w:rsidR="00D62AAD" w:rsidRDefault="00C636E0">
            <w:pPr>
              <w:spacing w:after="40" w:line="240" w:lineRule="auto"/>
              <w:jc w:val="center"/>
            </w:pPr>
            <w:r>
              <w:rPr>
                <w:rFonts w:cs="Times New Roman"/>
                <w:sz w:val="21"/>
              </w:rPr>
              <w:t>1</w:t>
            </w:r>
          </w:p>
        </w:tc>
        <w:tc>
          <w:tcPr>
            <w:tcW w:w="4320" w:type="dxa"/>
          </w:tcPr>
          <w:p w:rsidR="00D62AAD" w:rsidRDefault="00C636E0">
            <w:pPr>
              <w:spacing w:after="40" w:line="240" w:lineRule="auto"/>
              <w:jc w:val="left"/>
            </w:pPr>
            <w:r>
              <w:rPr>
                <w:rFonts w:cs="Times New Roman"/>
                <w:sz w:val="21"/>
              </w:rPr>
              <w:t>System architecture</w:t>
            </w:r>
          </w:p>
        </w:tc>
        <w:tc>
          <w:tcPr>
            <w:tcW w:w="4032" w:type="dxa"/>
          </w:tcPr>
          <w:p w:rsidR="00D62AAD" w:rsidRDefault="00C636E0">
            <w:pPr>
              <w:spacing w:after="40" w:line="240" w:lineRule="auto"/>
              <w:jc w:val="left"/>
            </w:pPr>
            <w:r>
              <w:rPr>
                <w:rFonts w:ascii="Consolas" w:eastAsia="Consolas" w:hAnsi="Consolas" w:cs="Consolas"/>
                <w:sz w:val="18"/>
              </w:rPr>
              <w:t>docs/diagrams/01_system_architecture.png</w:t>
            </w:r>
          </w:p>
        </w:tc>
      </w:tr>
      <w:tr w:rsidR="00D62AAD">
        <w:trPr>
          <w:cantSplit/>
          <w:jc w:val="center"/>
        </w:trPr>
        <w:tc>
          <w:tcPr>
            <w:tcW w:w="720" w:type="dxa"/>
          </w:tcPr>
          <w:p w:rsidR="00D62AAD" w:rsidRDefault="00C636E0">
            <w:pPr>
              <w:spacing w:after="40" w:line="240" w:lineRule="auto"/>
              <w:jc w:val="center"/>
            </w:pPr>
            <w:r>
              <w:rPr>
                <w:rFonts w:cs="Times New Roman"/>
                <w:sz w:val="21"/>
              </w:rPr>
              <w:t>2</w:t>
            </w:r>
          </w:p>
        </w:tc>
        <w:tc>
          <w:tcPr>
            <w:tcW w:w="4320" w:type="dxa"/>
          </w:tcPr>
          <w:p w:rsidR="00D62AAD" w:rsidRDefault="00C636E0">
            <w:pPr>
              <w:spacing w:after="40" w:line="240" w:lineRule="auto"/>
              <w:jc w:val="left"/>
            </w:pPr>
            <w:r>
              <w:rPr>
                <w:rFonts w:cs="Times New Roman"/>
                <w:sz w:val="21"/>
              </w:rPr>
              <w:t>High-level workflow</w:t>
            </w:r>
          </w:p>
        </w:tc>
        <w:tc>
          <w:tcPr>
            <w:tcW w:w="4032" w:type="dxa"/>
          </w:tcPr>
          <w:p w:rsidR="00D62AAD" w:rsidRDefault="00C636E0">
            <w:pPr>
              <w:spacing w:after="40" w:line="240" w:lineRule="auto"/>
              <w:jc w:val="left"/>
            </w:pPr>
            <w:r>
              <w:rPr>
                <w:rFonts w:ascii="Consolas" w:eastAsia="Consolas" w:hAnsi="Consolas" w:cs="Consolas"/>
                <w:sz w:val="18"/>
              </w:rPr>
              <w:t>docs/diagrams/02_high_level_workflow.png</w:t>
            </w:r>
          </w:p>
        </w:tc>
      </w:tr>
      <w:tr w:rsidR="00D62AAD">
        <w:trPr>
          <w:cantSplit/>
          <w:jc w:val="center"/>
        </w:trPr>
        <w:tc>
          <w:tcPr>
            <w:tcW w:w="720" w:type="dxa"/>
          </w:tcPr>
          <w:p w:rsidR="00D62AAD" w:rsidRDefault="00C636E0">
            <w:pPr>
              <w:spacing w:after="40" w:line="240" w:lineRule="auto"/>
              <w:jc w:val="center"/>
            </w:pPr>
            <w:r>
              <w:rPr>
                <w:rFonts w:cs="Times New Roman"/>
                <w:sz w:val="21"/>
              </w:rPr>
              <w:t>3</w:t>
            </w:r>
          </w:p>
        </w:tc>
        <w:tc>
          <w:tcPr>
            <w:tcW w:w="4320" w:type="dxa"/>
          </w:tcPr>
          <w:p w:rsidR="00D62AAD" w:rsidRDefault="00C636E0">
            <w:pPr>
              <w:spacing w:after="40" w:line="240" w:lineRule="auto"/>
              <w:jc w:val="left"/>
            </w:pPr>
            <w:r>
              <w:rPr>
                <w:rFonts w:cs="Times New Roman"/>
                <w:sz w:val="21"/>
              </w:rPr>
              <w:t>Data flow diagram, level 0</w:t>
            </w:r>
          </w:p>
        </w:tc>
        <w:tc>
          <w:tcPr>
            <w:tcW w:w="4032" w:type="dxa"/>
          </w:tcPr>
          <w:p w:rsidR="00D62AAD" w:rsidRDefault="00C636E0">
            <w:pPr>
              <w:spacing w:after="40" w:line="240" w:lineRule="auto"/>
              <w:jc w:val="left"/>
            </w:pPr>
            <w:r>
              <w:rPr>
                <w:rFonts w:ascii="Consolas" w:eastAsia="Consolas" w:hAnsi="Consolas" w:cs="Consolas"/>
                <w:sz w:val="18"/>
              </w:rPr>
              <w:t>docs/diagrams/03_dfd_level0.png</w:t>
            </w:r>
          </w:p>
        </w:tc>
      </w:tr>
      <w:tr w:rsidR="00D62AAD">
        <w:trPr>
          <w:cantSplit/>
          <w:jc w:val="center"/>
        </w:trPr>
        <w:tc>
          <w:tcPr>
            <w:tcW w:w="720" w:type="dxa"/>
          </w:tcPr>
          <w:p w:rsidR="00D62AAD" w:rsidRDefault="00C636E0">
            <w:pPr>
              <w:spacing w:after="40" w:line="240" w:lineRule="auto"/>
              <w:jc w:val="center"/>
            </w:pPr>
            <w:r>
              <w:rPr>
                <w:rFonts w:cs="Times New Roman"/>
                <w:sz w:val="21"/>
              </w:rPr>
              <w:t>4</w:t>
            </w:r>
          </w:p>
        </w:tc>
        <w:tc>
          <w:tcPr>
            <w:tcW w:w="4320" w:type="dxa"/>
          </w:tcPr>
          <w:p w:rsidR="00D62AAD" w:rsidRDefault="00C636E0">
            <w:pPr>
              <w:spacing w:after="40" w:line="240" w:lineRule="auto"/>
              <w:jc w:val="left"/>
            </w:pPr>
            <w:r>
              <w:rPr>
                <w:rFonts w:cs="Times New Roman"/>
                <w:sz w:val="21"/>
              </w:rPr>
              <w:t>Data flow diagram, level 1</w:t>
            </w:r>
          </w:p>
        </w:tc>
        <w:tc>
          <w:tcPr>
            <w:tcW w:w="4032" w:type="dxa"/>
          </w:tcPr>
          <w:p w:rsidR="00D62AAD" w:rsidRDefault="00C636E0">
            <w:pPr>
              <w:spacing w:after="40" w:line="240" w:lineRule="auto"/>
              <w:jc w:val="left"/>
            </w:pPr>
            <w:r>
              <w:rPr>
                <w:rFonts w:ascii="Consolas" w:eastAsia="Consolas" w:hAnsi="Consolas" w:cs="Consolas"/>
                <w:sz w:val="18"/>
              </w:rPr>
              <w:t>docs/diagrams/04_dfd_level1.png</w:t>
            </w:r>
          </w:p>
        </w:tc>
      </w:tr>
      <w:tr w:rsidR="00D62AAD">
        <w:trPr>
          <w:cantSplit/>
          <w:jc w:val="center"/>
        </w:trPr>
        <w:tc>
          <w:tcPr>
            <w:tcW w:w="720" w:type="dxa"/>
          </w:tcPr>
          <w:p w:rsidR="00D62AAD" w:rsidRDefault="00C636E0">
            <w:pPr>
              <w:spacing w:after="40" w:line="240" w:lineRule="auto"/>
              <w:jc w:val="center"/>
            </w:pPr>
            <w:r>
              <w:rPr>
                <w:rFonts w:cs="Times New Roman"/>
                <w:sz w:val="21"/>
              </w:rPr>
              <w:t>5</w:t>
            </w:r>
          </w:p>
        </w:tc>
        <w:tc>
          <w:tcPr>
            <w:tcW w:w="4320" w:type="dxa"/>
          </w:tcPr>
          <w:p w:rsidR="00D62AAD" w:rsidRDefault="00C636E0">
            <w:pPr>
              <w:spacing w:after="40" w:line="240" w:lineRule="auto"/>
              <w:jc w:val="left"/>
            </w:pPr>
            <w:r>
              <w:rPr>
                <w:rFonts w:cs="Times New Roman"/>
                <w:sz w:val="21"/>
              </w:rPr>
              <w:t>Data flow diagram, level 2 (process 4.0)</w:t>
            </w:r>
          </w:p>
        </w:tc>
        <w:tc>
          <w:tcPr>
            <w:tcW w:w="4032" w:type="dxa"/>
          </w:tcPr>
          <w:p w:rsidR="00D62AAD" w:rsidRDefault="00C636E0">
            <w:pPr>
              <w:spacing w:after="40" w:line="240" w:lineRule="auto"/>
              <w:jc w:val="left"/>
            </w:pPr>
            <w:r>
              <w:rPr>
                <w:rFonts w:ascii="Consolas" w:eastAsia="Consolas" w:hAnsi="Consolas" w:cs="Consolas"/>
                <w:sz w:val="18"/>
              </w:rPr>
              <w:t>docs/diagrams/05_dfd_level2.png</w:t>
            </w:r>
          </w:p>
        </w:tc>
      </w:tr>
      <w:tr w:rsidR="00D62AAD">
        <w:trPr>
          <w:cantSplit/>
          <w:jc w:val="center"/>
        </w:trPr>
        <w:tc>
          <w:tcPr>
            <w:tcW w:w="720" w:type="dxa"/>
          </w:tcPr>
          <w:p w:rsidR="00D62AAD" w:rsidRDefault="00C636E0">
            <w:pPr>
              <w:spacing w:after="40" w:line="240" w:lineRule="auto"/>
              <w:jc w:val="center"/>
            </w:pPr>
            <w:r>
              <w:rPr>
                <w:rFonts w:cs="Times New Roman"/>
                <w:sz w:val="21"/>
              </w:rPr>
              <w:t>6</w:t>
            </w:r>
          </w:p>
        </w:tc>
        <w:tc>
          <w:tcPr>
            <w:tcW w:w="4320" w:type="dxa"/>
          </w:tcPr>
          <w:p w:rsidR="00D62AAD" w:rsidRDefault="00C636E0">
            <w:pPr>
              <w:spacing w:after="40" w:line="240" w:lineRule="auto"/>
              <w:jc w:val="left"/>
            </w:pPr>
            <w:r>
              <w:rPr>
                <w:rFonts w:cs="Times New Roman"/>
                <w:sz w:val="21"/>
              </w:rPr>
              <w:t>UML class diagram</w:t>
            </w:r>
          </w:p>
        </w:tc>
        <w:tc>
          <w:tcPr>
            <w:tcW w:w="4032" w:type="dxa"/>
          </w:tcPr>
          <w:p w:rsidR="00D62AAD" w:rsidRDefault="00C636E0">
            <w:pPr>
              <w:spacing w:after="40" w:line="240" w:lineRule="auto"/>
              <w:jc w:val="left"/>
            </w:pPr>
            <w:r>
              <w:rPr>
                <w:rFonts w:ascii="Consolas" w:eastAsia="Consolas" w:hAnsi="Consolas" w:cs="Consolas"/>
                <w:sz w:val="18"/>
              </w:rPr>
              <w:t>docs/diagrams/06_uml_class.png</w:t>
            </w:r>
          </w:p>
        </w:tc>
      </w:tr>
      <w:tr w:rsidR="00D62AAD">
        <w:trPr>
          <w:cantSplit/>
          <w:jc w:val="center"/>
        </w:trPr>
        <w:tc>
          <w:tcPr>
            <w:tcW w:w="720" w:type="dxa"/>
          </w:tcPr>
          <w:p w:rsidR="00D62AAD" w:rsidRDefault="00C636E0">
            <w:pPr>
              <w:spacing w:after="40" w:line="240" w:lineRule="auto"/>
              <w:jc w:val="center"/>
            </w:pPr>
            <w:r>
              <w:rPr>
                <w:rFonts w:cs="Times New Roman"/>
                <w:sz w:val="21"/>
              </w:rPr>
              <w:t>7</w:t>
            </w:r>
          </w:p>
        </w:tc>
        <w:tc>
          <w:tcPr>
            <w:tcW w:w="4320" w:type="dxa"/>
          </w:tcPr>
          <w:p w:rsidR="00D62AAD" w:rsidRDefault="00C636E0">
            <w:pPr>
              <w:spacing w:after="40" w:line="240" w:lineRule="auto"/>
              <w:jc w:val="left"/>
            </w:pPr>
            <w:r>
              <w:rPr>
                <w:rFonts w:cs="Times New Roman"/>
                <w:sz w:val="21"/>
              </w:rPr>
              <w:t>Sequence diagram of the main fl</w:t>
            </w:r>
            <w:r>
              <w:rPr>
                <w:rFonts w:cs="Times New Roman"/>
                <w:sz w:val="21"/>
              </w:rPr>
              <w:t>ow</w:t>
            </w:r>
          </w:p>
        </w:tc>
        <w:tc>
          <w:tcPr>
            <w:tcW w:w="4032" w:type="dxa"/>
          </w:tcPr>
          <w:p w:rsidR="00D62AAD" w:rsidRDefault="00C636E0">
            <w:pPr>
              <w:spacing w:after="40" w:line="240" w:lineRule="auto"/>
              <w:jc w:val="left"/>
            </w:pPr>
            <w:r>
              <w:rPr>
                <w:rFonts w:ascii="Consolas" w:eastAsia="Consolas" w:hAnsi="Consolas" w:cs="Consolas"/>
                <w:sz w:val="18"/>
              </w:rPr>
              <w:t>docs/diagrams/07_sequence_diagram.png</w:t>
            </w:r>
          </w:p>
        </w:tc>
      </w:tr>
      <w:tr w:rsidR="00D62AAD">
        <w:trPr>
          <w:cantSplit/>
          <w:jc w:val="center"/>
        </w:trPr>
        <w:tc>
          <w:tcPr>
            <w:tcW w:w="720" w:type="dxa"/>
          </w:tcPr>
          <w:p w:rsidR="00D62AAD" w:rsidRDefault="00C636E0">
            <w:pPr>
              <w:spacing w:after="40" w:line="240" w:lineRule="auto"/>
              <w:jc w:val="center"/>
            </w:pPr>
            <w:r>
              <w:rPr>
                <w:rFonts w:cs="Times New Roman"/>
                <w:sz w:val="21"/>
              </w:rPr>
              <w:t>8</w:t>
            </w:r>
          </w:p>
        </w:tc>
        <w:tc>
          <w:tcPr>
            <w:tcW w:w="4320" w:type="dxa"/>
          </w:tcPr>
          <w:p w:rsidR="00D62AAD" w:rsidRDefault="00C636E0">
            <w:pPr>
              <w:spacing w:after="40" w:line="240" w:lineRule="auto"/>
              <w:jc w:val="left"/>
            </w:pPr>
            <w:r>
              <w:rPr>
                <w:rFonts w:cs="Times New Roman"/>
                <w:sz w:val="21"/>
              </w:rPr>
              <w:t>Use-case diagram</w:t>
            </w:r>
          </w:p>
        </w:tc>
        <w:tc>
          <w:tcPr>
            <w:tcW w:w="4032" w:type="dxa"/>
          </w:tcPr>
          <w:p w:rsidR="00D62AAD" w:rsidRDefault="00C636E0">
            <w:pPr>
              <w:spacing w:after="40" w:line="240" w:lineRule="auto"/>
              <w:jc w:val="left"/>
            </w:pPr>
            <w:r>
              <w:rPr>
                <w:rFonts w:ascii="Consolas" w:eastAsia="Consolas" w:hAnsi="Consolas" w:cs="Consolas"/>
                <w:sz w:val="18"/>
              </w:rPr>
              <w:t>docs/diagrams/08_use_case.png</w:t>
            </w:r>
          </w:p>
        </w:tc>
      </w:tr>
      <w:tr w:rsidR="00D62AAD">
        <w:trPr>
          <w:cantSplit/>
          <w:jc w:val="center"/>
        </w:trPr>
        <w:tc>
          <w:tcPr>
            <w:tcW w:w="720" w:type="dxa"/>
          </w:tcPr>
          <w:p w:rsidR="00D62AAD" w:rsidRDefault="00C636E0">
            <w:pPr>
              <w:spacing w:after="40" w:line="240" w:lineRule="auto"/>
              <w:jc w:val="center"/>
            </w:pPr>
            <w:r>
              <w:rPr>
                <w:rFonts w:cs="Times New Roman"/>
                <w:sz w:val="21"/>
              </w:rPr>
              <w:t>9</w:t>
            </w:r>
          </w:p>
        </w:tc>
        <w:tc>
          <w:tcPr>
            <w:tcW w:w="4320" w:type="dxa"/>
          </w:tcPr>
          <w:p w:rsidR="00D62AAD" w:rsidRDefault="00C636E0">
            <w:pPr>
              <w:spacing w:after="40" w:line="240" w:lineRule="auto"/>
              <w:jc w:val="left"/>
            </w:pPr>
            <w:r>
              <w:rPr>
                <w:rFonts w:cs="Times New Roman"/>
                <w:sz w:val="21"/>
              </w:rPr>
              <w:t>Entity-relationship diagram</w:t>
            </w:r>
          </w:p>
        </w:tc>
        <w:tc>
          <w:tcPr>
            <w:tcW w:w="4032" w:type="dxa"/>
          </w:tcPr>
          <w:p w:rsidR="00D62AAD" w:rsidRDefault="00C636E0">
            <w:pPr>
              <w:spacing w:after="40" w:line="240" w:lineRule="auto"/>
              <w:jc w:val="left"/>
            </w:pPr>
            <w:r>
              <w:rPr>
                <w:rFonts w:ascii="Consolas" w:eastAsia="Consolas" w:hAnsi="Consolas" w:cs="Consolas"/>
                <w:sz w:val="18"/>
              </w:rPr>
              <w:t>docs/diagrams/09_er_diagram.png</w:t>
            </w:r>
          </w:p>
        </w:tc>
      </w:tr>
      <w:tr w:rsidR="00D62AAD">
        <w:trPr>
          <w:cantSplit/>
          <w:jc w:val="center"/>
        </w:trPr>
        <w:tc>
          <w:tcPr>
            <w:tcW w:w="720" w:type="dxa"/>
          </w:tcPr>
          <w:p w:rsidR="00D62AAD" w:rsidRDefault="00C636E0">
            <w:pPr>
              <w:spacing w:after="40" w:line="240" w:lineRule="auto"/>
              <w:jc w:val="center"/>
            </w:pPr>
            <w:r>
              <w:rPr>
                <w:rFonts w:cs="Times New Roman"/>
                <w:sz w:val="21"/>
              </w:rPr>
              <w:t>10</w:t>
            </w:r>
          </w:p>
        </w:tc>
        <w:tc>
          <w:tcPr>
            <w:tcW w:w="4320" w:type="dxa"/>
          </w:tcPr>
          <w:p w:rsidR="00D62AAD" w:rsidRDefault="00C636E0">
            <w:pPr>
              <w:spacing w:after="40" w:line="240" w:lineRule="auto"/>
              <w:jc w:val="left"/>
            </w:pPr>
            <w:r>
              <w:rPr>
                <w:rFonts w:cs="Times New Roman"/>
                <w:sz w:val="21"/>
              </w:rPr>
              <w:t>Flowchart of the core algorithm</w:t>
            </w:r>
          </w:p>
        </w:tc>
        <w:tc>
          <w:tcPr>
            <w:tcW w:w="4032" w:type="dxa"/>
          </w:tcPr>
          <w:p w:rsidR="00D62AAD" w:rsidRDefault="00C636E0">
            <w:pPr>
              <w:spacing w:after="40" w:line="240" w:lineRule="auto"/>
              <w:jc w:val="left"/>
            </w:pPr>
            <w:r>
              <w:rPr>
                <w:rFonts w:ascii="Consolas" w:eastAsia="Consolas" w:hAnsi="Consolas" w:cs="Consolas"/>
                <w:sz w:val="18"/>
              </w:rPr>
              <w:t>docs/diagrams/10_flowchart_algorithm.png</w:t>
            </w:r>
          </w:p>
        </w:tc>
      </w:tr>
      <w:tr w:rsidR="00D62AAD">
        <w:trPr>
          <w:cantSplit/>
          <w:jc w:val="center"/>
        </w:trPr>
        <w:tc>
          <w:tcPr>
            <w:tcW w:w="720" w:type="dxa"/>
          </w:tcPr>
          <w:p w:rsidR="00D62AAD" w:rsidRDefault="00C636E0">
            <w:pPr>
              <w:spacing w:after="40" w:line="240" w:lineRule="auto"/>
              <w:jc w:val="center"/>
            </w:pPr>
            <w:r>
              <w:rPr>
                <w:rFonts w:cs="Times New Roman"/>
                <w:sz w:val="21"/>
              </w:rPr>
              <w:t>11</w:t>
            </w:r>
          </w:p>
        </w:tc>
        <w:tc>
          <w:tcPr>
            <w:tcW w:w="4320" w:type="dxa"/>
          </w:tcPr>
          <w:p w:rsidR="00D62AAD" w:rsidRDefault="00C636E0">
            <w:pPr>
              <w:spacing w:after="40" w:line="240" w:lineRule="auto"/>
              <w:jc w:val="left"/>
            </w:pPr>
            <w:r>
              <w:rPr>
                <w:rFonts w:cs="Times New Roman"/>
                <w:sz w:val="21"/>
              </w:rPr>
              <w:t xml:space="preserve">Expense categoriser </w:t>
            </w:r>
            <w:r>
              <w:rPr>
                <w:rFonts w:cs="Times New Roman"/>
                <w:sz w:val="21"/>
              </w:rPr>
              <w:t>pipeline</w:t>
            </w:r>
          </w:p>
        </w:tc>
        <w:tc>
          <w:tcPr>
            <w:tcW w:w="4032" w:type="dxa"/>
          </w:tcPr>
          <w:p w:rsidR="00D62AAD" w:rsidRDefault="00C636E0">
            <w:pPr>
              <w:spacing w:after="40" w:line="240" w:lineRule="auto"/>
              <w:jc w:val="left"/>
            </w:pPr>
            <w:r>
              <w:rPr>
                <w:rFonts w:ascii="Consolas" w:eastAsia="Consolas" w:hAnsi="Consolas" w:cs="Consolas"/>
                <w:sz w:val="18"/>
              </w:rPr>
              <w:t>docs/diagrams/11_categoriser_pipeline.png</w:t>
            </w:r>
          </w:p>
        </w:tc>
      </w:tr>
      <w:tr w:rsidR="00D62AAD">
        <w:trPr>
          <w:cantSplit/>
          <w:jc w:val="center"/>
        </w:trPr>
        <w:tc>
          <w:tcPr>
            <w:tcW w:w="720" w:type="dxa"/>
          </w:tcPr>
          <w:p w:rsidR="00D62AAD" w:rsidRDefault="00C636E0">
            <w:pPr>
              <w:spacing w:after="40" w:line="240" w:lineRule="auto"/>
              <w:jc w:val="center"/>
            </w:pPr>
            <w:r>
              <w:rPr>
                <w:rFonts w:cs="Times New Roman"/>
                <w:sz w:val="21"/>
              </w:rPr>
              <w:lastRenderedPageBreak/>
              <w:t>12</w:t>
            </w:r>
          </w:p>
        </w:tc>
        <w:tc>
          <w:tcPr>
            <w:tcW w:w="4320" w:type="dxa"/>
          </w:tcPr>
          <w:p w:rsidR="00D62AAD" w:rsidRDefault="00C636E0">
            <w:pPr>
              <w:spacing w:after="40" w:line="240" w:lineRule="auto"/>
              <w:jc w:val="left"/>
            </w:pPr>
            <w:r>
              <w:rPr>
                <w:rFonts w:cs="Times New Roman"/>
                <w:sz w:val="21"/>
              </w:rPr>
              <w:t>Financial health score model</w:t>
            </w:r>
          </w:p>
        </w:tc>
        <w:tc>
          <w:tcPr>
            <w:tcW w:w="4032" w:type="dxa"/>
          </w:tcPr>
          <w:p w:rsidR="00D62AAD" w:rsidRDefault="00C636E0">
            <w:pPr>
              <w:spacing w:after="40" w:line="240" w:lineRule="auto"/>
              <w:jc w:val="left"/>
            </w:pPr>
            <w:r>
              <w:rPr>
                <w:rFonts w:ascii="Consolas" w:eastAsia="Consolas" w:hAnsi="Consolas" w:cs="Consolas"/>
                <w:sz w:val="18"/>
              </w:rPr>
              <w:t>docs/diagrams/12_health_score_model.png</w:t>
            </w:r>
          </w:p>
        </w:tc>
      </w:tr>
    </w:tbl>
    <w:p w:rsidR="00D62AAD" w:rsidRDefault="00D62AAD">
      <w:pPr>
        <w:spacing w:line="192" w:lineRule="auto"/>
      </w:pPr>
    </w:p>
    <w:p w:rsidR="00D62AAD" w:rsidRDefault="00C636E0">
      <w:pPr>
        <w:pStyle w:val="Heading1"/>
        <w:pageBreakBefore/>
      </w:pPr>
      <w:r>
        <w:lastRenderedPageBreak/>
        <w:t>2. DIAGRAMS</w:t>
      </w:r>
    </w:p>
    <w:p w:rsidR="00D62AAD" w:rsidRDefault="00C636E0">
      <w:pPr>
        <w:pStyle w:val="Heading2"/>
      </w:pPr>
      <w:r>
        <w:t>System architecture</w:t>
      </w:r>
    </w:p>
    <w:p w:rsidR="00D62AAD" w:rsidRDefault="00C636E0">
      <w:pPr>
        <w:keepNext/>
        <w:spacing w:after="80" w:line="240" w:lineRule="auto"/>
        <w:jc w:val="center"/>
      </w:pPr>
      <w:r>
        <w:rPr>
          <w:noProof/>
        </w:rPr>
        <w:drawing>
          <wp:inline distT="0" distB="0" distL="0" distR="0">
            <wp:extent cx="5303520" cy="4146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146388"/>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Layered architecture of FINJARVIS: React single-page app, </w:t>
      </w:r>
      <w:r>
        <w:rPr>
          <w:rFonts w:cs="Times New Roman"/>
        </w:rPr>
        <w:t>FastAPI layer with 33 routes, services and ML modules, SQLAlchemy ORM and the SQLite file, with the optional price and LLM services shown dashed.</w:t>
      </w:r>
    </w:p>
    <w:p w:rsidR="00D62AAD" w:rsidRDefault="00C636E0">
      <w:r>
        <w:rPr>
          <w:rFonts w:cs="Times New Roman"/>
        </w:rPr>
        <w:t>The presentation tier is a React 18 and TypeScript single-page app (Vite, Tailwind v4, Recharts, TanStack Quer</w:t>
      </w:r>
      <w:r>
        <w:rPr>
          <w:rFonts w:cs="Times New Roman"/>
        </w:rPr>
        <w:t>y, Axios) with 13 pages, served on port 5411 and proxying every /api call to the FastAPI application on port 8411. The original Streamlit app (app.py and ui/) still exists and calls the same service functions over the same SQLite file. backend/main.py hold</w:t>
      </w:r>
      <w:r>
        <w:rPr>
          <w:rFonts w:cs="Times New Roman"/>
        </w:rPr>
        <w:t xml:space="preserve">s 33 routes and no business logic: it validates input with pydantic, reads the user id from an HMAC-SHA256 bearer token (7-day expiry) and calls the services. The services (transaction, budget, goal, investment, analytics, assistant, report, import) scope </w:t>
      </w:r>
      <w:r>
        <w:rPr>
          <w:rFonts w:cs="Times New Roman"/>
        </w:rPr>
        <w:t>every query by user_id, and three ML modules sit beside them: the TF-IDF and logistic-regression categoriser, the linear-trend forecaster built on numpy.polyfit, and the six-component health score. SQLAlchemy 2 maps six tables to finjarvis.db, the categori</w:t>
      </w:r>
      <w:r>
        <w:rPr>
          <w:rFonts w:cs="Times New Roman"/>
        </w:rPr>
        <w:t>ser's fitted pipeline is pickled to ml/expense_model.pkl, and the yfinance price refresh and the Anthropic LLM layer are optional and off by default.</w:t>
      </w:r>
    </w:p>
    <w:p w:rsidR="00D62AAD" w:rsidRDefault="00C636E0">
      <w:pPr>
        <w:pStyle w:val="Heading2"/>
      </w:pPr>
      <w:r>
        <w:lastRenderedPageBreak/>
        <w:t>High-level workflow</w:t>
      </w:r>
    </w:p>
    <w:p w:rsidR="00D62AAD" w:rsidRDefault="00C636E0">
      <w:pPr>
        <w:keepNext/>
        <w:spacing w:after="80" w:line="240" w:lineRule="auto"/>
        <w:jc w:val="center"/>
      </w:pPr>
      <w:r>
        <w:rPr>
          <w:noProof/>
        </w:rPr>
        <w:drawing>
          <wp:inline distT="0" distB="0" distL="0" distR="0">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2989257"/>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sign-up, data entry or impor</w:t>
      </w:r>
      <w:r>
        <w:rPr>
          <w:rFonts w:cs="Times New Roman"/>
        </w:rPr>
        <w:t>t, categorisation, storage, analysis, forecast, budgets, health score, goals, assistant, dashboard and reports.</w:t>
      </w:r>
    </w:p>
    <w:p w:rsidR="00D62AAD" w:rsidRDefault="00C636E0">
      <w:r>
        <w:rPr>
          <w:rFonts w:cs="Times New Roman"/>
        </w:rPr>
        <w:t>A user signs up or logs in (bcrypt-hashed password, signed token) and adds transactions by form or by importing a CSV or Excel file with a previ</w:t>
      </w:r>
      <w:r>
        <w:rPr>
          <w:rFonts w:cs="Times New Roman"/>
        </w:rPr>
        <w:t>ew. Each description is labelled by the TF-IDF and logistic-regression model, or by the category the user picked, and the row is stored under the user's id. A manual pick that differs from the model's label is treated as a correction and retrains the model</w:t>
      </w:r>
      <w:r>
        <w:rPr>
          <w:rFonts w:cs="Times New Roman"/>
        </w:rPr>
        <w:t xml:space="preserve"> on the seed list, the user's history and that pick. From the stored rows the analytics layer computes summary metrics, category totals and the monthly trend, and the forecaster fits a straight line to the monthly expense totals when at least three months </w:t>
      </w:r>
      <w:r>
        <w:rPr>
          <w:rFonts w:cs="Times New Roman"/>
        </w:rPr>
        <w:t>exist. Budgets compare the month's spending with each limit and raise alerts at 75, 90 and 100 percent, the health score combines six weighted components, and goals and holdings report their progress and value. The assistant answers questions from the same</w:t>
      </w:r>
      <w:r>
        <w:rPr>
          <w:rFonts w:cs="Times New Roman"/>
        </w:rPr>
        <w:t xml:space="preserve"> data, the dashboard shows the month at a glance and reports can be downloaded as PDF, Excel or CSV.</w:t>
      </w:r>
    </w:p>
    <w:p w:rsidR="00D62AAD" w:rsidRDefault="00C636E0">
      <w:pPr>
        <w:pStyle w:val="Heading2"/>
      </w:pPr>
      <w:r>
        <w:lastRenderedPageBreak/>
        <w:t>Data flow diagram, level 0</w:t>
      </w:r>
    </w:p>
    <w:p w:rsidR="00D62AAD" w:rsidRDefault="00C636E0">
      <w:pPr>
        <w:keepNext/>
        <w:spacing w:after="80" w:line="240" w:lineRule="auto"/>
        <w:jc w:val="center"/>
      </w:pPr>
      <w:r>
        <w:rPr>
          <w:noProof/>
        </w:rPr>
        <w:drawing>
          <wp:inline distT="0" distB="0" distL="0" distR="0">
            <wp:extent cx="5303520" cy="2410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410691"/>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FINJARVIS as one process with the user, the optional price s</w:t>
      </w:r>
      <w:r>
        <w:rPr>
          <w:rFonts w:cs="Times New Roman"/>
        </w:rPr>
        <w:t>ource and the optional LLM provider as external entities.</w:t>
      </w:r>
    </w:p>
    <w:p w:rsidR="00D62AAD" w:rsidRDefault="00C636E0">
      <w:r>
        <w:rPr>
          <w:rFonts w:cs="Times New Roman"/>
        </w:rPr>
        <w:t>At level 0 the whole product is one process. The user sends sign-up and login details, transactions, CSV or Excel files, budgets, goals, holdings and questions, and receives the dashboard, categorie</w:t>
      </w:r>
      <w:r>
        <w:rPr>
          <w:rFonts w:cs="Times New Roman"/>
        </w:rPr>
        <w:t xml:space="preserve">s, the forecast, the health score, budget alerts, answers and reports. The price source (yfinance) receives a ticker symbol and returns the latest price when a holding is refreshed; this needs internet access and was not exercised in the measurements. The </w:t>
      </w:r>
      <w:r>
        <w:rPr>
          <w:rFonts w:cs="Times New Roman"/>
        </w:rPr>
        <w:t>LLM provider receives a question and a summary of the user's data and returns free text, but only when AI_API_KEY is set; the rule-based answers do not leave the machine. No bank, SMS or payment system is connected.</w:t>
      </w:r>
    </w:p>
    <w:p w:rsidR="00D62AAD" w:rsidRDefault="00C636E0">
      <w:pPr>
        <w:pStyle w:val="Heading2"/>
      </w:pPr>
      <w:r>
        <w:lastRenderedPageBreak/>
        <w:t>Data flow diagram, level 1</w:t>
      </w:r>
    </w:p>
    <w:p w:rsidR="00D62AAD" w:rsidRDefault="00C636E0">
      <w:pPr>
        <w:keepNext/>
        <w:spacing w:after="80" w:line="240" w:lineRule="auto"/>
        <w:jc w:val="center"/>
      </w:pPr>
      <w:r>
        <w:rPr>
          <w:noProof/>
        </w:rPr>
        <w:drawing>
          <wp:inline distT="0" distB="0" distL="0" distR="0">
            <wp:extent cx="5303520" cy="45320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532099"/>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six processes (authenticate, record and categorise, manage budgets, goals and holdings, analyse and forecast, assistant and insights, reports and notifications) and seven data stores.</w:t>
      </w:r>
    </w:p>
    <w:p w:rsidR="00D62AAD" w:rsidRDefault="00C636E0">
      <w:r>
        <w:rPr>
          <w:rFonts w:cs="Times New Roman"/>
        </w:rPr>
        <w:t>Process 1.0 checks credentials agai</w:t>
      </w:r>
      <w:r>
        <w:rPr>
          <w:rFonts w:cs="Times New Roman"/>
        </w:rPr>
        <w:t>nst D1 (users) and returns a token. Process 2.0 predicts a category with the pickled model (D7), stores the transaction in D2 and, on a correction, rewrites D7; it also handles file import. Process 3.0 writes budgets (D3), goals (D4) and holdings (D5) and,</w:t>
      </w:r>
      <w:r>
        <w:rPr>
          <w:rFonts w:cs="Times New Roman"/>
        </w:rPr>
        <w:t xml:space="preserve"> for a holding, may ask the price source for a latest price. Process 4.0 reads D2 to D5 to build the dashboard, the analytics page, the forecast and the health score, and it raises budget alerts into D6 (notifications). Process 5.0 answers a question from </w:t>
      </w:r>
      <w:r>
        <w:rPr>
          <w:rFonts w:cs="Times New Roman"/>
        </w:rPr>
        <w:t>the same stores and may send a context summary to the optional LLM provider, and process 6.0 produces PDF, Excel and CSV reports and lists and marks notifications. Every process filters its reads and writes by the user id taken from the token.</w:t>
      </w:r>
    </w:p>
    <w:p w:rsidR="00D62AAD" w:rsidRDefault="00C636E0">
      <w:pPr>
        <w:pStyle w:val="Heading2"/>
      </w:pPr>
      <w:r>
        <w:lastRenderedPageBreak/>
        <w:t>Data flow di</w:t>
      </w:r>
      <w:r>
        <w:t>agram, level 2 (process 4.0)</w:t>
      </w:r>
    </w:p>
    <w:p w:rsidR="00D62AAD" w:rsidRDefault="00C636E0">
      <w:pPr>
        <w:keepNext/>
        <w:spacing w:after="80" w:line="240" w:lineRule="auto"/>
        <w:jc w:val="center"/>
      </w:pPr>
      <w:r>
        <w:rPr>
          <w:noProof/>
        </w:rPr>
        <w:drawing>
          <wp:inline distT="0" distB="0" distL="0" distR="0">
            <wp:extent cx="5303520" cy="43392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4339244"/>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of process 4.0: load the user's rows, compute metrics and category totals, build monthly expense totals, fit the linear trend, forecast categories and check budget overruns, and </w:t>
      </w:r>
      <w:r>
        <w:rPr>
          <w:rFonts w:cs="Times New Roman"/>
        </w:rPr>
        <w:t>score financial health.</w:t>
      </w:r>
    </w:p>
    <w:p w:rsidR="00D62AAD" w:rsidRDefault="00C636E0">
      <w:r>
        <w:rPr>
          <w:rFonts w:cs="Times New Roman"/>
        </w:rPr>
        <w:t xml:space="preserve">Process 4.0 starts by loading the signed-in user's transactions into a data frame (4.1) and computing the summary metrics and category totals (4.2). The monthly expense totals (4.3) feed the forecaster (4.4), which fits a </w:t>
      </w:r>
      <w:r>
        <w:rPr>
          <w:rFonts w:cs="Times New Roman"/>
        </w:rPr>
        <w:t>least-squares line with numpy.polyfit(x, y, 1), clips the next-month value at zero and labels the trend increasing, decreasing or stable using a slope threshold of one rupee per month; with fewer than three months it answers that no prediction is available</w:t>
      </w:r>
      <w:r>
        <w:rPr>
          <w:rFonts w:cs="Times New Roman"/>
        </w:rPr>
        <w:t>. Category trends are fitted the same way and compared with this month's budgets to list predicted overruns (4.5). The health score (4.6) combines the metrics with the budget status, goal progress and the asset types held. The results travel back to the us</w:t>
      </w:r>
      <w:r>
        <w:rPr>
          <w:rFonts w:cs="Times New Roman"/>
        </w:rPr>
        <w:t>er as JSON for the dashboard and analytics pages.</w:t>
      </w:r>
    </w:p>
    <w:p w:rsidR="00D62AAD" w:rsidRDefault="00C636E0">
      <w:pPr>
        <w:pStyle w:val="Heading2"/>
      </w:pPr>
      <w:r>
        <w:lastRenderedPageBreak/>
        <w:t>UML class diagram</w:t>
      </w:r>
    </w:p>
    <w:p w:rsidR="00D62AAD" w:rsidRDefault="00C636E0">
      <w:pPr>
        <w:keepNext/>
        <w:spacing w:after="80" w:line="240" w:lineRule="auto"/>
        <w:jc w:val="center"/>
      </w:pPr>
      <w:r>
        <w:rPr>
          <w:noProof/>
        </w:rPr>
        <w:drawing>
          <wp:inline distT="0" distB="0" distL="0" distR="0">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5303520"/>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six ORM entities (User with one-to-many links to Budget, FinancialGoal, Transaction, Investment and Notification) and the functi</w:t>
      </w:r>
      <w:r>
        <w:rPr>
          <w:rFonts w:cs="Times New Roman"/>
        </w:rPr>
        <w:t>on modules of ml/ and services/.</w:t>
      </w:r>
    </w:p>
    <w:p w:rsidR="00D62AAD" w:rsidRDefault="00C636E0">
      <w:r>
        <w:rPr>
          <w:rFonts w:cs="Times New Roman"/>
        </w:rPr>
        <w:t>The entity classes are exactly the SQLAlchemy models in database/models.py: User owns many Transactions, Budgets, FinancialGoals, Investments and Notifications through a user_id foreign key, and each relation uses cascade a</w:t>
      </w:r>
      <w:r>
        <w:rPr>
          <w:rFonts w:cs="Times New Roman"/>
        </w:rPr>
        <w:t>ll, delete-orphan. The orange boxes are the ML modules (the categoriser with predict_category and learn_from_correction, the forecaster with predict_next_month_expense, predict_category_spending and check_budget_overrun_risk, and calculate_financial_health</w:t>
      </w:r>
      <w:r>
        <w:rPr>
          <w:rFonts w:cs="Times New Roman"/>
        </w:rPr>
        <w:t xml:space="preserve"> with its six score functions). The purple boxes are two of the service modules, budget_service (status per category and the alert check) and ai_service (rule-routed answers and insights). These modules are </w:t>
      </w:r>
      <w:r>
        <w:rPr>
          <w:rFonts w:cs="Times New Roman"/>
        </w:rPr>
        <w:lastRenderedPageBreak/>
        <w:t>plain functions that take the user id and open th</w:t>
      </w:r>
      <w:r>
        <w:rPr>
          <w:rFonts w:cs="Times New Roman"/>
        </w:rPr>
        <w:t>eir own database session, so they appear as module boxes rather than classes with state.</w:t>
      </w:r>
    </w:p>
    <w:p w:rsidR="00D62AAD" w:rsidRDefault="00C636E0">
      <w:pPr>
        <w:pStyle w:val="Heading2"/>
      </w:pPr>
      <w:r>
        <w:t>Sequence diagram of the main flow</w:t>
      </w:r>
    </w:p>
    <w:p w:rsidR="00D62AAD" w:rsidRDefault="00C636E0">
      <w:pPr>
        <w:keepNext/>
        <w:spacing w:after="80" w:line="240" w:lineRule="auto"/>
        <w:jc w:val="center"/>
      </w:pPr>
      <w:r>
        <w:rPr>
          <w:noProof/>
        </w:rPr>
        <w:drawing>
          <wp:inline distT="0" distB="0" distL="0" distR="0">
            <wp:extent cx="5303520" cy="4628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303520" cy="4628527"/>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adding a transaction with automatic categorisation, then opening the dashboard</w:t>
      </w:r>
      <w:r>
        <w:rPr>
          <w:rFonts w:cs="Times New Roman"/>
        </w:rPr>
        <w:t>, which computes the budget status, raises alerts and scores financial health.</w:t>
      </w:r>
    </w:p>
    <w:p w:rsidR="00D62AAD" w:rsidRDefault="00C636E0">
      <w:r>
        <w:rPr>
          <w:rFonts w:cs="Times New Roman"/>
        </w:rPr>
        <w:t>The browser posts the new transaction with the bearer token; the API reads the token, loads the user row and calls predict_category on the description. Only when the user picked</w:t>
      </w:r>
      <w:r>
        <w:rPr>
          <w:rFonts w:cs="Times New Roman"/>
        </w:rPr>
        <w:t xml:space="preserve"> a category that differs from the prediction does the API call learn_from_correction, which retrains and re-saves the pickled model. add_transaction then inserts the row and the API answers 201 with the id and the category. When the dashboard is opened lat</w:t>
      </w:r>
      <w:r>
        <w:rPr>
          <w:rFonts w:cs="Times New Roman"/>
        </w:rPr>
        <w:t xml:space="preserve">er, the API asks the services for the summary metrics and the budget status, calls check_and_raise_alerts, which inserts a notification when a budget is at least 75 percent used and no identical message exists, and then calls </w:t>
      </w:r>
      <w:r>
        <w:rPr>
          <w:rFonts w:cs="Times New Roman"/>
        </w:rPr>
        <w:lastRenderedPageBreak/>
        <w:t>calculate_financial_health. Th</w:t>
      </w:r>
      <w:r>
        <w:rPr>
          <w:rFonts w:cs="Times New Roman"/>
        </w:rPr>
        <w:t>e combined JSON reaches the React page, which draws the cards, the health ring and the budget alerts.</w:t>
      </w:r>
    </w:p>
    <w:p w:rsidR="00D62AAD" w:rsidRDefault="00C636E0">
      <w:pPr>
        <w:pStyle w:val="Heading2"/>
      </w:pPr>
      <w:r>
        <w:t>Use-case diagram</w:t>
      </w:r>
    </w:p>
    <w:p w:rsidR="00D62AAD" w:rsidRDefault="00C636E0">
      <w:pPr>
        <w:keepNext/>
        <w:spacing w:after="80" w:line="240" w:lineRule="auto"/>
        <w:jc w:val="center"/>
      </w:pPr>
      <w:r>
        <w:rPr>
          <w:noProof/>
        </w:rPr>
        <w:drawing>
          <wp:inline distT="0" distB="0" distL="0" distR="0">
            <wp:extent cx="5303520" cy="40499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5303520" cy="4049961"/>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one actor, the signed-in user, with twelve use cases, three included behaviours an</w:t>
      </w:r>
      <w:r>
        <w:rPr>
          <w:rFonts w:cs="Times New Roman"/>
        </w:rPr>
        <w:t>d two optional extensions backed by external services.</w:t>
      </w:r>
    </w:p>
    <w:p w:rsidR="00D62AAD" w:rsidRDefault="00C636E0">
      <w:r>
        <w:rPr>
          <w:rFonts w:cs="Times New Roman"/>
        </w:rPr>
        <w:t>The product has a single role: every account sees only its own data, and there is no administrator screen. The user can sign up, log in, add or import transactions, edit or delete them, set budgets, tr</w:t>
      </w:r>
      <w:r>
        <w:rPr>
          <w:rFonts w:cs="Times New Roman"/>
        </w:rPr>
        <w:t>ack goals and investments, view the dashboard and health score, open the analytics page and forecast, ask the assistant and download reports or read notifications. Adding and importing a transaction include the categorisation use case. Opening the dashboar</w:t>
      </w:r>
      <w:r>
        <w:rPr>
          <w:rFonts w:cs="Times New Roman"/>
        </w:rPr>
        <w:t>d includes the budget-alert check, and the analytics page includes the linear-trend forecast. Refreshing a live price extends the investment use case through the price source, and a free-form LLM answer extends the assistant use case, and both are optional</w:t>
      </w:r>
      <w:r>
        <w:rPr>
          <w:rFonts w:cs="Times New Roman"/>
        </w:rPr>
        <w:t>.</w:t>
      </w:r>
    </w:p>
    <w:p w:rsidR="00D62AAD" w:rsidRDefault="00C636E0">
      <w:pPr>
        <w:pStyle w:val="Heading2"/>
      </w:pPr>
      <w:r>
        <w:lastRenderedPageBreak/>
        <w:t>Entity-relationship diagram</w:t>
      </w:r>
    </w:p>
    <w:p w:rsidR="00D62AAD" w:rsidRDefault="00C636E0">
      <w:pPr>
        <w:keepNext/>
        <w:spacing w:after="80" w:line="240" w:lineRule="auto"/>
        <w:jc w:val="center"/>
      </w:pPr>
      <w:r>
        <w:rPr>
          <w:noProof/>
        </w:rPr>
        <w:drawing>
          <wp:inline distT="0" distB="0" distL="0" distR="0">
            <wp:extent cx="5303520" cy="40499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049961"/>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ER diagram of finjarvis.db: users and its five child tables (budgets, transactions, financial_goals, investments, notifications), with primary keys, foreign keys and column types.</w:t>
      </w:r>
    </w:p>
    <w:p w:rsidR="00D62AAD" w:rsidRDefault="00C636E0">
      <w:r>
        <w:rPr>
          <w:rFonts w:cs="Times New Roman"/>
        </w:rPr>
        <w:t>The datab</w:t>
      </w:r>
      <w:r>
        <w:rPr>
          <w:rFonts w:cs="Times New Roman"/>
        </w:rPr>
        <w:t>ase has six tables. users holds the account, the password hash, the preferred currency, the monthly income, the risk profile and the savings target, and email and username are unique. transactions stores the date, description, category, amount, type (incom</w:t>
      </w:r>
      <w:r>
        <w:rPr>
          <w:rFonts w:cs="Times New Roman"/>
        </w:rPr>
        <w:t>e or expense), payment method and notes; budgets holds a monthly limit per category; financial_goals holds a target amount, the amount saved so far, a target date and a status; investments holds the asset, quantity, purchase and current price; and notifica</w:t>
      </w:r>
      <w:r>
        <w:rPr>
          <w:rFonts w:cs="Times New Roman"/>
        </w:rPr>
        <w:t>tions holds the alert message, its type and a read flag. Each child table has a user_id foreign key and an index on it, and deleting a user removes all of that user's rows through the ORM cascade. There is no loan or account table, so loan tracking from th</w:t>
      </w:r>
      <w:r>
        <w:rPr>
          <w:rFonts w:cs="Times New Roman"/>
        </w:rPr>
        <w:t>e abstract is not part of the database.</w:t>
      </w:r>
    </w:p>
    <w:p w:rsidR="00D62AAD" w:rsidRDefault="00C636E0">
      <w:pPr>
        <w:pStyle w:val="Heading2"/>
      </w:pPr>
      <w:r>
        <w:lastRenderedPageBreak/>
        <w:t>Flowchart of the core algorithm</w:t>
      </w:r>
    </w:p>
    <w:p w:rsidR="00D62AAD" w:rsidRDefault="00C636E0">
      <w:pPr>
        <w:keepNext/>
        <w:spacing w:after="80" w:line="240" w:lineRule="auto"/>
        <w:jc w:val="center"/>
      </w:pPr>
      <w:r>
        <w:rPr>
          <w:noProof/>
        </w:rPr>
        <w:drawing>
          <wp:inline distT="0" distB="0" distL="0" distR="0">
            <wp:extent cx="5303520" cy="52070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5303520" cy="5207092"/>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validate and categorise a new transaction, store it, learn from a manual correction, and raise budget alerts at 7</w:t>
      </w:r>
      <w:r>
        <w:rPr>
          <w:rFonts w:cs="Times New Roman"/>
        </w:rPr>
        <w:t>5, 90 and 100 percent when the dashboard or the notification list is opened.</w:t>
      </w:r>
    </w:p>
    <w:p w:rsidR="00D62AAD" w:rsidRDefault="00C636E0">
      <w:r>
        <w:rPr>
          <w:rFonts w:cs="Times New Roman"/>
        </w:rPr>
        <w:t>Lane A validates the request (a non-blank description and an amount above zero, otherwise 400) and asks the model for a category; if the category is blank or Auto-detect the predi</w:t>
      </w:r>
      <w:r>
        <w:rPr>
          <w:rFonts w:cs="Times New Roman"/>
        </w:rPr>
        <w:t>cted label is used. Lane B handles a manual pick: when it differs from the prediction, learn_from_correction retrains on the seed list, the user's history and the pick, and any failure there is ignored so that it never blocks the save; add_transaction then</w:t>
      </w:r>
      <w:r>
        <w:rPr>
          <w:rFonts w:cs="Times New Roman"/>
        </w:rPr>
        <w:t xml:space="preserve"> inserts the row and the API returns 201. Lane C runs when the dashboard or the notification list is opened: for each budget of the current month the percentage used is tested against 100, 90 and 75 percent in that order, and the matching message is insert</w:t>
      </w:r>
      <w:r>
        <w:rPr>
          <w:rFonts w:cs="Times New Roman"/>
        </w:rPr>
        <w:t xml:space="preserve">ed as a notification only if an identical message does not already exist. Because duplicates </w:t>
      </w:r>
      <w:r>
        <w:rPr>
          <w:rFonts w:cs="Times New Roman"/>
        </w:rPr>
        <w:lastRenderedPageBreak/>
        <w:t>are detected by message text alone, a budget that crosses the same threshold again in a later month raises no new alert.</w:t>
      </w:r>
    </w:p>
    <w:p w:rsidR="00D62AAD" w:rsidRDefault="00C636E0">
      <w:pPr>
        <w:pStyle w:val="Heading2"/>
      </w:pPr>
      <w:r>
        <w:t>Expense categoriser pipeline</w:t>
      </w:r>
    </w:p>
    <w:p w:rsidR="00D62AAD" w:rsidRDefault="00C636E0">
      <w:pPr>
        <w:keepNext/>
        <w:spacing w:after="80" w:line="240" w:lineRule="auto"/>
        <w:jc w:val="center"/>
      </w:pPr>
      <w:r>
        <w:rPr>
          <w:noProof/>
        </w:rPr>
        <w:drawing>
          <wp:inline distT="0" distB="0" distL="0" distR="0">
            <wp:extent cx="5303520" cy="3278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egoriser_pipeline.png"/>
                    <pic:cNvPicPr/>
                  </pic:nvPicPr>
                  <pic:blipFill>
                    <a:blip r:embed="rId18"/>
                    <a:stretch>
                      <a:fillRect/>
                    </a:stretch>
                  </pic:blipFill>
                  <pic:spPr>
                    <a:xfrm>
                      <a:off x="0" y="0"/>
                      <a:ext cx="5303520" cy="3278540"/>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11</w:t>
      </w:r>
      <w:r>
        <w:rPr>
          <w:rFonts w:cs="Times New Roman"/>
        </w:rPr>
        <w:fldChar w:fldCharType="end"/>
      </w:r>
      <w:r>
        <w:rPr>
          <w:rFonts w:cs="Times New Roman"/>
        </w:rPr>
        <w:t>: Training and prediction paths of the expense categoriser: seed list, TF-IDF word 1-2-grams, logistic regression, pickled pipeline, keyword fallback and retraining on a correction.</w:t>
      </w:r>
    </w:p>
    <w:p w:rsidR="00D62AAD" w:rsidRDefault="00C636E0">
      <w:r>
        <w:rPr>
          <w:rFonts w:cs="Times New Roman"/>
        </w:rPr>
        <w:t>Training takes the 51 seed descriptions of 11 categ</w:t>
      </w:r>
      <w:r>
        <w:rPr>
          <w:rFonts w:cs="Times New Roman"/>
        </w:rPr>
        <w:t xml:space="preserve">ories, optionally plus the user's history and a correction, fits TfidfVectorizer (lower-case, word unigrams and bigrams, min_df of 1) and LogisticRegression (max_iter 1000), and pickles the fitted pipeline to ml/expense_model.pkl. Prediction returns Other </w:t>
      </w:r>
      <w:r>
        <w:rPr>
          <w:rFonts w:cs="Times New Roman"/>
        </w:rPr>
        <w:t>for a blank description, otherwise loads the pickle (training it first if it is missing) and returns pipeline.predict for the text. If loading or predicting raises an error, the first keyword of a fixed table found in the lower-cased text decides the categ</w:t>
      </w:r>
      <w:r>
        <w:rPr>
          <w:rFonts w:cs="Times New Roman"/>
        </w:rPr>
        <w:t>ory, and Other is the last resort. As long as the model loads it never outputs Other, and text made only of unseen words produces a label from the model's intercepts, which is the weakness measured in the results chapter. learn_from_correction simply calls</w:t>
      </w:r>
      <w:r>
        <w:rPr>
          <w:rFonts w:cs="Times New Roman"/>
        </w:rPr>
        <w:t xml:space="preserve"> the same training routine with the extra examples.</w:t>
      </w:r>
    </w:p>
    <w:p w:rsidR="00D62AAD" w:rsidRDefault="00C636E0">
      <w:pPr>
        <w:pStyle w:val="Heading2"/>
      </w:pPr>
      <w:r>
        <w:lastRenderedPageBreak/>
        <w:t>Financial health score model</w:t>
      </w:r>
    </w:p>
    <w:p w:rsidR="00D62AAD" w:rsidRDefault="00C636E0">
      <w:pPr>
        <w:keepNext/>
        <w:spacing w:after="80" w:line="240" w:lineRule="auto"/>
        <w:jc w:val="center"/>
      </w:pPr>
      <w:r>
        <w:rPr>
          <w:noProof/>
        </w:rPr>
        <w:drawing>
          <wp:inline distT="0" distB="0" distL="0" distR="0">
            <wp:extent cx="5303520" cy="3471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ealth_score_model.png"/>
                    <pic:cNvPicPr/>
                  </pic:nvPicPr>
                  <pic:blipFill>
                    <a:blip r:embed="rId19"/>
                    <a:stretch>
                      <a:fillRect/>
                    </a:stretch>
                  </pic:blipFill>
                  <pic:spPr>
                    <a:xfrm>
                      <a:off x="0" y="0"/>
                      <a:ext cx="5303520" cy="3471395"/>
                    </a:xfrm>
                    <a:prstGeom prst="rect">
                      <a:avLst/>
                    </a:prstGeom>
                  </pic:spPr>
                </pic:pic>
              </a:graphicData>
            </a:graphic>
          </wp:inline>
        </w:drawing>
      </w:r>
    </w:p>
    <w:p w:rsidR="00D62AAD" w:rsidRDefault="00C636E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Financial health score: six component scores with weights 0.30, 0.20, 0.15, 0.15, 0.10 and 0.10 are summed into a 0-100 score and mapped </w:t>
      </w:r>
      <w:r>
        <w:rPr>
          <w:rFonts w:cs="Times New Roman"/>
        </w:rPr>
        <w:t>to five rating bands.</w:t>
      </w:r>
    </w:p>
    <w:p w:rsidR="00D62AAD" w:rsidRDefault="00C636E0">
      <w:r>
        <w:rPr>
          <w:rFonts w:cs="Times New Roman"/>
        </w:rPr>
        <w:t>Each component is first clipped to the range 0 to 100: the savings rate counts fully at 20 percent of income, the expense ratio is full at half of income or less and zero when expenses equal income, budget adherence is the share of bu</w:t>
      </w:r>
      <w:r>
        <w:rPr>
          <w:rFonts w:cs="Times New Roman"/>
        </w:rPr>
        <w:t>dgets at or below 100 percent, the emergency fund is full at six months of expenses covered by the balance, diversification is full at five distinct asset types, and goal progress is the mean percent complete. Components with no data use fixed neutral valu</w:t>
      </w:r>
      <w:r>
        <w:rPr>
          <w:rFonts w:cs="Times New Roman"/>
        </w:rPr>
        <w:t>es (50 for budgets, goals and the emergency fund without expenses, 0 for diversification and for the expense ratio without income). The weighted sum is rounded to one decimal and mapped to Excellent (90 and above), Good (75), Fair (60), Needs Improvement (</w:t>
      </w:r>
      <w:r>
        <w:rPr>
          <w:rFonts w:cs="Times New Roman"/>
        </w:rPr>
        <w:t>40) or Critical, and the lowest component is reported as the weakest area with a fixed explanatory sentence.</w:t>
      </w:r>
    </w:p>
    <w:sectPr w:rsidR="00D62AAD"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636E0">
      <w:pPr>
        <w:spacing w:after="0" w:line="240" w:lineRule="auto"/>
      </w:pPr>
      <w:r>
        <w:separator/>
      </w:r>
    </w:p>
  </w:endnote>
  <w:endnote w:type="continuationSeparator" w:id="0">
    <w:p w:rsidR="00000000" w:rsidRDefault="00C63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2AAD" w:rsidRDefault="00C636E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636E0">
      <w:pPr>
        <w:spacing w:after="0" w:line="240" w:lineRule="auto"/>
      </w:pPr>
      <w:r>
        <w:separator/>
      </w:r>
    </w:p>
  </w:footnote>
  <w:footnote w:type="continuationSeparator" w:id="0">
    <w:p w:rsidR="00000000" w:rsidRDefault="00C63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2AAD" w:rsidRDefault="00C636E0">
    <w:pPr>
      <w:pStyle w:val="Header"/>
      <w:jc w:val="center"/>
    </w:pPr>
    <w:r>
      <w:rPr>
        <w:rFonts w:cs="Times New Roman"/>
        <w:i/>
        <w:color w:val="555555"/>
        <w:sz w:val="20"/>
      </w:rPr>
      <w:t>FINJARVIS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36E0"/>
    <w:rsid w:val="00CB0664"/>
    <w:rsid w:val="00D62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419B5C5-225B-4190-A07F-923FABCE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636E0"/>
    <w:pPr>
      <w:spacing w:after="0" w:line="240" w:lineRule="auto"/>
    </w:pPr>
    <w:rPr>
      <w:rFonts w:cs="Times New Roman"/>
      <w:sz w:val="21"/>
    </w:rPr>
  </w:style>
  <w:style w:type="paragraph" w:styleId="TOC2">
    <w:name w:val="toc 2"/>
    <w:basedOn w:val="Normal"/>
    <w:next w:val="Normal"/>
    <w:autoRedefine/>
    <w:uiPriority w:val="39"/>
    <w:semiHidden/>
    <w:unhideWhenUsed/>
    <w:rsid w:val="00C636E0"/>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636E0"/>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EA020-86C6-4FE1-BC30-CF7C686F6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2227</Words>
  <Characters>12259</Characters>
  <Application>Microsoft Office Word</Application>
  <DocSecurity>0</DocSecurity>
  <Lines>249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2026-10-26T11:08:00Z</dcterms:modified>
  <cp:category/>
</cp:coreProperties>
</file>