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7264" w:rsidRDefault="00E97264">
      <w:pPr>
        <w:spacing w:after="480" w:line="240" w:lineRule="auto"/>
      </w:pPr>
      <w:bookmarkStart w:id="0" w:name="_GoBack"/>
      <w:bookmarkEnd w:id="0"/>
    </w:p>
    <w:p w:rsidR="00E97264" w:rsidRDefault="00443610">
      <w:pPr>
        <w:jc w:val="center"/>
      </w:pPr>
      <w:r>
        <w:rPr>
          <w:rFonts w:cs="Times New Roman"/>
          <w:b/>
          <w:sz w:val="36"/>
        </w:rPr>
        <w:t>AI BASED PERSONAL FINANCE MANAGER</w:t>
      </w:r>
    </w:p>
    <w:p w:rsidR="00E97264" w:rsidRDefault="00443610">
      <w:pPr>
        <w:spacing w:after="280"/>
        <w:jc w:val="center"/>
      </w:pPr>
      <w:r>
        <w:rPr>
          <w:rFonts w:cs="Times New Roman"/>
          <w:b/>
          <w:sz w:val="28"/>
        </w:rPr>
        <w:t>Conclusion, Future Scope and References</w:t>
      </w:r>
    </w:p>
    <w:p w:rsidR="00E97264" w:rsidRDefault="00443610">
      <w:pPr>
        <w:spacing w:after="40"/>
        <w:jc w:val="center"/>
      </w:pPr>
      <w:r>
        <w:rPr>
          <w:rFonts w:cs="Times New Roman"/>
        </w:rPr>
        <w:t>Department of Computer Science and Engineering, TKR College of Engineering &amp; Technology</w:t>
      </w:r>
    </w:p>
    <w:p w:rsidR="00E97264" w:rsidRDefault="00443610">
      <w:pPr>
        <w:spacing w:after="240"/>
        <w:jc w:val="center"/>
      </w:pPr>
      <w:r>
        <w:rPr>
          <w:rFonts w:cs="Times New Roman"/>
        </w:rPr>
        <w:t>Batch C11 (CSE-C)  ·  Academic year [ACADEMIC YEAR]</w:t>
      </w:r>
    </w:p>
    <w:p w:rsidR="00E97264" w:rsidRDefault="0044361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w:t>
      </w:r>
      <w:r>
        <w:rPr>
          <w:rFonts w:cs="Times New Roman"/>
        </w:rPr>
        <w:t xml:space="preserve"> team</w:t>
      </w:r>
    </w:p>
    <w:tbl>
      <w:tblPr>
        <w:tblStyle w:val="TableGrid"/>
        <w:tblW w:w="0" w:type="auto"/>
        <w:jc w:val="center"/>
        <w:tblLook w:val="04A0" w:firstRow="1" w:lastRow="0" w:firstColumn="1" w:lastColumn="0" w:noHBand="0" w:noVBand="1"/>
      </w:tblPr>
      <w:tblGrid>
        <w:gridCol w:w="1008"/>
        <w:gridCol w:w="4896"/>
        <w:gridCol w:w="2592"/>
      </w:tblGrid>
      <w:tr w:rsidR="00E97264">
        <w:trPr>
          <w:cantSplit/>
          <w:tblHeader/>
          <w:jc w:val="center"/>
        </w:trPr>
        <w:tc>
          <w:tcPr>
            <w:tcW w:w="1008" w:type="dxa"/>
            <w:shd w:val="clear" w:color="auto" w:fill="1B2A41"/>
          </w:tcPr>
          <w:p w:rsidR="00E97264" w:rsidRDefault="00443610">
            <w:pPr>
              <w:spacing w:after="40" w:line="240" w:lineRule="auto"/>
              <w:jc w:val="center"/>
            </w:pPr>
            <w:r>
              <w:rPr>
                <w:rFonts w:cs="Times New Roman"/>
                <w:b/>
                <w:color w:val="FFFFFF"/>
                <w:sz w:val="22"/>
              </w:rPr>
              <w:t>S.No.</w:t>
            </w:r>
          </w:p>
        </w:tc>
        <w:tc>
          <w:tcPr>
            <w:tcW w:w="4896" w:type="dxa"/>
            <w:shd w:val="clear" w:color="auto" w:fill="1B2A41"/>
          </w:tcPr>
          <w:p w:rsidR="00E97264" w:rsidRDefault="00443610">
            <w:pPr>
              <w:spacing w:after="40" w:line="240" w:lineRule="auto"/>
              <w:jc w:val="center"/>
            </w:pPr>
            <w:r>
              <w:rPr>
                <w:rFonts w:cs="Times New Roman"/>
                <w:b/>
                <w:color w:val="FFFFFF"/>
                <w:sz w:val="22"/>
              </w:rPr>
              <w:t>Student name</w:t>
            </w:r>
          </w:p>
        </w:tc>
        <w:tc>
          <w:tcPr>
            <w:tcW w:w="2592" w:type="dxa"/>
            <w:shd w:val="clear" w:color="auto" w:fill="1B2A41"/>
          </w:tcPr>
          <w:p w:rsidR="00E97264" w:rsidRDefault="00443610">
            <w:pPr>
              <w:spacing w:after="40" w:line="240" w:lineRule="auto"/>
              <w:jc w:val="center"/>
            </w:pPr>
            <w:r>
              <w:rPr>
                <w:rFonts w:cs="Times New Roman"/>
                <w:b/>
                <w:color w:val="FFFFFF"/>
                <w:sz w:val="22"/>
              </w:rPr>
              <w:t>Roll number</w:t>
            </w:r>
          </w:p>
        </w:tc>
      </w:tr>
      <w:tr w:rsidR="00E97264">
        <w:trPr>
          <w:cantSplit/>
          <w:jc w:val="center"/>
        </w:trPr>
        <w:tc>
          <w:tcPr>
            <w:tcW w:w="1008" w:type="dxa"/>
          </w:tcPr>
          <w:p w:rsidR="00E97264" w:rsidRDefault="00443610">
            <w:pPr>
              <w:spacing w:after="40" w:line="240" w:lineRule="auto"/>
              <w:jc w:val="center"/>
            </w:pPr>
            <w:r>
              <w:rPr>
                <w:rFonts w:cs="Times New Roman"/>
                <w:sz w:val="22"/>
              </w:rPr>
              <w:t>1</w:t>
            </w:r>
          </w:p>
        </w:tc>
        <w:tc>
          <w:tcPr>
            <w:tcW w:w="4896" w:type="dxa"/>
          </w:tcPr>
          <w:p w:rsidR="00E97264" w:rsidRDefault="00443610">
            <w:pPr>
              <w:spacing w:after="40" w:line="240" w:lineRule="auto"/>
              <w:jc w:val="left"/>
            </w:pPr>
            <w:r>
              <w:rPr>
                <w:rFonts w:cs="Times New Roman"/>
                <w:sz w:val="22"/>
              </w:rPr>
              <w:t>Mekala Kalyan</w:t>
            </w:r>
          </w:p>
        </w:tc>
        <w:tc>
          <w:tcPr>
            <w:tcW w:w="2592" w:type="dxa"/>
          </w:tcPr>
          <w:p w:rsidR="00E97264" w:rsidRDefault="00443610">
            <w:pPr>
              <w:spacing w:after="40" w:line="240" w:lineRule="auto"/>
              <w:jc w:val="center"/>
            </w:pPr>
            <w:r>
              <w:rPr>
                <w:rFonts w:cs="Times New Roman"/>
                <w:sz w:val="22"/>
              </w:rPr>
              <w:t>23K91A05F0</w:t>
            </w:r>
          </w:p>
        </w:tc>
      </w:tr>
      <w:tr w:rsidR="00E97264">
        <w:trPr>
          <w:cantSplit/>
          <w:jc w:val="center"/>
        </w:trPr>
        <w:tc>
          <w:tcPr>
            <w:tcW w:w="1008" w:type="dxa"/>
          </w:tcPr>
          <w:p w:rsidR="00E97264" w:rsidRDefault="00443610">
            <w:pPr>
              <w:spacing w:after="40" w:line="240" w:lineRule="auto"/>
              <w:jc w:val="center"/>
            </w:pPr>
            <w:r>
              <w:rPr>
                <w:rFonts w:cs="Times New Roman"/>
                <w:sz w:val="22"/>
              </w:rPr>
              <w:t>2</w:t>
            </w:r>
          </w:p>
        </w:tc>
        <w:tc>
          <w:tcPr>
            <w:tcW w:w="4896" w:type="dxa"/>
          </w:tcPr>
          <w:p w:rsidR="00E97264" w:rsidRDefault="00443610">
            <w:pPr>
              <w:spacing w:after="40" w:line="240" w:lineRule="auto"/>
              <w:jc w:val="left"/>
            </w:pPr>
            <w:r>
              <w:rPr>
                <w:rFonts w:cs="Times New Roman"/>
                <w:sz w:val="22"/>
              </w:rPr>
              <w:t>Rajanala Sai Hemanth</w:t>
            </w:r>
          </w:p>
        </w:tc>
        <w:tc>
          <w:tcPr>
            <w:tcW w:w="2592" w:type="dxa"/>
          </w:tcPr>
          <w:p w:rsidR="00E97264" w:rsidRDefault="00443610">
            <w:pPr>
              <w:spacing w:after="40" w:line="240" w:lineRule="auto"/>
              <w:jc w:val="center"/>
            </w:pPr>
            <w:r>
              <w:rPr>
                <w:rFonts w:cs="Times New Roman"/>
                <w:sz w:val="22"/>
              </w:rPr>
              <w:t>23K91A05K3</w:t>
            </w:r>
          </w:p>
        </w:tc>
      </w:tr>
      <w:tr w:rsidR="00E97264">
        <w:trPr>
          <w:cantSplit/>
          <w:jc w:val="center"/>
        </w:trPr>
        <w:tc>
          <w:tcPr>
            <w:tcW w:w="1008" w:type="dxa"/>
          </w:tcPr>
          <w:p w:rsidR="00E97264" w:rsidRDefault="00443610">
            <w:pPr>
              <w:spacing w:after="40" w:line="240" w:lineRule="auto"/>
              <w:jc w:val="center"/>
            </w:pPr>
            <w:r>
              <w:rPr>
                <w:rFonts w:cs="Times New Roman"/>
                <w:sz w:val="22"/>
              </w:rPr>
              <w:t>3</w:t>
            </w:r>
          </w:p>
        </w:tc>
        <w:tc>
          <w:tcPr>
            <w:tcW w:w="4896" w:type="dxa"/>
          </w:tcPr>
          <w:p w:rsidR="00E97264" w:rsidRDefault="00443610">
            <w:pPr>
              <w:spacing w:after="40" w:line="240" w:lineRule="auto"/>
              <w:jc w:val="left"/>
            </w:pPr>
            <w:r>
              <w:rPr>
                <w:rFonts w:cs="Times New Roman"/>
                <w:sz w:val="22"/>
              </w:rPr>
              <w:t>Middala Surya Teja Reddy</w:t>
            </w:r>
          </w:p>
        </w:tc>
        <w:tc>
          <w:tcPr>
            <w:tcW w:w="2592" w:type="dxa"/>
          </w:tcPr>
          <w:p w:rsidR="00E97264" w:rsidRDefault="00443610">
            <w:pPr>
              <w:spacing w:after="40" w:line="240" w:lineRule="auto"/>
              <w:jc w:val="center"/>
            </w:pPr>
            <w:r>
              <w:rPr>
                <w:rFonts w:cs="Times New Roman"/>
                <w:sz w:val="22"/>
              </w:rPr>
              <w:t>23K91A05F2</w:t>
            </w:r>
          </w:p>
        </w:tc>
      </w:tr>
      <w:tr w:rsidR="00E97264">
        <w:trPr>
          <w:cantSplit/>
          <w:jc w:val="center"/>
        </w:trPr>
        <w:tc>
          <w:tcPr>
            <w:tcW w:w="1008" w:type="dxa"/>
          </w:tcPr>
          <w:p w:rsidR="00E97264" w:rsidRDefault="00443610">
            <w:pPr>
              <w:spacing w:after="40" w:line="240" w:lineRule="auto"/>
              <w:jc w:val="center"/>
            </w:pPr>
            <w:r>
              <w:rPr>
                <w:rFonts w:cs="Times New Roman"/>
                <w:sz w:val="22"/>
              </w:rPr>
              <w:t>4</w:t>
            </w:r>
          </w:p>
        </w:tc>
        <w:tc>
          <w:tcPr>
            <w:tcW w:w="4896" w:type="dxa"/>
          </w:tcPr>
          <w:p w:rsidR="00E97264" w:rsidRDefault="00443610">
            <w:pPr>
              <w:spacing w:after="40" w:line="240" w:lineRule="auto"/>
              <w:jc w:val="left"/>
            </w:pPr>
            <w:r>
              <w:rPr>
                <w:rFonts w:cs="Times New Roman"/>
                <w:sz w:val="22"/>
              </w:rPr>
              <w:t>Manga Akash</w:t>
            </w:r>
          </w:p>
        </w:tc>
        <w:tc>
          <w:tcPr>
            <w:tcW w:w="2592" w:type="dxa"/>
          </w:tcPr>
          <w:p w:rsidR="00E97264" w:rsidRDefault="00443610">
            <w:pPr>
              <w:spacing w:after="40" w:line="240" w:lineRule="auto"/>
              <w:jc w:val="center"/>
            </w:pPr>
            <w:r>
              <w:rPr>
                <w:rFonts w:cs="Times New Roman"/>
                <w:sz w:val="22"/>
              </w:rPr>
              <w:t>23K91A05E5</w:t>
            </w:r>
          </w:p>
        </w:tc>
      </w:tr>
    </w:tbl>
    <w:p w:rsidR="00E97264" w:rsidRDefault="00E97264">
      <w:pPr>
        <w:spacing w:line="192" w:lineRule="auto"/>
      </w:pPr>
    </w:p>
    <w:p w:rsidR="00E97264" w:rsidRDefault="00443610">
      <w:pPr>
        <w:spacing w:after="200"/>
        <w:jc w:val="center"/>
      </w:pPr>
      <w:r>
        <w:rPr>
          <w:rFonts w:cs="Times New Roman"/>
          <w:b/>
        </w:rPr>
        <w:t>Project guide:</w:t>
      </w:r>
      <w:r>
        <w:rPr>
          <w:rFonts w:cs="Times New Roman"/>
        </w:rPr>
        <w:t xml:space="preserve"> N Padmavathi</w:t>
      </w:r>
    </w:p>
    <w:p w:rsidR="00E97264" w:rsidRDefault="00443610">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E97264" w:rsidRDefault="00443610">
      <w:pPr>
        <w:pStyle w:val="Heading1"/>
      </w:pPr>
      <w:r>
        <w:t>1. CONCLUSION</w:t>
      </w:r>
    </w:p>
    <w:p w:rsidR="00E97264" w:rsidRDefault="00443610">
      <w:pPr>
        <w:pStyle w:val="Heading2"/>
      </w:pPr>
      <w:r>
        <w:t>1.1 Summary</w:t>
      </w:r>
    </w:p>
    <w:p w:rsidR="00E97264" w:rsidRDefault="00443610">
      <w:r>
        <w:rPr>
          <w:rFonts w:cs="Times New Roman"/>
        </w:rPr>
        <w:t xml:space="preserve">FINJARVIS is a working AI-based personal finance manager. A person signs up, records or </w:t>
      </w:r>
      <w:r>
        <w:rPr>
          <w:rFonts w:cs="Times New Roman"/>
        </w:rPr>
        <w:t>imports transactions, and sees a dashboard with income, expenses, savings, net worth, a categorised spending breakdown, a next-month forecast, budget alerts and a 0-100 financial health score. An assistant answers questions from the person's own records, a</w:t>
      </w:r>
      <w:r>
        <w:rPr>
          <w:rFonts w:cs="Times New Roman"/>
        </w:rPr>
        <w:t>nd reports can be downloaded as PDF, Excel or CSV. It is built from a React front end, a FastAPI back end with 33 routes, a service layer shared with the original Streamlit application and a SQLite database.</w:t>
      </w:r>
    </w:p>
    <w:p w:rsidR="00E97264" w:rsidRDefault="00443610">
      <w:r>
        <w:rPr>
          <w:rFonts w:cs="Times New Roman"/>
        </w:rPr>
        <w:t>The work was verified by 38 pytest tests and a 4</w:t>
      </w:r>
      <w:r>
        <w:rPr>
          <w:rFonts w:cs="Times New Roman"/>
        </w:rPr>
        <w:t>9-check smoke test, and its machine-learning parts were measured on a probe set, a backtest, simulation and random profiles. The honest result is mixed: the platform and the explainable modules work, the categoriser and the forecast are simple and break in</w:t>
      </w:r>
      <w:r>
        <w:rPr>
          <w:rFonts w:cs="Times New Roman"/>
        </w:rPr>
        <w:t xml:space="preserve"> the ways reported, and the base paper's anomaly detector, budget recommender and deep models were not built.</w:t>
      </w:r>
    </w:p>
    <w:p w:rsidR="00E97264" w:rsidRDefault="00443610">
      <w:pPr>
        <w:pStyle w:val="Heading2"/>
      </w:pPr>
      <w:r>
        <w:lastRenderedPageBreak/>
        <w:t>1.2 Objectives against outcomes</w:t>
      </w:r>
    </w:p>
    <w:p w:rsidR="00E97264" w:rsidRDefault="0044361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against outcomes</w:t>
      </w:r>
    </w:p>
    <w:tbl>
      <w:tblPr>
        <w:tblStyle w:val="TableGrid"/>
        <w:tblW w:w="0" w:type="auto"/>
        <w:jc w:val="center"/>
        <w:tblLook w:val="04A0" w:firstRow="1" w:lastRow="0" w:firstColumn="1" w:lastColumn="0" w:noHBand="0" w:noVBand="1"/>
      </w:tblPr>
      <w:tblGrid>
        <w:gridCol w:w="3252"/>
        <w:gridCol w:w="1774"/>
        <w:gridCol w:w="3856"/>
      </w:tblGrid>
      <w:tr w:rsidR="00E97264">
        <w:trPr>
          <w:cantSplit/>
          <w:tblHeader/>
          <w:jc w:val="center"/>
        </w:trPr>
        <w:tc>
          <w:tcPr>
            <w:tcW w:w="3456" w:type="dxa"/>
            <w:shd w:val="clear" w:color="auto" w:fill="1B2A41"/>
          </w:tcPr>
          <w:p w:rsidR="00E97264" w:rsidRDefault="00443610">
            <w:pPr>
              <w:spacing w:after="40" w:line="240" w:lineRule="auto"/>
              <w:jc w:val="center"/>
            </w:pPr>
            <w:r>
              <w:rPr>
                <w:rFonts w:cs="Times New Roman"/>
                <w:b/>
                <w:color w:val="FFFFFF"/>
                <w:sz w:val="20"/>
              </w:rPr>
              <w:t>Objective</w:t>
            </w:r>
          </w:p>
        </w:tc>
        <w:tc>
          <w:tcPr>
            <w:tcW w:w="1872" w:type="dxa"/>
            <w:shd w:val="clear" w:color="auto" w:fill="1B2A41"/>
          </w:tcPr>
          <w:p w:rsidR="00E97264" w:rsidRDefault="00443610">
            <w:pPr>
              <w:spacing w:after="40" w:line="240" w:lineRule="auto"/>
              <w:jc w:val="center"/>
            </w:pPr>
            <w:r>
              <w:rPr>
                <w:rFonts w:cs="Times New Roman"/>
                <w:b/>
                <w:color w:val="FFFFFF"/>
                <w:sz w:val="20"/>
              </w:rPr>
              <w:t>Outcome</w:t>
            </w:r>
          </w:p>
        </w:tc>
        <w:tc>
          <w:tcPr>
            <w:tcW w:w="4176" w:type="dxa"/>
            <w:shd w:val="clear" w:color="auto" w:fill="1B2A41"/>
          </w:tcPr>
          <w:p w:rsidR="00E97264" w:rsidRDefault="00443610">
            <w:pPr>
              <w:spacing w:after="40" w:line="240" w:lineRule="auto"/>
              <w:jc w:val="center"/>
            </w:pPr>
            <w:r>
              <w:rPr>
                <w:rFonts w:cs="Times New Roman"/>
                <w:b/>
                <w:color w:val="FFFFFF"/>
                <w:sz w:val="20"/>
              </w:rPr>
              <w:t>Evidence</w:t>
            </w:r>
          </w:p>
        </w:tc>
      </w:tr>
      <w:tr w:rsidR="00E97264">
        <w:trPr>
          <w:cantSplit/>
          <w:jc w:val="center"/>
        </w:trPr>
        <w:tc>
          <w:tcPr>
            <w:tcW w:w="3456" w:type="dxa"/>
          </w:tcPr>
          <w:p w:rsidR="00E97264" w:rsidRDefault="00443610">
            <w:pPr>
              <w:spacing w:after="40" w:line="240" w:lineRule="auto"/>
              <w:jc w:val="left"/>
            </w:pPr>
            <w:r>
              <w:rPr>
                <w:rFonts w:cs="Times New Roman"/>
                <w:sz w:val="20"/>
              </w:rPr>
              <w:t xml:space="preserve">1 Secure accounts with </w:t>
            </w:r>
            <w:r>
              <w:rPr>
                <w:rFonts w:cs="Times New Roman"/>
                <w:sz w:val="20"/>
              </w:rPr>
              <w:t>transaction import and manual entry</w:t>
            </w:r>
          </w:p>
        </w:tc>
        <w:tc>
          <w:tcPr>
            <w:tcW w:w="1872" w:type="dxa"/>
          </w:tcPr>
          <w:p w:rsidR="00E97264" w:rsidRDefault="00443610">
            <w:pPr>
              <w:spacing w:after="40" w:line="240" w:lineRule="auto"/>
              <w:jc w:val="left"/>
            </w:pPr>
            <w:r>
              <w:rPr>
                <w:rFonts w:cs="Times New Roman"/>
                <w:sz w:val="20"/>
              </w:rPr>
              <w:t>Achieved</w:t>
            </w:r>
          </w:p>
        </w:tc>
        <w:tc>
          <w:tcPr>
            <w:tcW w:w="4176" w:type="dxa"/>
          </w:tcPr>
          <w:p w:rsidR="00E97264" w:rsidRDefault="00443610">
            <w:pPr>
              <w:spacing w:after="40" w:line="240" w:lineRule="auto"/>
              <w:jc w:val="left"/>
            </w:pPr>
            <w:r>
              <w:rPr>
                <w:rFonts w:cs="Times New Roman"/>
                <w:sz w:val="20"/>
              </w:rPr>
              <w:t>bcrypt, signed tokens, per-user scoping; manual entry and CSV/Excel import (916 of 1,000 rows imported, 84 bad rows skipped); 49 of 49 smoke checks</w:t>
            </w:r>
          </w:p>
        </w:tc>
      </w:tr>
      <w:tr w:rsidR="00E97264">
        <w:trPr>
          <w:cantSplit/>
          <w:jc w:val="center"/>
        </w:trPr>
        <w:tc>
          <w:tcPr>
            <w:tcW w:w="3456" w:type="dxa"/>
          </w:tcPr>
          <w:p w:rsidR="00E97264" w:rsidRDefault="00443610">
            <w:pPr>
              <w:spacing w:after="40" w:line="240" w:lineRule="auto"/>
              <w:jc w:val="left"/>
            </w:pPr>
            <w:r>
              <w:rPr>
                <w:rFonts w:cs="Times New Roman"/>
                <w:sz w:val="20"/>
              </w:rPr>
              <w:t>2 Categorise expenses automatically from descriptions</w:t>
            </w:r>
          </w:p>
        </w:tc>
        <w:tc>
          <w:tcPr>
            <w:tcW w:w="1872" w:type="dxa"/>
          </w:tcPr>
          <w:p w:rsidR="00E97264" w:rsidRDefault="00443610">
            <w:pPr>
              <w:spacing w:after="40" w:line="240" w:lineRule="auto"/>
              <w:jc w:val="left"/>
            </w:pPr>
            <w:r>
              <w:rPr>
                <w:rFonts w:cs="Times New Roman"/>
                <w:sz w:val="20"/>
              </w:rPr>
              <w:t xml:space="preserve">Partly </w:t>
            </w:r>
            <w:r>
              <w:rPr>
                <w:rFonts w:cs="Times New Roman"/>
                <w:sz w:val="20"/>
              </w:rPr>
              <w:t>achieved</w:t>
            </w:r>
          </w:p>
        </w:tc>
        <w:tc>
          <w:tcPr>
            <w:tcW w:w="4176" w:type="dxa"/>
          </w:tcPr>
          <w:p w:rsidR="00E97264" w:rsidRDefault="00443610">
            <w:pPr>
              <w:spacing w:after="40" w:line="240" w:lineRule="auto"/>
              <w:jc w:val="left"/>
            </w:pPr>
            <w:r>
              <w:rPr>
                <w:rFonts w:cs="Times New Roman"/>
                <w:sz w:val="20"/>
              </w:rPr>
              <w:t>71.7 percent on the probe set but 18.2 percent on unseen merchants; 51 seed examples; 11 categories</w:t>
            </w:r>
          </w:p>
        </w:tc>
      </w:tr>
      <w:tr w:rsidR="00E97264">
        <w:trPr>
          <w:cantSplit/>
          <w:jc w:val="center"/>
        </w:trPr>
        <w:tc>
          <w:tcPr>
            <w:tcW w:w="3456" w:type="dxa"/>
          </w:tcPr>
          <w:p w:rsidR="00E97264" w:rsidRDefault="00443610">
            <w:pPr>
              <w:spacing w:after="40" w:line="240" w:lineRule="auto"/>
              <w:jc w:val="left"/>
            </w:pPr>
            <w:r>
              <w:rPr>
                <w:rFonts w:cs="Times New Roman"/>
                <w:sz w:val="20"/>
              </w:rPr>
              <w:t>3 Forecast expenses and savings with time-series models</w:t>
            </w:r>
          </w:p>
        </w:tc>
        <w:tc>
          <w:tcPr>
            <w:tcW w:w="1872" w:type="dxa"/>
          </w:tcPr>
          <w:p w:rsidR="00E97264" w:rsidRDefault="00443610">
            <w:pPr>
              <w:spacing w:after="40" w:line="240" w:lineRule="auto"/>
              <w:jc w:val="left"/>
            </w:pPr>
            <w:r>
              <w:rPr>
                <w:rFonts w:cs="Times New Roman"/>
                <w:sz w:val="20"/>
              </w:rPr>
              <w:t>Partly achieved</w:t>
            </w:r>
          </w:p>
        </w:tc>
        <w:tc>
          <w:tcPr>
            <w:tcW w:w="4176" w:type="dxa"/>
          </w:tcPr>
          <w:p w:rsidR="00E97264" w:rsidRDefault="00443610">
            <w:pPr>
              <w:spacing w:after="40" w:line="240" w:lineRule="auto"/>
              <w:jc w:val="left"/>
            </w:pPr>
            <w:r>
              <w:rPr>
                <w:rFonts w:cs="Times New Roman"/>
                <w:sz w:val="20"/>
              </w:rPr>
              <w:t>Linear trend on monthly expenses only; no ARIMA or LSTM; MAPE 28.4 percent</w:t>
            </w:r>
            <w:r>
              <w:rPr>
                <w:rFonts w:cs="Times New Roman"/>
                <w:sz w:val="20"/>
              </w:rPr>
              <w:t xml:space="preserve"> on the backtest, not better than a mean</w:t>
            </w:r>
          </w:p>
        </w:tc>
      </w:tr>
      <w:tr w:rsidR="00E97264">
        <w:trPr>
          <w:cantSplit/>
          <w:jc w:val="center"/>
        </w:trPr>
        <w:tc>
          <w:tcPr>
            <w:tcW w:w="3456" w:type="dxa"/>
          </w:tcPr>
          <w:p w:rsidR="00E97264" w:rsidRDefault="00443610">
            <w:pPr>
              <w:spacing w:after="40" w:line="240" w:lineRule="auto"/>
              <w:jc w:val="left"/>
            </w:pPr>
            <w:r>
              <w:rPr>
                <w:rFonts w:cs="Times New Roman"/>
                <w:sz w:val="20"/>
              </w:rPr>
              <w:t>4 Detect anomalous transactions</w:t>
            </w:r>
          </w:p>
        </w:tc>
        <w:tc>
          <w:tcPr>
            <w:tcW w:w="1872" w:type="dxa"/>
          </w:tcPr>
          <w:p w:rsidR="00E97264" w:rsidRDefault="00443610">
            <w:pPr>
              <w:spacing w:after="40" w:line="240" w:lineRule="auto"/>
              <w:jc w:val="left"/>
            </w:pPr>
            <w:r>
              <w:rPr>
                <w:rFonts w:cs="Times New Roman"/>
                <w:sz w:val="20"/>
              </w:rPr>
              <w:t>Not achieved</w:t>
            </w:r>
          </w:p>
        </w:tc>
        <w:tc>
          <w:tcPr>
            <w:tcW w:w="4176" w:type="dxa"/>
          </w:tcPr>
          <w:p w:rsidR="00E97264" w:rsidRDefault="00443610">
            <w:pPr>
              <w:spacing w:after="40" w:line="240" w:lineRule="auto"/>
              <w:jc w:val="left"/>
            </w:pPr>
            <w:r>
              <w:rPr>
                <w:rFonts w:cs="Times New Roman"/>
                <w:sz w:val="20"/>
              </w:rPr>
              <w:t>No anomaly detector exists; only the largest expense in a window is shown</w:t>
            </w:r>
          </w:p>
        </w:tc>
      </w:tr>
      <w:tr w:rsidR="00E97264">
        <w:trPr>
          <w:cantSplit/>
          <w:jc w:val="center"/>
        </w:trPr>
        <w:tc>
          <w:tcPr>
            <w:tcW w:w="3456" w:type="dxa"/>
          </w:tcPr>
          <w:p w:rsidR="00E97264" w:rsidRDefault="00443610">
            <w:pPr>
              <w:spacing w:after="40" w:line="240" w:lineRule="auto"/>
              <w:jc w:val="left"/>
            </w:pPr>
            <w:r>
              <w:rPr>
                <w:rFonts w:cs="Times New Roman"/>
                <w:sz w:val="20"/>
              </w:rPr>
              <w:t>5 Personalised budget recommendations and threshold alerts</w:t>
            </w:r>
          </w:p>
        </w:tc>
        <w:tc>
          <w:tcPr>
            <w:tcW w:w="1872" w:type="dxa"/>
          </w:tcPr>
          <w:p w:rsidR="00E97264" w:rsidRDefault="00443610">
            <w:pPr>
              <w:spacing w:after="40" w:line="240" w:lineRule="auto"/>
              <w:jc w:val="left"/>
            </w:pPr>
            <w:r>
              <w:rPr>
                <w:rFonts w:cs="Times New Roman"/>
                <w:sz w:val="20"/>
              </w:rPr>
              <w:t>Partly achieved</w:t>
            </w:r>
          </w:p>
        </w:tc>
        <w:tc>
          <w:tcPr>
            <w:tcW w:w="4176" w:type="dxa"/>
          </w:tcPr>
          <w:p w:rsidR="00E97264" w:rsidRDefault="00443610">
            <w:pPr>
              <w:spacing w:after="40" w:line="240" w:lineRule="auto"/>
              <w:jc w:val="left"/>
            </w:pPr>
            <w:r>
              <w:rPr>
                <w:rFonts w:cs="Times New Roman"/>
                <w:sz w:val="20"/>
              </w:rPr>
              <w:t>Alerts at 75, 90 an</w:t>
            </w:r>
            <w:r>
              <w:rPr>
                <w:rFonts w:cs="Times New Roman"/>
                <w:sz w:val="20"/>
              </w:rPr>
              <w:t>d 100 percent and rule-based advice from the user's data; budgets are set by the user, no learned recommender</w:t>
            </w:r>
          </w:p>
        </w:tc>
      </w:tr>
      <w:tr w:rsidR="00E97264">
        <w:trPr>
          <w:cantSplit/>
          <w:jc w:val="center"/>
        </w:trPr>
        <w:tc>
          <w:tcPr>
            <w:tcW w:w="3456" w:type="dxa"/>
          </w:tcPr>
          <w:p w:rsidR="00E97264" w:rsidRDefault="00443610">
            <w:pPr>
              <w:spacing w:after="40" w:line="240" w:lineRule="auto"/>
              <w:jc w:val="left"/>
            </w:pPr>
            <w:r>
              <w:rPr>
                <w:rFonts w:cs="Times New Roman"/>
                <w:sz w:val="20"/>
              </w:rPr>
              <w:t>6 Interactive dashboard of spending, categories and forecasts</w:t>
            </w:r>
          </w:p>
        </w:tc>
        <w:tc>
          <w:tcPr>
            <w:tcW w:w="1872" w:type="dxa"/>
          </w:tcPr>
          <w:p w:rsidR="00E97264" w:rsidRDefault="00443610">
            <w:pPr>
              <w:spacing w:after="40" w:line="240" w:lineRule="auto"/>
              <w:jc w:val="left"/>
            </w:pPr>
            <w:r>
              <w:rPr>
                <w:rFonts w:cs="Times New Roman"/>
                <w:sz w:val="20"/>
              </w:rPr>
              <w:t>Achieved</w:t>
            </w:r>
          </w:p>
        </w:tc>
        <w:tc>
          <w:tcPr>
            <w:tcW w:w="4176" w:type="dxa"/>
          </w:tcPr>
          <w:p w:rsidR="00E97264" w:rsidRDefault="00443610">
            <w:pPr>
              <w:spacing w:after="40" w:line="240" w:lineRule="auto"/>
              <w:jc w:val="left"/>
            </w:pPr>
            <w:r>
              <w:rPr>
                <w:rFonts w:cs="Times New Roman"/>
                <w:sz w:val="20"/>
              </w:rPr>
              <w:t>13 pages in dark and light themes; dashboard 67 ms and analytics 72 ms med</w:t>
            </w:r>
            <w:r>
              <w:rPr>
                <w:rFonts w:cs="Times New Roman"/>
                <w:sz w:val="20"/>
              </w:rPr>
              <w:t>ian</w:t>
            </w:r>
          </w:p>
        </w:tc>
      </w:tr>
    </w:tbl>
    <w:p w:rsidR="00E97264" w:rsidRDefault="00E97264">
      <w:pPr>
        <w:spacing w:line="192" w:lineRule="auto"/>
      </w:pPr>
    </w:p>
    <w:p w:rsidR="00E97264" w:rsidRDefault="00443610">
      <w:pPr>
        <w:pStyle w:val="Heading2"/>
      </w:pPr>
      <w:r>
        <w:t>1.3 Key findings</w:t>
      </w:r>
    </w:p>
    <w:p w:rsidR="00E97264" w:rsidRDefault="00443610">
      <w:pPr>
        <w:spacing w:after="60"/>
        <w:ind w:left="720" w:hanging="432"/>
      </w:pPr>
      <w:r>
        <w:rPr>
          <w:rFonts w:cs="Times New Roman"/>
        </w:rPr>
        <w:t xml:space="preserve">1.  The categoriser is accurate where its vocabulary overlaps the seed list (100 percent on seed-like text, 97 percent on statement strings) and weak elsewhere (18.2 percent on unseen merchants), against 51.5 percent for the keyword </w:t>
      </w:r>
      <w:r>
        <w:rPr>
          <w:rFonts w:cs="Times New Roman"/>
        </w:rPr>
        <w:t>table over the whole probe set.</w:t>
      </w:r>
    </w:p>
    <w:p w:rsidR="00E97264" w:rsidRDefault="00443610">
      <w:pPr>
        <w:spacing w:after="60"/>
        <w:ind w:left="720" w:hanging="432"/>
      </w:pPr>
      <w:r>
        <w:rPr>
          <w:rFonts w:cs="Times New Roman"/>
        </w:rPr>
        <w:t>2.  Its mistakes are not random: 48 of 56 errors are labelled Transport (precision 0.273), because the model has no way to say it does not know.</w:t>
      </w:r>
    </w:p>
    <w:p w:rsidR="00E97264" w:rsidRDefault="00443610">
      <w:pPr>
        <w:spacing w:after="60"/>
        <w:ind w:left="720" w:hanging="432"/>
      </w:pPr>
      <w:r>
        <w:rPr>
          <w:rFonts w:cs="Times New Roman"/>
        </w:rPr>
        <w:t>3.  A confidence threshold of 0.15 would keep 62.1 percent of the probe items a</w:t>
      </w:r>
      <w:r>
        <w:rPr>
          <w:rFonts w:cs="Times New Roman"/>
        </w:rPr>
        <w:t>t 94.3 percent accuracy, so abstaining is a practical improvement the app does not yet make.</w:t>
      </w:r>
    </w:p>
    <w:p w:rsidR="00E97264" w:rsidRDefault="00443610">
      <w:pPr>
        <w:spacing w:after="60"/>
        <w:ind w:left="720" w:hanging="432"/>
      </w:pPr>
      <w:r>
        <w:rPr>
          <w:rFonts w:cs="Times New Roman"/>
        </w:rPr>
        <w:t>4.  One correction fixes a repeat merchant (18.2 to 100 percent) but forty-eight corrections move unseen-merchant accuracy only to 21.5 percent.</w:t>
      </w:r>
    </w:p>
    <w:p w:rsidR="00E97264" w:rsidRDefault="00443610">
      <w:pPr>
        <w:spacing w:after="60"/>
        <w:ind w:left="720" w:hanging="432"/>
      </w:pPr>
      <w:r>
        <w:rPr>
          <w:rFonts w:cs="Times New Roman"/>
        </w:rPr>
        <w:t>5.  The linear-tre</w:t>
      </w:r>
      <w:r>
        <w:rPr>
          <w:rFonts w:cs="Times New Roman"/>
        </w:rPr>
        <w:t>nd forecast is not better than a plain average for short histories: MAPE 28.4 against 21.4 percent on the demo backtest, and in simulation it overtakes the mean of all months at 7 months of history and the mean of the last three months only at 9 months, so</w:t>
      </w:r>
      <w:r>
        <w:rPr>
          <w:rFonts w:cs="Times New Roman"/>
        </w:rPr>
        <w:t xml:space="preserve"> the three-month minimum is too low.</w:t>
      </w:r>
    </w:p>
    <w:p w:rsidR="00E97264" w:rsidRDefault="00443610">
      <w:pPr>
        <w:spacing w:after="60"/>
        <w:ind w:left="720" w:hanging="432"/>
      </w:pPr>
      <w:r>
        <w:rPr>
          <w:rFonts w:cs="Times New Roman"/>
        </w:rPr>
        <w:lastRenderedPageBreak/>
        <w:t>6.  The health score behaves sensibly (no decrease when the savings rate rises in 5,000 random profiles) but saturates: the savings-rate component stops changing at 20 percent, and its weights are not fitted.</w:t>
      </w:r>
    </w:p>
    <w:p w:rsidR="00E97264" w:rsidRDefault="00443610">
      <w:pPr>
        <w:spacing w:after="60"/>
        <w:ind w:left="720" w:hanging="432"/>
      </w:pPr>
      <w:r>
        <w:rPr>
          <w:rFonts w:cs="Times New Roman"/>
        </w:rPr>
        <w:t>7.  The ru</w:t>
      </w:r>
      <w:r>
        <w:rPr>
          <w:rFonts w:cs="Times New Roman"/>
        </w:rPr>
        <w:t>le-based assistant is correct when it answers and silent about much of what users might ask: 14 of 20 answerable questions handled, 6 of 6 off-topic questions declined.</w:t>
      </w:r>
    </w:p>
    <w:p w:rsidR="00E97264" w:rsidRDefault="00443610">
      <w:pPr>
        <w:spacing w:after="60"/>
        <w:ind w:left="720" w:hanging="432"/>
      </w:pPr>
      <w:r>
        <w:rPr>
          <w:rFonts w:cs="Times New Roman"/>
        </w:rPr>
        <w:t xml:space="preserve">8.  The application is fast for one user: every dashboard, list and analytics endpoint </w:t>
      </w:r>
      <w:r>
        <w:rPr>
          <w:rFonts w:cs="Times New Roman"/>
        </w:rPr>
        <w:t>answers in under 82 ms median, reports in 136 to 209 ms, with login (305 ms) the slowest by design.</w:t>
      </w:r>
    </w:p>
    <w:p w:rsidR="00E97264" w:rsidRDefault="00443610">
      <w:pPr>
        <w:keepNext/>
        <w:spacing w:after="80" w:line="240" w:lineRule="auto"/>
        <w:jc w:val="center"/>
      </w:pPr>
      <w:r>
        <w:rPr>
          <w:noProof/>
        </w:rPr>
        <w:drawing>
          <wp:inline distT="0" distB="0" distL="0" distR="0">
            <wp:extent cx="4572000" cy="4140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x.png"/>
                    <pic:cNvPicPr/>
                  </pic:nvPicPr>
                  <pic:blipFill>
                    <a:blip r:embed="rId8"/>
                    <a:stretch>
                      <a:fillRect/>
                    </a:stretch>
                  </pic:blipFill>
                  <pic:spPr>
                    <a:xfrm>
                      <a:off x="0" y="0"/>
                      <a:ext cx="4572000" cy="4140309"/>
                    </a:xfrm>
                    <a:prstGeom prst="rect">
                      <a:avLst/>
                    </a:prstGeom>
                  </pic:spPr>
                </pic:pic>
              </a:graphicData>
            </a:graphic>
          </wp:inline>
        </w:drawing>
      </w:r>
    </w:p>
    <w:p w:rsidR="00E97264" w:rsidRDefault="0044361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Confusion matrix of the shipped categoriser on the probe set: the Transport column collects the unseen-merchant errors.</w:t>
      </w:r>
    </w:p>
    <w:p w:rsidR="00E97264" w:rsidRDefault="00443610">
      <w:pPr>
        <w:keepNext/>
        <w:spacing w:after="80" w:line="240" w:lineRule="auto"/>
        <w:jc w:val="center"/>
      </w:pPr>
      <w:r>
        <w:rPr>
          <w:noProof/>
        </w:rPr>
        <w:lastRenderedPageBreak/>
        <w:drawing>
          <wp:inline distT="0" distB="0" distL="0" distR="0">
            <wp:extent cx="5486400" cy="23927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learning_from_corrections.png"/>
                    <pic:cNvPicPr/>
                  </pic:nvPicPr>
                  <pic:blipFill>
                    <a:blip r:embed="rId9"/>
                    <a:stretch>
                      <a:fillRect/>
                    </a:stretch>
                  </pic:blipFill>
                  <pic:spPr>
                    <a:xfrm>
                      <a:off x="0" y="0"/>
                      <a:ext cx="5486400" cy="2392706"/>
                    </a:xfrm>
                    <a:prstGeom prst="rect">
                      <a:avLst/>
                    </a:prstGeom>
                  </pic:spPr>
                </pic:pic>
              </a:graphicData>
            </a:graphic>
          </wp:inline>
        </w:drawing>
      </w:r>
    </w:p>
    <w:p w:rsidR="00E97264" w:rsidRDefault="0044361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Learning from corrections: new merchants gain little, a repeat merchant is fixed by one correction.</w:t>
      </w:r>
    </w:p>
    <w:p w:rsidR="00E97264" w:rsidRDefault="00443610">
      <w:pPr>
        <w:keepNext/>
        <w:spacing w:after="80" w:line="240" w:lineRule="auto"/>
        <w:jc w:val="center"/>
      </w:pPr>
      <w:r>
        <w:rPr>
          <w:noProof/>
        </w:rPr>
        <w:drawing>
          <wp:inline distT="0" distB="0" distL="0" distR="0">
            <wp:extent cx="4937760" cy="24880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orecast_backtest.png"/>
                    <pic:cNvPicPr/>
                  </pic:nvPicPr>
                  <pic:blipFill>
                    <a:blip r:embed="rId10"/>
                    <a:stretch>
                      <a:fillRect/>
                    </a:stretch>
                  </pic:blipFill>
                  <pic:spPr>
                    <a:xfrm>
                      <a:off x="0" y="0"/>
                      <a:ext cx="4937760" cy="2488056"/>
                    </a:xfrm>
                    <a:prstGeom prst="rect">
                      <a:avLst/>
                    </a:prstGeom>
                  </pic:spPr>
                </pic:pic>
              </a:graphicData>
            </a:graphic>
          </wp:inline>
        </w:drawing>
      </w:r>
    </w:p>
    <w:p w:rsidR="00E97264" w:rsidRDefault="0044361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Forecasts for months 4-6 of the demo account with four methods; the actual spend </w:t>
      </w:r>
      <w:r>
        <w:rPr>
          <w:rFonts w:cs="Times New Roman"/>
        </w:rPr>
        <w:t>fell in the last month.</w:t>
      </w:r>
    </w:p>
    <w:p w:rsidR="00E97264" w:rsidRDefault="00443610">
      <w:pPr>
        <w:pStyle w:val="Heading2"/>
      </w:pPr>
      <w:r>
        <w:t>1.4 Limitations</w:t>
      </w:r>
    </w:p>
    <w:p w:rsidR="00E97264" w:rsidRDefault="00443610">
      <w:r>
        <w:rPr>
          <w:rFonts w:cs="Times New Roman"/>
        </w:rPr>
        <w:t>The evidence is a team-written probe set, fictional demo data and seeded simulation rather than field data, there was no user study, and the defects listed in the limitations section remain open. The results demonstr</w:t>
      </w:r>
      <w:r>
        <w:rPr>
          <w:rFonts w:cs="Times New Roman"/>
        </w:rPr>
        <w:t>ate a working, inspectable platform, not that its models are accurate on real transactions.</w:t>
      </w:r>
    </w:p>
    <w:p w:rsidR="00E97264" w:rsidRDefault="00443610">
      <w:r>
        <w:rPr>
          <w:rFonts w:cs="Times New Roman"/>
        </w:rPr>
        <w:t>The measurements behind the key findings are shown below: how the categoriser behaves on the three probe tiers, how the forecast methods compare on the demo account</w:t>
      </w:r>
      <w:r>
        <w:rPr>
          <w:rFonts w:cs="Times New Roman"/>
        </w:rPr>
        <w:t>, and how forecast error depends on the length of history in simulation. The probe set was written by the team and the simulation is seeded; neither is field data, and neither is a replication of the base paper's experiments.</w:t>
      </w:r>
    </w:p>
    <w:p w:rsidR="00E97264" w:rsidRDefault="00443610">
      <w:pPr>
        <w:keepNext/>
        <w:spacing w:after="80" w:line="240" w:lineRule="auto"/>
        <w:jc w:val="center"/>
      </w:pPr>
      <w:r>
        <w:rPr>
          <w:noProof/>
        </w:rPr>
        <w:lastRenderedPageBreak/>
        <w:drawing>
          <wp:inline distT="0" distB="0" distL="0" distR="0">
            <wp:extent cx="5120640" cy="26847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lassifier_tiers.png"/>
                    <pic:cNvPicPr/>
                  </pic:nvPicPr>
                  <pic:blipFill>
                    <a:blip r:embed="rId11"/>
                    <a:stretch>
                      <a:fillRect/>
                    </a:stretch>
                  </pic:blipFill>
                  <pic:spPr>
                    <a:xfrm>
                      <a:off x="0" y="0"/>
                      <a:ext cx="5120640" cy="2684762"/>
                    </a:xfrm>
                    <a:prstGeom prst="rect">
                      <a:avLst/>
                    </a:prstGeom>
                  </pic:spPr>
                </pic:pic>
              </a:graphicData>
            </a:graphic>
          </wp:inline>
        </w:drawing>
      </w:r>
    </w:p>
    <w:p w:rsidR="00E97264" w:rsidRDefault="00443610">
      <w:pPr>
        <w:pStyle w:val="Caption"/>
      </w:pPr>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4</w:t>
      </w:r>
      <w:r>
        <w:rPr>
          <w:rFonts w:cs="Times New Roman"/>
        </w:rPr>
        <w:fldChar w:fldCharType="end"/>
      </w:r>
      <w:r>
        <w:rPr>
          <w:rFonts w:cs="Times New Roman"/>
        </w:rPr>
        <w:t>: Accuracy of the shipped categoriser, the keyword table and the majority class on the three probe tiers.</w:t>
      </w:r>
    </w:p>
    <w:p w:rsidR="00E97264" w:rsidRDefault="00443610">
      <w:pPr>
        <w:keepNext/>
        <w:spacing w:after="80" w:line="240" w:lineRule="auto"/>
        <w:jc w:val="center"/>
      </w:pPr>
      <w:r>
        <w:rPr>
          <w:noProof/>
        </w:rPr>
        <w:drawing>
          <wp:inline distT="0" distB="0" distL="0" distR="0">
            <wp:extent cx="4937760" cy="2488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orecast_backtest.png"/>
                    <pic:cNvPicPr/>
                  </pic:nvPicPr>
                  <pic:blipFill>
                    <a:blip r:embed="rId10"/>
                    <a:stretch>
                      <a:fillRect/>
                    </a:stretch>
                  </pic:blipFill>
                  <pic:spPr>
                    <a:xfrm>
                      <a:off x="0" y="0"/>
                      <a:ext cx="4937760" cy="2488056"/>
                    </a:xfrm>
                    <a:prstGeom prst="rect">
                      <a:avLst/>
                    </a:prstGeom>
                  </pic:spPr>
                </pic:pic>
              </a:graphicData>
            </a:graphic>
          </wp:inline>
        </w:drawing>
      </w:r>
    </w:p>
    <w:p w:rsidR="00E97264" w:rsidRDefault="0044361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Demo account: forecasts of months 4-6 with four methods (three test points).</w:t>
      </w:r>
    </w:p>
    <w:p w:rsidR="00E97264" w:rsidRDefault="00443610">
      <w:pPr>
        <w:keepNext/>
        <w:spacing w:after="80" w:line="240" w:lineRule="auto"/>
        <w:jc w:val="center"/>
      </w:pPr>
      <w:r>
        <w:rPr>
          <w:noProof/>
        </w:rPr>
        <w:lastRenderedPageBreak/>
        <w:drawing>
          <wp:inline distT="0" distB="0" distL="0" distR="0">
            <wp:extent cx="4754880" cy="2825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im_mape_history.png"/>
                    <pic:cNvPicPr/>
                  </pic:nvPicPr>
                  <pic:blipFill>
                    <a:blip r:embed="rId12"/>
                    <a:stretch>
                      <a:fillRect/>
                    </a:stretch>
                  </pic:blipFill>
                  <pic:spPr>
                    <a:xfrm>
                      <a:off x="0" y="0"/>
                      <a:ext cx="4754880" cy="2825912"/>
                    </a:xfrm>
                    <a:prstGeom prst="rect">
                      <a:avLst/>
                    </a:prstGeom>
                  </pic:spPr>
                </pic:pic>
              </a:graphicData>
            </a:graphic>
          </wp:inline>
        </w:drawing>
      </w:r>
    </w:p>
    <w:p w:rsidR="00E97264" w:rsidRDefault="0044361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Synthetic simulation: forecast error against months of history (noise 0.10).</w:t>
      </w:r>
    </w:p>
    <w:p w:rsidR="00E97264" w:rsidRDefault="00443610">
      <w:pPr>
        <w:pStyle w:val="Heading1"/>
        <w:pageBreakBefore/>
      </w:pPr>
      <w:r>
        <w:lastRenderedPageBreak/>
        <w:t>2. FUTURE SCOPE</w:t>
      </w:r>
    </w:p>
    <w:p w:rsidR="00E97264" w:rsidRDefault="00443610">
      <w:pPr>
        <w:pStyle w:val="Heading2"/>
      </w:pPr>
      <w:r>
        <w:t>2.1 Close the defects found</w:t>
      </w:r>
    </w:p>
    <w:p w:rsidR="00E97264" w:rsidRDefault="00443610">
      <w:pPr>
        <w:spacing w:after="60"/>
        <w:ind w:left="720" w:hanging="360"/>
      </w:pPr>
      <w:r>
        <w:rPr>
          <w:rFonts w:cs="Times New Roman"/>
        </w:rPr>
        <w:t xml:space="preserve">•  </w:t>
      </w:r>
      <w:r>
        <w:rPr>
          <w:rFonts w:cs="Times New Roman"/>
          <w:b/>
        </w:rPr>
        <w:t>Let the categoriser abstain.</w:t>
      </w:r>
      <w:r>
        <w:rPr>
          <w:rFonts w:cs="Times New Roman"/>
        </w:rPr>
        <w:t xml:space="preserve"> Return Other or ask the user when the top probability is below 0.15, which on the probe set keeps about 62 percent of items at about 94 percent accuracy; show the confidence next to the label.</w:t>
      </w:r>
    </w:p>
    <w:p w:rsidR="00E97264" w:rsidRDefault="00443610">
      <w:pPr>
        <w:spacing w:after="60"/>
        <w:ind w:left="720" w:hanging="360"/>
      </w:pPr>
      <w:r>
        <w:rPr>
          <w:rFonts w:cs="Times New Roman"/>
        </w:rPr>
        <w:t xml:space="preserve">•  </w:t>
      </w:r>
      <w:r>
        <w:rPr>
          <w:rFonts w:cs="Times New Roman"/>
          <w:b/>
        </w:rPr>
        <w:t>Fall back to a mean for short histories.</w:t>
      </w:r>
      <w:r>
        <w:rPr>
          <w:rFonts w:cs="Times New Roman"/>
        </w:rPr>
        <w:t xml:space="preserve"> Use the mean of th</w:t>
      </w:r>
      <w:r>
        <w:rPr>
          <w:rFonts w:cs="Times New Roman"/>
        </w:rPr>
        <w:t>e last three months until about seven months exist, and raise the minimum above three months.</w:t>
      </w:r>
    </w:p>
    <w:p w:rsidR="00E97264" w:rsidRDefault="00443610">
      <w:pPr>
        <w:spacing w:after="60"/>
        <w:ind w:left="720" w:hanging="360"/>
      </w:pPr>
      <w:r>
        <w:rPr>
          <w:rFonts w:cs="Times New Roman"/>
        </w:rPr>
        <w:t xml:space="preserve">•  </w:t>
      </w:r>
      <w:r>
        <w:rPr>
          <w:rFonts w:cs="Times New Roman"/>
          <w:b/>
        </w:rPr>
        <w:t>Fix alert de-duplication and month ends</w:t>
      </w:r>
      <w:r>
        <w:rPr>
          <w:rFonts w:cs="Times New Roman"/>
        </w:rPr>
        <w:t xml:space="preserve"> so that a budget crossing the same threshold in a later month raises a new alert, and compute month ends with the calen</w:t>
      </w:r>
      <w:r>
        <w:rPr>
          <w:rFonts w:cs="Times New Roman"/>
        </w:rPr>
        <w:t>dar.</w:t>
      </w:r>
    </w:p>
    <w:p w:rsidR="00E97264" w:rsidRDefault="00443610">
      <w:pPr>
        <w:spacing w:after="60"/>
        <w:ind w:left="720" w:hanging="360"/>
      </w:pPr>
      <w:r>
        <w:rPr>
          <w:rFonts w:cs="Times New Roman"/>
        </w:rPr>
        <w:t xml:space="preserve">•  </w:t>
      </w:r>
      <w:r>
        <w:rPr>
          <w:rFonts w:cs="Times New Roman"/>
          <w:b/>
        </w:rPr>
        <w:t>Replace the token scheme</w:t>
      </w:r>
      <w:r>
        <w:rPr>
          <w:rFonts w:cs="Times New Roman"/>
        </w:rPr>
        <w:t xml:space="preserve"> with a standard library, require </w:t>
      </w:r>
      <w:r>
        <w:rPr>
          <w:rFonts w:ascii="Consolas" w:eastAsia="Consolas" w:hAnsi="Consolas" w:cs="Consolas"/>
          <w:sz w:val="21"/>
        </w:rPr>
        <w:t>APP_SECRET_KEY</w:t>
      </w:r>
      <w:r>
        <w:rPr>
          <w:rFonts w:cs="Times New Roman"/>
        </w:rPr>
        <w:t xml:space="preserve"> and refuse to start with the default, and add a login rate limit.</w:t>
      </w:r>
    </w:p>
    <w:p w:rsidR="00E97264" w:rsidRDefault="00443610">
      <w:pPr>
        <w:spacing w:after="60"/>
        <w:ind w:left="720" w:hanging="360"/>
      </w:pPr>
      <w:r>
        <w:rPr>
          <w:rFonts w:cs="Times New Roman"/>
        </w:rPr>
        <w:t xml:space="preserve">•  </w:t>
      </w:r>
      <w:r>
        <w:rPr>
          <w:rFonts w:cs="Times New Roman"/>
          <w:b/>
        </w:rPr>
        <w:t>Batch the import commit</w:t>
      </w:r>
      <w:r>
        <w:rPr>
          <w:rFonts w:cs="Times New Roman"/>
        </w:rPr>
        <w:t xml:space="preserve"> into one transaction so that a 1,000-row file takes seconds instead of tens of sec</w:t>
      </w:r>
      <w:r>
        <w:rPr>
          <w:rFonts w:cs="Times New Roman"/>
        </w:rPr>
        <w:t>onds.</w:t>
      </w:r>
    </w:p>
    <w:p w:rsidR="00E97264" w:rsidRDefault="00443610">
      <w:pPr>
        <w:pStyle w:val="Heading2"/>
      </w:pPr>
      <w:r>
        <w:t>2.2 Complete the objectives that were missed</w:t>
      </w:r>
    </w:p>
    <w:p w:rsidR="00E97264" w:rsidRDefault="00443610">
      <w:pPr>
        <w:spacing w:after="60"/>
        <w:ind w:left="720" w:hanging="360"/>
      </w:pPr>
      <w:r>
        <w:rPr>
          <w:rFonts w:cs="Times New Roman"/>
        </w:rPr>
        <w:t xml:space="preserve">•  </w:t>
      </w:r>
      <w:r>
        <w:rPr>
          <w:rFonts w:cs="Times New Roman"/>
          <w:b/>
        </w:rPr>
        <w:t>Anomaly detection.</w:t>
      </w:r>
      <w:r>
        <w:rPr>
          <w:rFonts w:cs="Times New Roman"/>
        </w:rPr>
        <w:t xml:space="preserve"> Start with a robust z-score per category, then an Isolation Forest on amount, category and day features, and measure precision and recall on injected outliers as the base paper does.</w:t>
      </w:r>
    </w:p>
    <w:p w:rsidR="00E97264" w:rsidRDefault="00443610">
      <w:pPr>
        <w:spacing w:after="60"/>
        <w:ind w:left="720" w:hanging="360"/>
      </w:pPr>
      <w:r>
        <w:rPr>
          <w:rFonts w:cs="Times New Roman"/>
        </w:rPr>
        <w:t xml:space="preserve">•  </w:t>
      </w:r>
      <w:r>
        <w:rPr>
          <w:rFonts w:cs="Times New Roman"/>
          <w:b/>
        </w:rPr>
        <w:t>Savings forecasting.</w:t>
      </w:r>
      <w:r>
        <w:rPr>
          <w:rFonts w:cs="Times New Roman"/>
        </w:rPr>
        <w:t xml:space="preserve"> Forecast income minus expenses, and compare a seasonal mean, exponential smoothing and ARIMA with the current line using a rolling-origin backtest.</w:t>
      </w:r>
    </w:p>
    <w:p w:rsidR="00E97264" w:rsidRDefault="00443610">
      <w:pPr>
        <w:spacing w:after="60"/>
        <w:ind w:left="720" w:hanging="360"/>
      </w:pPr>
      <w:r>
        <w:rPr>
          <w:rFonts w:cs="Times New Roman"/>
        </w:rPr>
        <w:t xml:space="preserve">•  </w:t>
      </w:r>
      <w:r>
        <w:rPr>
          <w:rFonts w:cs="Times New Roman"/>
          <w:b/>
        </w:rPr>
        <w:t>A learned budget recommender.</w:t>
      </w:r>
      <w:r>
        <w:rPr>
          <w:rFonts w:cs="Times New Roman"/>
        </w:rPr>
        <w:t xml:space="preserve"> Begin with a rule that proposes budgets from the la</w:t>
      </w:r>
      <w:r>
        <w:rPr>
          <w:rFonts w:cs="Times New Roman"/>
        </w:rPr>
        <w:t>st three months, and consider reinforcement learning only if real histories justify it.</w:t>
      </w:r>
    </w:p>
    <w:p w:rsidR="00E97264" w:rsidRDefault="00443610">
      <w:pPr>
        <w:pStyle w:val="Heading2"/>
      </w:pPr>
      <w:r>
        <w:t>2.3 Add features</w:t>
      </w:r>
    </w:p>
    <w:p w:rsidR="00E97264" w:rsidRDefault="00443610">
      <w:pPr>
        <w:spacing w:after="60"/>
        <w:ind w:left="720" w:hanging="360"/>
      </w:pPr>
      <w:r>
        <w:rPr>
          <w:rFonts w:cs="Times New Roman"/>
        </w:rPr>
        <w:t xml:space="preserve">•  A </w:t>
      </w:r>
      <w:r>
        <w:rPr>
          <w:rFonts w:cs="Times New Roman"/>
          <w:b/>
        </w:rPr>
        <w:t>loan and debt tracker</w:t>
      </w:r>
      <w:r>
        <w:rPr>
          <w:rFonts w:cs="Times New Roman"/>
        </w:rPr>
        <w:t xml:space="preserve"> with amortisation schedules and prepayment comparison, as named in the abstract.</w:t>
      </w:r>
    </w:p>
    <w:p w:rsidR="00E97264" w:rsidRDefault="00443610">
      <w:pPr>
        <w:spacing w:after="60"/>
        <w:ind w:left="720" w:hanging="360"/>
      </w:pPr>
      <w:r>
        <w:rPr>
          <w:rFonts w:cs="Times New Roman"/>
        </w:rPr>
        <w:t xml:space="preserve">•  A </w:t>
      </w:r>
      <w:r>
        <w:rPr>
          <w:rFonts w:cs="Times New Roman"/>
          <w:b/>
        </w:rPr>
        <w:t>scheduler</w:t>
      </w:r>
      <w:r>
        <w:rPr>
          <w:rFonts w:cs="Times New Roman"/>
        </w:rPr>
        <w:t xml:space="preserve"> for weekly or monthly digests and recurring-transaction detection.</w:t>
      </w:r>
    </w:p>
    <w:p w:rsidR="00E97264" w:rsidRDefault="00443610">
      <w:pPr>
        <w:spacing w:after="60"/>
        <w:ind w:left="720" w:hanging="360"/>
      </w:pPr>
      <w:r>
        <w:rPr>
          <w:rFonts w:cs="Times New Roman"/>
        </w:rPr>
        <w:t xml:space="preserve">•  </w:t>
      </w:r>
      <w:r>
        <w:rPr>
          <w:rFonts w:cs="Times New Roman"/>
          <w:b/>
        </w:rPr>
        <w:t>Bank and SMS import</w:t>
      </w:r>
      <w:r>
        <w:rPr>
          <w:rFonts w:cs="Times New Roman"/>
        </w:rPr>
        <w:t xml:space="preserve"> through statement parsers or an account-aggregator API, and merchant-name normalisation.</w:t>
      </w:r>
    </w:p>
    <w:p w:rsidR="00E97264" w:rsidRDefault="00443610">
      <w:pPr>
        <w:spacing w:after="60"/>
        <w:ind w:left="720" w:hanging="360"/>
      </w:pPr>
      <w:r>
        <w:rPr>
          <w:rFonts w:cs="Times New Roman"/>
        </w:rPr>
        <w:lastRenderedPageBreak/>
        <w:t xml:space="preserve">•  A </w:t>
      </w:r>
      <w:r>
        <w:rPr>
          <w:rFonts w:cs="Times New Roman"/>
          <w:b/>
        </w:rPr>
        <w:t>larger labelled corpus</w:t>
      </w:r>
      <w:r>
        <w:rPr>
          <w:rFonts w:cs="Times New Roman"/>
        </w:rPr>
        <w:t xml:space="preserve"> from consenting users and public sets, then a co</w:t>
      </w:r>
      <w:r>
        <w:rPr>
          <w:rFonts w:cs="Times New Roman"/>
        </w:rPr>
        <w:t>mparison of the current model with a linear model on character n-grams and a small transformer.</w:t>
      </w:r>
    </w:p>
    <w:p w:rsidR="00E97264" w:rsidRDefault="00443610">
      <w:pPr>
        <w:spacing w:after="60"/>
        <w:ind w:left="720" w:hanging="360"/>
      </w:pPr>
      <w:r>
        <w:rPr>
          <w:rFonts w:cs="Times New Roman"/>
        </w:rPr>
        <w:t xml:space="preserve">•  </w:t>
      </w:r>
      <w:r>
        <w:rPr>
          <w:rFonts w:cs="Times New Roman"/>
          <w:b/>
        </w:rPr>
        <w:t>Testing the language-model layer</w:t>
      </w:r>
      <w:r>
        <w:rPr>
          <w:rFonts w:cs="Times New Roman"/>
        </w:rPr>
        <w:t xml:space="preserve"> with a key, including answer faithfulness against the database.</w:t>
      </w:r>
    </w:p>
    <w:p w:rsidR="00E97264" w:rsidRDefault="00443610">
      <w:pPr>
        <w:pStyle w:val="Heading2"/>
      </w:pPr>
      <w:r>
        <w:t>2.4 Deploy and scale</w:t>
      </w:r>
    </w:p>
    <w:p w:rsidR="00E97264" w:rsidRDefault="00443610">
      <w:pPr>
        <w:spacing w:after="60"/>
        <w:ind w:left="720" w:hanging="360"/>
      </w:pPr>
      <w:r>
        <w:rPr>
          <w:rFonts w:cs="Times New Roman"/>
        </w:rPr>
        <w:t>•  Move to PostgreSQL with Alembic migr</w:t>
      </w:r>
      <w:r>
        <w:rPr>
          <w:rFonts w:cs="Times New Roman"/>
        </w:rPr>
        <w:t>ations, run several workers behind a reverse proxy and keep secrets in the environment.</w:t>
      </w:r>
    </w:p>
    <w:p w:rsidR="00E97264" w:rsidRDefault="00443610">
      <w:pPr>
        <w:spacing w:after="60"/>
        <w:ind w:left="720" w:hanging="360"/>
      </w:pPr>
      <w:r>
        <w:rPr>
          <w:rFonts w:cs="Times New Roman"/>
        </w:rPr>
        <w:t>•  Add load tests, automated browser tests and a dependency audit to the test suite, and monitor latency and error rates.</w:t>
      </w:r>
    </w:p>
    <w:p w:rsidR="00E97264" w:rsidRDefault="00443610">
      <w:pPr>
        <w:pStyle w:val="Heading1"/>
        <w:pageBreakBefore/>
      </w:pPr>
      <w:r>
        <w:lastRenderedPageBreak/>
        <w:t>3. REFERENCES</w:t>
      </w:r>
    </w:p>
    <w:p w:rsidR="00E97264" w:rsidRDefault="00443610">
      <w:pPr>
        <w:spacing w:after="100" w:line="276" w:lineRule="auto"/>
        <w:ind w:left="648" w:hanging="648"/>
      </w:pPr>
      <w:r>
        <w:rPr>
          <w:rFonts w:cs="Times New Roman"/>
          <w:sz w:val="20"/>
        </w:rPr>
        <w:t>[1]  R. Kharat, S. Solapurkar, A</w:t>
      </w:r>
      <w:r>
        <w:rPr>
          <w:rFonts w:cs="Times New Roman"/>
          <w:sz w:val="20"/>
        </w:rPr>
        <w:t>. Tikkas, M. Uttarwar and A. Yadav, "A smart AI-based personal finance assistant: A multi-model approach for expense categorization, budgeting, forecasting and anomaly detection," Int. J. Research in Applied Science and Engineering Technology (IJRASET), vo</w:t>
      </w:r>
      <w:r>
        <w:rPr>
          <w:rFonts w:cs="Times New Roman"/>
          <w:sz w:val="20"/>
        </w:rPr>
        <w:t>l. 13, no. XI, pp. 167-180, Nov. 2025, doi: 10.22214/ijraset.2025.75019.</w:t>
      </w:r>
    </w:p>
    <w:p w:rsidR="00E97264" w:rsidRDefault="00443610">
      <w:pPr>
        <w:spacing w:after="100" w:line="276" w:lineRule="auto"/>
        <w:ind w:left="648" w:hanging="648"/>
      </w:pPr>
      <w:r>
        <w:rPr>
          <w:rFonts w:cs="Times New Roman"/>
          <w:sz w:val="20"/>
        </w:rPr>
        <w:t>[2]  P. L. To, "Enhancing financial literacy and management through goal-directed design and gamification in personal finance application," arXiv:2601.08640, Jan. 2026.</w:t>
      </w:r>
    </w:p>
    <w:p w:rsidR="00E97264" w:rsidRDefault="00443610">
      <w:pPr>
        <w:spacing w:after="100" w:line="276" w:lineRule="auto"/>
        <w:ind w:left="648" w:hanging="648"/>
      </w:pPr>
      <w:r>
        <w:rPr>
          <w:rFonts w:cs="Times New Roman"/>
          <w:sz w:val="20"/>
        </w:rPr>
        <w:t>[3]  A. Theert</w:t>
      </w:r>
      <w:r>
        <w:rPr>
          <w:rFonts w:cs="Times New Roman"/>
          <w:sz w:val="20"/>
        </w:rPr>
        <w:t>hala, "Synthesizing behaviorally-grounded reasoning chains: A data-generation framework for personal finance LLMs," arXiv:2509.14180 [cs.CL], Sep. 2025.</w:t>
      </w:r>
    </w:p>
    <w:p w:rsidR="00E97264" w:rsidRDefault="00443610">
      <w:pPr>
        <w:spacing w:after="100" w:line="276" w:lineRule="auto"/>
        <w:ind w:left="648" w:hanging="648"/>
      </w:pPr>
      <w:r>
        <w:rPr>
          <w:rFonts w:cs="Times New Roman"/>
          <w:sz w:val="20"/>
        </w:rPr>
        <w:t>[4]  V. Dilip and R. S. Janaki, "FinSenseAI: An explainable AI-based personal finance recommendation an</w:t>
      </w:r>
      <w:r>
        <w:rPr>
          <w:rFonts w:cs="Times New Roman"/>
          <w:sz w:val="20"/>
        </w:rPr>
        <w:t>d expense prediction system using hybrid machine learning models," Int. J. Innovative Science and Research Technology, vol. 11, no. 7, pp. 1637-1650, Jul. 2026, doi: 10.38124/ijisrt/26jul842.</w:t>
      </w:r>
    </w:p>
    <w:p w:rsidR="00E97264" w:rsidRDefault="00443610">
      <w:pPr>
        <w:spacing w:after="100" w:line="276" w:lineRule="auto"/>
        <w:ind w:left="648" w:hanging="648"/>
      </w:pPr>
      <w:r>
        <w:rPr>
          <w:rFonts w:cs="Times New Roman"/>
          <w:sz w:val="20"/>
        </w:rPr>
        <w:t>[5]  F. R. Abiya, S. Parvathy, M. R. Devende, S. R. Ajmalsha and</w:t>
      </w:r>
      <w:r>
        <w:rPr>
          <w:rFonts w:cs="Times New Roman"/>
          <w:sz w:val="20"/>
        </w:rPr>
        <w:t xml:space="preserve"> C. Viji, "Personal expense leakage detection and budget optimization using machine learning," Int. J. Research in Applied Science and Engineering Technology (IJRASET), Apr. 2026, doi: 10.22214/ijraset.2026.79467.</w:t>
      </w:r>
    </w:p>
    <w:p w:rsidR="00E97264" w:rsidRDefault="00443610">
      <w:pPr>
        <w:spacing w:after="100" w:line="276" w:lineRule="auto"/>
        <w:ind w:left="648" w:hanging="648"/>
      </w:pPr>
      <w:r>
        <w:rPr>
          <w:rFonts w:cs="Times New Roman"/>
          <w:sz w:val="20"/>
        </w:rPr>
        <w:t xml:space="preserve">[6]  "AI-driven financial insights for </w:t>
      </w:r>
      <w:r>
        <w:rPr>
          <w:rFonts w:cs="Times New Roman"/>
          <w:sz w:val="20"/>
        </w:rPr>
        <w:t>personal budget planning: A smart approach to future expense prediction," in Proc. 2025 3rd Int. Conf. on Intelligent Data Communication Technologies and Internet of Things (IDCIoT), IEEE, 2025 (IEEE Xplore document 10914721; as listed in the batch survey,</w:t>
      </w:r>
      <w:r>
        <w:rPr>
          <w:rFonts w:cs="Times New Roman"/>
          <w:sz w:val="20"/>
        </w:rPr>
        <w:t xml:space="preserve"> authors not verified).</w:t>
      </w:r>
    </w:p>
    <w:p w:rsidR="00E97264" w:rsidRDefault="00443610">
      <w:pPr>
        <w:spacing w:after="100" w:line="276" w:lineRule="auto"/>
        <w:ind w:left="648" w:hanging="648"/>
      </w:pPr>
      <w:r>
        <w:rPr>
          <w:rFonts w:cs="Times New Roman"/>
          <w:sz w:val="20"/>
        </w:rPr>
        <w:t>[7]  "AI-driven finance management platform for intelligent expense tracking and budget automation," Int. Research J. of Modernization in Engineering Technology and Science, 2026 (as listed in the batch survey; not located, not veri</w:t>
      </w:r>
      <w:r>
        <w:rPr>
          <w:rFonts w:cs="Times New Roman"/>
          <w:sz w:val="20"/>
        </w:rPr>
        <w:t>fied).</w:t>
      </w:r>
    </w:p>
    <w:p w:rsidR="00E97264" w:rsidRDefault="00443610">
      <w:pPr>
        <w:spacing w:after="100" w:line="276" w:lineRule="auto"/>
        <w:ind w:left="648" w:hanging="648"/>
      </w:pPr>
      <w:r>
        <w:rPr>
          <w:rFonts w:cs="Times New Roman"/>
          <w:sz w:val="20"/>
        </w:rPr>
        <w:t>[8]  J. Devlin, M.-W. Chang, K. Lee and K. Toutanova, "BERT: Pre-training of deep bidirectional transformers for language understanding," in Proc. NAACL-HLT, 2019, pp. 4171-4186.</w:t>
      </w:r>
    </w:p>
    <w:p w:rsidR="00E97264" w:rsidRDefault="00443610">
      <w:pPr>
        <w:spacing w:after="100" w:line="276" w:lineRule="auto"/>
        <w:ind w:left="648" w:hanging="648"/>
      </w:pPr>
      <w:r>
        <w:rPr>
          <w:rFonts w:cs="Times New Roman"/>
          <w:sz w:val="20"/>
        </w:rPr>
        <w:t>[9]  D. Araci, "FinBERT: Financial sentiment analysis with pre-trained</w:t>
      </w:r>
      <w:r>
        <w:rPr>
          <w:rFonts w:cs="Times New Roman"/>
          <w:sz w:val="20"/>
        </w:rPr>
        <w:t xml:space="preserve"> language models," arXiv:1908.10063, 2019.</w:t>
      </w:r>
    </w:p>
    <w:p w:rsidR="00E97264" w:rsidRDefault="00443610">
      <w:pPr>
        <w:spacing w:after="100" w:line="276" w:lineRule="auto"/>
        <w:ind w:left="648" w:hanging="648"/>
      </w:pPr>
      <w:r>
        <w:rPr>
          <w:rFonts w:cs="Times New Roman"/>
          <w:sz w:val="20"/>
        </w:rPr>
        <w:t>[10]  F. T. Liu, K. M. Ting and Z.-H. Zhou, "Isolation forest," in Proc. 8th IEEE Int. Conf. on Data Mining (ICDM), 2008, pp. 413-422.</w:t>
      </w:r>
    </w:p>
    <w:p w:rsidR="00E97264" w:rsidRDefault="00443610">
      <w:pPr>
        <w:spacing w:after="100" w:line="276" w:lineRule="auto"/>
        <w:ind w:left="648" w:hanging="648"/>
      </w:pPr>
      <w:r>
        <w:rPr>
          <w:rFonts w:cs="Times New Roman"/>
          <w:sz w:val="20"/>
        </w:rPr>
        <w:t>[11]  S. Hochreiter and J. Schmidhuber, "Long short-term memory," Neural Compu</w:t>
      </w:r>
      <w:r>
        <w:rPr>
          <w:rFonts w:cs="Times New Roman"/>
          <w:sz w:val="20"/>
        </w:rPr>
        <w:t>tation, vol. 9, no. 8, pp. 1735-1780, 1997.</w:t>
      </w:r>
    </w:p>
    <w:p w:rsidR="00E97264" w:rsidRDefault="00443610">
      <w:pPr>
        <w:spacing w:after="100" w:line="276" w:lineRule="auto"/>
        <w:ind w:left="648" w:hanging="648"/>
      </w:pPr>
      <w:r>
        <w:rPr>
          <w:rFonts w:cs="Times New Roman"/>
          <w:sz w:val="20"/>
        </w:rPr>
        <w:t>[12]  C. J. C. H. Watkins and P. Dayan, "Q-learning," Machine Learning, vol. 8, no. 3-4, pp. 279-292, 1992.</w:t>
      </w:r>
    </w:p>
    <w:p w:rsidR="00E97264" w:rsidRDefault="00443610">
      <w:pPr>
        <w:spacing w:after="100" w:line="276" w:lineRule="auto"/>
        <w:ind w:left="648" w:hanging="648"/>
      </w:pPr>
      <w:r>
        <w:rPr>
          <w:rFonts w:cs="Times New Roman"/>
          <w:sz w:val="20"/>
        </w:rPr>
        <w:t>[13]  N. V. Chawla, K. W. Bowyer, L. O. Hall and W. P. Kegelmeyer, "SMOTE: Synthetic minority over-sampl</w:t>
      </w:r>
      <w:r>
        <w:rPr>
          <w:rFonts w:cs="Times New Roman"/>
          <w:sz w:val="20"/>
        </w:rPr>
        <w:t>ing technique," J. Artificial Intelligence Research, vol. 16, pp. 321-357, 2002.</w:t>
      </w:r>
    </w:p>
    <w:p w:rsidR="00E97264" w:rsidRDefault="00443610">
      <w:pPr>
        <w:spacing w:after="100" w:line="276" w:lineRule="auto"/>
        <w:ind w:left="648" w:hanging="648"/>
      </w:pPr>
      <w:r>
        <w:rPr>
          <w:rFonts w:cs="Times New Roman"/>
          <w:sz w:val="20"/>
        </w:rPr>
        <w:t>[14]  F. Pedregosa et al., "Scikit-learn: Machine learning in Python," J. Machine Learning Research, vol. 12, pp. 2825-2830, 2011.</w:t>
      </w:r>
    </w:p>
    <w:p w:rsidR="00E97264" w:rsidRDefault="00443610">
      <w:pPr>
        <w:spacing w:after="100" w:line="276" w:lineRule="auto"/>
        <w:ind w:left="648" w:hanging="648"/>
      </w:pPr>
      <w:r>
        <w:rPr>
          <w:rFonts w:cs="Times New Roman"/>
          <w:sz w:val="20"/>
        </w:rPr>
        <w:t>[15]  G. Salton and C. Buckley, "Term-weight</w:t>
      </w:r>
      <w:r>
        <w:rPr>
          <w:rFonts w:cs="Times New Roman"/>
          <w:sz w:val="20"/>
        </w:rPr>
        <w:t>ing approaches in automatic text retrieval," Information Processing &amp; Management, vol. 24, no. 5, pp. 513-523, 1988.</w:t>
      </w:r>
    </w:p>
    <w:p w:rsidR="00E97264" w:rsidRDefault="00443610">
      <w:pPr>
        <w:spacing w:after="100" w:line="276" w:lineRule="auto"/>
        <w:ind w:left="648" w:hanging="648"/>
      </w:pPr>
      <w:r>
        <w:rPr>
          <w:rFonts w:cs="Times New Roman"/>
          <w:sz w:val="20"/>
        </w:rPr>
        <w:t>[16]  R. J. Hyndman and A. B. Koehler, "Another look at measures of forecast accuracy," Int. J. Forecasting, vol. 22, no. 4, pp. 679-688, 2</w:t>
      </w:r>
      <w:r>
        <w:rPr>
          <w:rFonts w:cs="Times New Roman"/>
          <w:sz w:val="20"/>
        </w:rPr>
        <w:t>006.</w:t>
      </w:r>
    </w:p>
    <w:p w:rsidR="00E97264" w:rsidRDefault="00443610">
      <w:pPr>
        <w:spacing w:after="100" w:line="276" w:lineRule="auto"/>
        <w:ind w:left="648" w:hanging="648"/>
      </w:pPr>
      <w:r>
        <w:rPr>
          <w:rFonts w:cs="Times New Roman"/>
          <w:sz w:val="20"/>
        </w:rPr>
        <w:t>[17]  S. Makridakis, E. Spiliotis and V. Assimakopoulos, "Statistical and machine learning forecasting methods: Concerns and ways forward," PLoS ONE, vol. 13, no. 3, e0194889, 2018.</w:t>
      </w:r>
    </w:p>
    <w:p w:rsidR="00E97264" w:rsidRDefault="00443610">
      <w:pPr>
        <w:spacing w:after="100" w:line="276" w:lineRule="auto"/>
        <w:ind w:left="648" w:hanging="648"/>
      </w:pPr>
      <w:r>
        <w:rPr>
          <w:rFonts w:cs="Times New Roman"/>
          <w:sz w:val="20"/>
        </w:rPr>
        <w:t>[18]  R. J. Hyndman and G. Athanasopoulos, Forecasting: Principles an</w:t>
      </w:r>
      <w:r>
        <w:rPr>
          <w:rFonts w:cs="Times New Roman"/>
          <w:sz w:val="20"/>
        </w:rPr>
        <w:t>d Practice, 3rd ed. Melbourne, Australia: OTexts, 2021.</w:t>
      </w:r>
    </w:p>
    <w:p w:rsidR="00E97264" w:rsidRDefault="00443610">
      <w:pPr>
        <w:spacing w:after="100" w:line="276" w:lineRule="auto"/>
        <w:ind w:left="648" w:hanging="648"/>
      </w:pPr>
      <w:r>
        <w:rPr>
          <w:rFonts w:cs="Times New Roman"/>
          <w:sz w:val="20"/>
        </w:rPr>
        <w:lastRenderedPageBreak/>
        <w:t>[19]  A. Lusardi and O. S. Mitchell, "The economic importance of financial literacy: Theory and evidence," J. Economic Literature, vol. 52, no. 1, pp. 5-44, 2014.</w:t>
      </w:r>
    </w:p>
    <w:p w:rsidR="00E97264" w:rsidRDefault="00443610">
      <w:pPr>
        <w:spacing w:after="100" w:line="276" w:lineRule="auto"/>
        <w:ind w:left="648" w:hanging="648"/>
      </w:pPr>
      <w:r>
        <w:rPr>
          <w:rFonts w:cs="Times New Roman"/>
          <w:sz w:val="20"/>
        </w:rPr>
        <w:t>[20]  N. Provos and D. Mazieres, "A f</w:t>
      </w:r>
      <w:r>
        <w:rPr>
          <w:rFonts w:cs="Times New Roman"/>
          <w:sz w:val="20"/>
        </w:rPr>
        <w:t>uture-adaptable password scheme," in Proc. USENIX Annual Technical Conf., FREENIX Track, 1999, pp. 81-91.</w:t>
      </w:r>
    </w:p>
    <w:p w:rsidR="00E97264" w:rsidRDefault="00443610">
      <w:pPr>
        <w:spacing w:after="100" w:line="276" w:lineRule="auto"/>
        <w:ind w:left="648" w:hanging="648"/>
      </w:pPr>
      <w:r>
        <w:rPr>
          <w:rFonts w:cs="Times New Roman"/>
          <w:sz w:val="20"/>
        </w:rPr>
        <w:t xml:space="preserve">[21]  R. T. Fielding, "Architectural styles and the design of network-based software architectures," Ph.D. dissertation, Univ. of California, Irvine, </w:t>
      </w:r>
      <w:r>
        <w:rPr>
          <w:rFonts w:cs="Times New Roman"/>
          <w:sz w:val="20"/>
        </w:rPr>
        <w:t>2000.</w:t>
      </w:r>
    </w:p>
    <w:p w:rsidR="00E97264" w:rsidRDefault="00443610">
      <w:pPr>
        <w:spacing w:after="100" w:line="276" w:lineRule="auto"/>
        <w:ind w:left="648" w:hanging="648"/>
      </w:pPr>
      <w:r>
        <w:rPr>
          <w:rFonts w:cs="Times New Roman"/>
          <w:sz w:val="20"/>
        </w:rPr>
        <w:t>[22]  M. Bayer, "SQLAlchemy," in The Architecture of Open Source Applications, Volume II, A. Brown and G. Wilson, Eds. 2012.</w:t>
      </w:r>
    </w:p>
    <w:p w:rsidR="00E97264" w:rsidRDefault="00443610">
      <w:pPr>
        <w:spacing w:after="100" w:line="276" w:lineRule="auto"/>
        <w:ind w:left="648" w:hanging="648"/>
      </w:pPr>
      <w:r>
        <w:rPr>
          <w:rFonts w:cs="Times New Roman"/>
          <w:sz w:val="20"/>
        </w:rPr>
        <w:t xml:space="preserve">[23]  R. Kohavi, "A study of cross-validation and bootstrap for accuracy estimation and model selection," in Proc. 14th Int. </w:t>
      </w:r>
      <w:r>
        <w:rPr>
          <w:rFonts w:cs="Times New Roman"/>
          <w:sz w:val="20"/>
        </w:rPr>
        <w:t>Joint Conf. on Artificial Intelligence (IJCAI), 1995, pp. 1137-1143.</w:t>
      </w:r>
    </w:p>
    <w:sectPr w:rsidR="00E97264" w:rsidSect="00034616">
      <w:headerReference w:type="default" r:id="rId13"/>
      <w:footerReference w:type="default" r:id="rId1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43610">
      <w:pPr>
        <w:spacing w:after="0" w:line="240" w:lineRule="auto"/>
      </w:pPr>
      <w:r>
        <w:separator/>
      </w:r>
    </w:p>
  </w:endnote>
  <w:endnote w:type="continuationSeparator" w:id="0">
    <w:p w:rsidR="00000000" w:rsidRDefault="00443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264" w:rsidRDefault="0044361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43610">
      <w:pPr>
        <w:spacing w:after="0" w:line="240" w:lineRule="auto"/>
      </w:pPr>
      <w:r>
        <w:separator/>
      </w:r>
    </w:p>
  </w:footnote>
  <w:footnote w:type="continuationSeparator" w:id="0">
    <w:p w:rsidR="00000000" w:rsidRDefault="00443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7264" w:rsidRDefault="00443610">
    <w:pPr>
      <w:pStyle w:val="Header"/>
      <w:jc w:val="center"/>
    </w:pPr>
    <w:r>
      <w:rPr>
        <w:rFonts w:cs="Times New Roman"/>
        <w:i/>
        <w:color w:val="555555"/>
        <w:sz w:val="20"/>
      </w:rPr>
      <w:t>FINJARVIS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610"/>
    <w:rsid w:val="00AA1D8D"/>
    <w:rsid w:val="00B47730"/>
    <w:rsid w:val="00CB0664"/>
    <w:rsid w:val="00E97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5C997D5-3D4C-4326-A70E-5EEF24AF0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443610"/>
    <w:pPr>
      <w:spacing w:after="0" w:line="240" w:lineRule="auto"/>
    </w:pPr>
    <w:rPr>
      <w:rFonts w:cs="Times New Roman"/>
      <w:sz w:val="21"/>
    </w:rPr>
  </w:style>
  <w:style w:type="paragraph" w:styleId="TOC2">
    <w:name w:val="toc 2"/>
    <w:basedOn w:val="Normal"/>
    <w:next w:val="Normal"/>
    <w:autoRedefine/>
    <w:uiPriority w:val="39"/>
    <w:semiHidden/>
    <w:unhideWhenUsed/>
    <w:rsid w:val="00443610"/>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443610"/>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870BE-A546-4E97-BAE7-FDBDA717A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1890</Words>
  <Characters>10294</Characters>
  <Application>Microsoft Office Word</Application>
  <DocSecurity>0</DocSecurity>
  <Lines>225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2026-10-26T11:10:00Z</dcterms:modified>
  <cp:category/>
</cp:coreProperties>
</file>