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FINJARVIS: An AI Based Personal Finance Manager with Expense Categorisation, Spending Forecast and Health Score</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MEKALA KALYAN</w:t>
            </w:r>
          </w:p>
          <w:p>
            <w:pPr>
              <w:spacing w:after="0"/>
              <w:jc w:val="center"/>
            </w:pPr>
            <w:r>
              <w:rPr>
                <w:rFonts w:ascii="Times New Roman" w:hAnsi="Times New Roman" w:cs="Times New Roman" w:eastAsia="Times New Roman"/>
                <w:b w:val="0"/>
                <w:sz w:val="18"/>
              </w:rPr>
              <w:t>Roll No. 23K91A05F0</w:t>
            </w:r>
          </w:p>
          <w:p>
            <w:pPr>
              <w:spacing w:after="0"/>
              <w:jc w:val="center"/>
            </w:pPr>
            <w:r>
              <w:rPr>
                <w:rFonts w:ascii="Times New Roman" w:hAnsi="Times New Roman" w:cs="Times New Roman" w:eastAsia="Times New Roman"/>
                <w:b w:val="0"/>
                <w:sz w:val="18"/>
              </w:rPr>
              <w:t>Dept. of CSE</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RAJANALA SAI HEMANTH</w:t>
            </w:r>
          </w:p>
          <w:p>
            <w:pPr>
              <w:spacing w:after="0"/>
              <w:jc w:val="center"/>
            </w:pPr>
            <w:r>
              <w:rPr>
                <w:rFonts w:ascii="Times New Roman" w:hAnsi="Times New Roman" w:cs="Times New Roman" w:eastAsia="Times New Roman"/>
                <w:b w:val="0"/>
                <w:sz w:val="18"/>
              </w:rPr>
              <w:t>Roll No. 23K91A05K3</w:t>
            </w:r>
          </w:p>
          <w:p>
            <w:pPr>
              <w:spacing w:after="0"/>
              <w:jc w:val="center"/>
            </w:pPr>
            <w:r>
              <w:rPr>
                <w:rFonts w:ascii="Times New Roman" w:hAnsi="Times New Roman" w:cs="Times New Roman" w:eastAsia="Times New Roman"/>
                <w:b w:val="0"/>
                <w:sz w:val="18"/>
              </w:rPr>
              <w:t>Dept. of CSE</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MIDDALA SURYA TEJA REDDY</w:t>
            </w:r>
          </w:p>
          <w:p>
            <w:pPr>
              <w:spacing w:after="0"/>
              <w:jc w:val="center"/>
            </w:pPr>
            <w:r>
              <w:rPr>
                <w:rFonts w:ascii="Times New Roman" w:hAnsi="Times New Roman" w:cs="Times New Roman" w:eastAsia="Times New Roman"/>
                <w:b w:val="0"/>
                <w:sz w:val="18"/>
              </w:rPr>
              <w:t>Roll No. 23K91A05F2</w:t>
            </w:r>
          </w:p>
          <w:p>
            <w:pPr>
              <w:spacing w:after="0"/>
              <w:jc w:val="center"/>
            </w:pPr>
            <w:r>
              <w:rPr>
                <w:rFonts w:ascii="Times New Roman" w:hAnsi="Times New Roman" w:cs="Times New Roman" w:eastAsia="Times New Roman"/>
                <w:b w:val="0"/>
                <w:sz w:val="18"/>
              </w:rPr>
              <w:t>Dept. of CSE</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MANGA AKASH</w:t>
            </w:r>
          </w:p>
          <w:p>
            <w:pPr>
              <w:spacing w:after="0"/>
              <w:jc w:val="center"/>
            </w:pPr>
            <w:r>
              <w:rPr>
                <w:rFonts w:ascii="Times New Roman" w:hAnsi="Times New Roman" w:cs="Times New Roman" w:eastAsia="Times New Roman"/>
                <w:b w:val="0"/>
                <w:sz w:val="18"/>
              </w:rPr>
              <w:t>Roll No. 23K91A05E5</w:t>
            </w:r>
          </w:p>
          <w:p>
            <w:pPr>
              <w:spacing w:after="0"/>
              <w:jc w:val="center"/>
            </w:pPr>
            <w:r>
              <w:rPr>
                <w:rFonts w:ascii="Times New Roman" w:hAnsi="Times New Roman" w:cs="Times New Roman" w:eastAsia="Times New Roman"/>
                <w:b w:val="0"/>
                <w:sz w:val="18"/>
              </w:rPr>
              <w:t>Dept. of CSE</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N PADMAVATHI</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CSE</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Most budgeting tools report what was spent but neither predict nor explain it, and manual entry is tedious. This paper presents FINJARVIS, a web application in which a user records or imports transactions, a TF-IDF and logistic-regression model labels each one, a linear trend forecasts next month's spending, six weighted components give a 0-100 financial health score, and a rule-routed assistant answers questions from the user's own records. The system has 33 API routes and 6 tables and passes 38 unit tests and 49 end-to-end checks. On a 198-description probe set the categoriser reaches 71.7 % accuracy, but only 18.2 % on merchants it has not seen, because it learns from just 51 examples. On a six-month demo history the linear trend is not better than a plain average, and a simulation shows that it needs about seven months of data before it is. The assistant answered 14 of 20 answerable questions. Anomaly detection, reinforcement-learning budgeting and deep-learning forecasting from the base paper are not implemented.</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budgeting, expense categorisation, financial health score, forecasting, logistic regression, personal finance, TF-IDF.</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People now hold salaries, cards, UPI payments, recurring bills and investments at once, and managing them well matters: financial literacy is linked to saving, investment and retirement planning [2], and low literacy is reported among young adults in particular [3]. In practice most people either keep no record or keep one by hand. A spreadsheet or a ledger shows what has already been spent, takes time to maintain, and says nothing about the month ahead; commercial applications add automation but are closed, paid and not adaptable to one household's commitments. The base paper of this project [1] proposes four models in one assistant (BERT categorisation, Q-learning budgeting, LSTM forecasting and Isolation Forest anomaly detection) and reports high scores, but on synthetic or privately collected data, and without a runnable application that others can inspect.</w:t>
      </w:r>
    </w:p>
    <w:p>
      <w:pPr>
        <w:keepNext w:val="0"/>
        <w:spacing w:after="0" w:before="0" w:line="240" w:lineRule="auto"/>
        <w:ind w:firstLine="288"/>
        <w:jc w:val="both"/>
      </w:pPr>
      <w:r>
        <w:rPr>
          <w:rFonts w:ascii="Times New Roman" w:hAnsi="Times New Roman" w:cs="Times New Roman" w:eastAsia="Times New Roman"/>
          <w:sz w:val="20"/>
        </w:rPr>
        <w:t>This paper makes four contributions. (1) FINJARVIS, a tested full-stack platform (FastAPI, React, SQLite; 33 routes, 6 tables) for accounts, transactions, CSV and Excel import, budgets with alerts, goals, investments, reports and an assistant. (2) Three transparent AI modules: a TF-IDF and logistic-regression categoriser that retrains on a user's corrections, a least-squares trend forecast, and a six-component health score. (3) Verification with 38 pytest tests, 49 end-to-end checks and measured response times. (4) An honest measurement of where the simple modules fail: on unseen merchants, on short histories and on questions outside five intents. Section II reviews related work, Section III the method, Section IV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measurements were taken on one machine: Intel Core i5-12500 (6 cores, 12 threads), 15.7 GB RAM, Intel UHD 770 graphics (no discrete GPU, none used), Windows 11 Pro, with other programs running.</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FastAPI 0.159.1, SQLAlchemy 2.1.6 [4] on SQLite, scikit-learn 1.9.1 [5], pandas 3.0.6, NumPy 2.4.6, pydantic 2.14.1, passlib 1.7.4 with bcrypt 4.0.1 [6], ReportLab 5.1.0 and openpyxl 3.1.5 for reports, React 18.3 with Vite 8, Tailwind 4, Recharts and TanStack Query on Node 24.19.0, pytest 8.2.0 and Playwright with Chrome for tests and screenshots.</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Kharat et al. [1] build a Smart Personal Finance Assistant from four modules. A bert-base-uncased model is fine-tuned to classify transaction descriptions (128 tokens, learning rate 5e-5, batch 8, ten epochs, 80/20 split), with the category set widened from 16 to 50 and SMOTE [7] used against class imbalance; a tabular Q-learning [8] agent with states built from income, fixed and variable expenses and a savings goal, a reward of +1 or -1, alpha 0.1, gamma 0.95 and epsilon decaying from 0.995 to 0.01 over 300 episodes recommends one of three savings levels; an LSTM [9] with 64 units trained on 12-month savings sequences forecasts the next savings value; and an Isolation Forest [10] with 300 trees and a contamination of 0.015 flags unusual transactions from savings and expense ratios. The modules sit behind a Streamlit interface. Reported results are 92.3 % accuracy, 90.8 % precision, 91.5 % recall and 91.1 % F1 for categorisation, RMSE 137.2, MAE 89.5 and R2 0.63 for the savings forecast, and 93 %, 94 % and 94 % precision, recall and F1 for anomalies, plus improvements of 42 %, 31 %, 29 % and 27 % over rule-based, static, ARIMA and manual baselines. The data are synthetic or collected from financial APIs and labelled by hand, are not released, and the unit of the forecast errors is not stated.</w:t>
      </w:r>
    </w:p>
    <w:p>
      <w:pPr>
        <w:keepNext w:val="0"/>
        <w:spacing w:after="0" w:before="0" w:line="240" w:lineRule="auto"/>
        <w:ind w:firstLine="288"/>
        <w:jc w:val="both"/>
      </w:pPr>
      <w:r>
        <w:rPr>
          <w:rFonts w:ascii="Times New Roman" w:hAnsi="Times New Roman" w:cs="Times New Roman" w:eastAsia="Times New Roman"/>
          <w:b/>
          <w:sz w:val="20"/>
        </w:rPr>
        <w:t>Related work.</w:t>
      </w:r>
      <w:r>
        <w:rPr>
          <w:rFonts w:ascii="Times New Roman" w:hAnsi="Times New Roman" w:cs="Times New Roman" w:eastAsia="Times New Roman"/>
          <w:sz w:val="20"/>
        </w:rPr>
        <w:t xml:space="preserve"> For text categorisation, term weighting with TF-IDF [11] is the classical, inspectable baseline, and pre-trained transformers such as BERT [12] and its financial variant FinBERT [13] add context at the cost of data and compute. For forecasting, error measures such as MAPE need care [14], and the M3 comparison of Makridakis et al. [15] found that simple statistical methods were at least as accurate as the machine-learning methods tested, which is relevant when a user has only a few months of history. Recent personal-finance systems combine such models: FinSenseAI [16] joins XGBoost, an LSTM and SHAP explanations for expense prediction, and a leakage-detection system [17] uses an Isolation Forest and K-Means on synthetic transactions; a data-generation framework [18] fine-tunes an 8-billion-parameter language model for personal-finance advice, and a design study [3] builds a gamified mobile app for young adults. Table I states what each work reports, using only what its text says.</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RELATED WORK COMPARED</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893"/>
          </w:tcPr>
          <w:p>
            <w:pPr>
              <w:keepNext/>
              <w:jc w:val="center"/>
            </w:pPr>
            <w:r/>
            <w:r>
              <w:rPr>
                <w:rFonts w:ascii="Times New Roman" w:hAnsi="Times New Roman" w:cs="Times New Roman" w:eastAsia="Times New Roman"/>
                <w:b/>
                <w:sz w:val="11"/>
              </w:rPr>
              <w:t>Work</w:t>
            </w:r>
          </w:p>
        </w:tc>
        <w:tc>
          <w:tcPr>
            <w:tcW w:type="dxa" w:w="1152"/>
          </w:tcPr>
          <w:p>
            <w:pPr>
              <w:keepNext/>
              <w:jc w:val="center"/>
            </w:pPr>
            <w:r/>
            <w:r>
              <w:rPr>
                <w:rFonts w:ascii="Times New Roman" w:hAnsi="Times New Roman" w:cs="Times New Roman" w:eastAsia="Times New Roman"/>
                <w:b/>
                <w:sz w:val="11"/>
              </w:rPr>
              <w:t>Approach</w:t>
            </w:r>
          </w:p>
        </w:tc>
        <w:tc>
          <w:tcPr>
            <w:tcW w:type="dxa" w:w="893"/>
          </w:tcPr>
          <w:p>
            <w:pPr>
              <w:keepNext/>
              <w:jc w:val="center"/>
            </w:pPr>
            <w:r/>
            <w:r>
              <w:rPr>
                <w:rFonts w:ascii="Times New Roman" w:hAnsi="Times New Roman" w:cs="Times New Roman" w:eastAsia="Times New Roman"/>
                <w:b/>
                <w:sz w:val="11"/>
              </w:rPr>
              <w:t>Data</w:t>
            </w:r>
          </w:p>
        </w:tc>
        <w:tc>
          <w:tcPr>
            <w:tcW w:type="dxa" w:w="1066"/>
          </w:tcPr>
          <w:p>
            <w:pPr>
              <w:keepNext/>
              <w:jc w:val="center"/>
            </w:pPr>
            <w:r/>
            <w:r>
              <w:rPr>
                <w:rFonts w:ascii="Times New Roman" w:hAnsi="Times New Roman" w:cs="Times New Roman" w:eastAsia="Times New Roman"/>
                <w:b/>
                <w:sz w:val="11"/>
              </w:rPr>
              <w:t>Reported result</w:t>
            </w:r>
          </w:p>
        </w:tc>
        <w:tc>
          <w:tcPr>
            <w:tcW w:type="dxa" w:w="893"/>
          </w:tcPr>
          <w:p>
            <w:pPr>
              <w:keepNext/>
              <w:jc w:val="center"/>
            </w:pPr>
            <w:r/>
            <w:r>
              <w:rPr>
                <w:rFonts w:ascii="Times New Roman" w:hAnsi="Times New Roman" w:cs="Times New Roman" w:eastAsia="Times New Roman"/>
                <w:b/>
                <w:sz w:val="11"/>
              </w:rPr>
              <w:t>Limitation</w:t>
            </w:r>
          </w:p>
        </w:tc>
      </w:tr>
      <w:tr>
        <w:trPr>
          <w:cantSplit w:val="true"/>
        </w:trPr>
        <w:tc>
          <w:tcPr>
            <w:tcW w:type="dxa" w:w="893"/>
          </w:tcPr>
          <w:p>
            <w:pPr>
              <w:keepNext/>
              <w:jc w:val="left"/>
            </w:pPr>
            <w:r/>
            <w:r>
              <w:rPr>
                <w:rFonts w:ascii="Times New Roman" w:hAnsi="Times New Roman" w:cs="Times New Roman" w:eastAsia="Times New Roman"/>
                <w:sz w:val="11"/>
              </w:rPr>
              <w:t>Kharat et al. [1]</w:t>
            </w:r>
          </w:p>
        </w:tc>
        <w:tc>
          <w:tcPr>
            <w:tcW w:type="dxa" w:w="1152"/>
          </w:tcPr>
          <w:p>
            <w:pPr>
              <w:keepNext/>
              <w:jc w:val="left"/>
            </w:pPr>
            <w:r/>
            <w:r>
              <w:rPr>
                <w:rFonts w:ascii="Times New Roman" w:hAnsi="Times New Roman" w:cs="Times New Roman" w:eastAsia="Times New Roman"/>
                <w:sz w:val="11"/>
              </w:rPr>
              <w:t>BERT, Q-learning, LSTM, Isolation Forest; Streamlit</w:t>
            </w:r>
          </w:p>
        </w:tc>
        <w:tc>
          <w:tcPr>
            <w:tcW w:type="dxa" w:w="893"/>
          </w:tcPr>
          <w:p>
            <w:pPr>
              <w:keepNext/>
              <w:jc w:val="left"/>
            </w:pPr>
            <w:r/>
            <w:r>
              <w:rPr>
                <w:rFonts w:ascii="Times New Roman" w:hAnsi="Times New Roman" w:cs="Times New Roman" w:eastAsia="Times New Roman"/>
                <w:sz w:val="11"/>
              </w:rPr>
              <w:t>Synthetic and labelled real data, 50 categories</w:t>
            </w:r>
          </w:p>
        </w:tc>
        <w:tc>
          <w:tcPr>
            <w:tcW w:type="dxa" w:w="1066"/>
          </w:tcPr>
          <w:p>
            <w:pPr>
              <w:keepNext/>
              <w:jc w:val="left"/>
            </w:pPr>
            <w:r/>
            <w:r>
              <w:rPr>
                <w:rFonts w:ascii="Times New Roman" w:hAnsi="Times New Roman" w:cs="Times New Roman" w:eastAsia="Times New Roman"/>
                <w:sz w:val="11"/>
              </w:rPr>
              <w:t>Accuracy 92.3 %; R2 0.63; anomaly F1 94 %</w:t>
            </w:r>
          </w:p>
        </w:tc>
        <w:tc>
          <w:tcPr>
            <w:tcW w:type="dxa" w:w="893"/>
          </w:tcPr>
          <w:p>
            <w:pPr>
              <w:keepNext/>
              <w:jc w:val="left"/>
            </w:pPr>
            <w:r/>
            <w:r>
              <w:rPr>
                <w:rFonts w:ascii="Times New Roman" w:hAnsi="Times New Roman" w:cs="Times New Roman" w:eastAsia="Times New Roman"/>
                <w:sz w:val="11"/>
              </w:rPr>
              <w:t>Data not released; no deployed app</w:t>
            </w:r>
          </w:p>
        </w:tc>
      </w:tr>
      <w:tr>
        <w:trPr>
          <w:cantSplit w:val="true"/>
        </w:trPr>
        <w:tc>
          <w:tcPr>
            <w:tcW w:type="dxa" w:w="893"/>
          </w:tcPr>
          <w:p>
            <w:pPr>
              <w:keepNext/>
              <w:jc w:val="left"/>
            </w:pPr>
            <w:r/>
            <w:r>
              <w:rPr>
                <w:rFonts w:ascii="Times New Roman" w:hAnsi="Times New Roman" w:cs="Times New Roman" w:eastAsia="Times New Roman"/>
                <w:sz w:val="11"/>
              </w:rPr>
              <w:t>Dilip, Janaki [16]</w:t>
            </w:r>
          </w:p>
        </w:tc>
        <w:tc>
          <w:tcPr>
            <w:tcW w:type="dxa" w:w="1152"/>
          </w:tcPr>
          <w:p>
            <w:pPr>
              <w:keepNext/>
              <w:jc w:val="left"/>
            </w:pPr>
            <w:r/>
            <w:r>
              <w:rPr>
                <w:rFonts w:ascii="Times New Roman" w:hAnsi="Times New Roman" w:cs="Times New Roman" w:eastAsia="Times New Roman"/>
                <w:sz w:val="11"/>
              </w:rPr>
              <w:t>XGBoost + LSTM + SHAP expense prediction</w:t>
            </w:r>
          </w:p>
        </w:tc>
        <w:tc>
          <w:tcPr>
            <w:tcW w:type="dxa" w:w="893"/>
          </w:tcPr>
          <w:p>
            <w:pPr>
              <w:keepNext/>
              <w:jc w:val="left"/>
            </w:pPr>
            <w:r/>
            <w:r>
              <w:rPr>
                <w:rFonts w:ascii="Times New Roman" w:hAnsi="Times New Roman" w:cs="Times New Roman" w:eastAsia="Times New Roman"/>
                <w:sz w:val="11"/>
              </w:rPr>
              <w:t>Real transaction table, size not stated</w:t>
            </w:r>
          </w:p>
        </w:tc>
        <w:tc>
          <w:tcPr>
            <w:tcW w:type="dxa" w:w="1066"/>
          </w:tcPr>
          <w:p>
            <w:pPr>
              <w:keepNext/>
              <w:jc w:val="left"/>
            </w:pPr>
            <w:r/>
            <w:r>
              <w:rPr>
                <w:rFonts w:ascii="Times New Roman" w:hAnsi="Times New Roman" w:cs="Times New Roman" w:eastAsia="Times New Roman"/>
                <w:sz w:val="11"/>
              </w:rPr>
              <w:t>No numeric result in the text read</w:t>
            </w:r>
          </w:p>
        </w:tc>
        <w:tc>
          <w:tcPr>
            <w:tcW w:type="dxa" w:w="893"/>
          </w:tcPr>
          <w:p>
            <w:pPr>
              <w:keepNext/>
              <w:jc w:val="left"/>
            </w:pPr>
            <w:r/>
            <w:r>
              <w:rPr>
                <w:rFonts w:ascii="Times New Roman" w:hAnsi="Times New Roman" w:cs="Times New Roman" w:eastAsia="Times New Roman"/>
                <w:sz w:val="11"/>
              </w:rPr>
              <w:t>Metrics listed, not reported</w:t>
            </w:r>
          </w:p>
        </w:tc>
      </w:tr>
      <w:tr>
        <w:trPr>
          <w:cantSplit w:val="true"/>
        </w:trPr>
        <w:tc>
          <w:tcPr>
            <w:tcW w:type="dxa" w:w="893"/>
          </w:tcPr>
          <w:p>
            <w:pPr>
              <w:keepNext/>
              <w:jc w:val="left"/>
            </w:pPr>
            <w:r/>
            <w:r>
              <w:rPr>
                <w:rFonts w:ascii="Times New Roman" w:hAnsi="Times New Roman" w:cs="Times New Roman" w:eastAsia="Times New Roman"/>
                <w:sz w:val="11"/>
              </w:rPr>
              <w:t>Abiya et al. [17]</w:t>
            </w:r>
          </w:p>
        </w:tc>
        <w:tc>
          <w:tcPr>
            <w:tcW w:type="dxa" w:w="1152"/>
          </w:tcPr>
          <w:p>
            <w:pPr>
              <w:keepNext/>
              <w:jc w:val="left"/>
            </w:pPr>
            <w:r/>
            <w:r>
              <w:rPr>
                <w:rFonts w:ascii="Times New Roman" w:hAnsi="Times New Roman" w:cs="Times New Roman" w:eastAsia="Times New Roman"/>
                <w:sz w:val="11"/>
              </w:rPr>
              <w:t>Isolation Forest + K-Means; subscription and balance forecast</w:t>
            </w:r>
          </w:p>
        </w:tc>
        <w:tc>
          <w:tcPr>
            <w:tcW w:type="dxa" w:w="893"/>
          </w:tcPr>
          <w:p>
            <w:pPr>
              <w:keepNext/>
              <w:jc w:val="left"/>
            </w:pPr>
            <w:r/>
            <w:r>
              <w:rPr>
                <w:rFonts w:ascii="Times New Roman" w:hAnsi="Times New Roman" w:cs="Times New Roman" w:eastAsia="Times New Roman"/>
                <w:sz w:val="11"/>
              </w:rPr>
              <w:t>Synthetic transactions</w:t>
            </w:r>
          </w:p>
        </w:tc>
        <w:tc>
          <w:tcPr>
            <w:tcW w:type="dxa" w:w="1066"/>
          </w:tcPr>
          <w:p>
            <w:pPr>
              <w:keepNext/>
              <w:jc w:val="left"/>
            </w:pPr>
            <w:r/>
            <w:r>
              <w:rPr>
                <w:rFonts w:ascii="Times New Roman" w:hAnsi="Times New Roman" w:cs="Times New Roman" w:eastAsia="Times New Roman"/>
                <w:sz w:val="11"/>
              </w:rPr>
              <w:t>Better than rule-based budgeting (no metrics)</w:t>
            </w:r>
          </w:p>
        </w:tc>
        <w:tc>
          <w:tcPr>
            <w:tcW w:type="dxa" w:w="893"/>
          </w:tcPr>
          <w:p>
            <w:pPr>
              <w:keepNext/>
              <w:jc w:val="left"/>
            </w:pPr>
            <w:r/>
            <w:r>
              <w:rPr>
                <w:rFonts w:ascii="Times New Roman" w:hAnsi="Times New Roman" w:cs="Times New Roman" w:eastAsia="Times New Roman"/>
                <w:sz w:val="11"/>
              </w:rPr>
              <w:t>Synthetic data only</w:t>
            </w:r>
          </w:p>
        </w:tc>
      </w:tr>
      <w:tr>
        <w:trPr>
          <w:cantSplit w:val="true"/>
        </w:trPr>
        <w:tc>
          <w:tcPr>
            <w:tcW w:type="dxa" w:w="893"/>
          </w:tcPr>
          <w:p>
            <w:pPr>
              <w:keepNext/>
              <w:jc w:val="left"/>
            </w:pPr>
            <w:r/>
            <w:r>
              <w:rPr>
                <w:rFonts w:ascii="Times New Roman" w:hAnsi="Times New Roman" w:cs="Times New Roman" w:eastAsia="Times New Roman"/>
                <w:sz w:val="11"/>
              </w:rPr>
              <w:t>Theerthala [18]</w:t>
            </w:r>
          </w:p>
        </w:tc>
        <w:tc>
          <w:tcPr>
            <w:tcW w:type="dxa" w:w="1152"/>
          </w:tcPr>
          <w:p>
            <w:pPr>
              <w:keepNext/>
              <w:jc w:val="left"/>
            </w:pPr>
            <w:r/>
            <w:r>
              <w:rPr>
                <w:rFonts w:ascii="Times New Roman" w:hAnsi="Times New Roman" w:cs="Times New Roman" w:eastAsia="Times New Roman"/>
                <w:sz w:val="11"/>
              </w:rPr>
              <w:t>Fine-tuned 8B LLM advisor on generated reasoning data</w:t>
            </w:r>
          </w:p>
        </w:tc>
        <w:tc>
          <w:tcPr>
            <w:tcW w:type="dxa" w:w="893"/>
          </w:tcPr>
          <w:p>
            <w:pPr>
              <w:keepNext/>
              <w:jc w:val="left"/>
            </w:pPr>
            <w:r/>
            <w:r>
              <w:rPr>
                <w:rFonts w:ascii="Times New Roman" w:hAnsi="Times New Roman" w:cs="Times New Roman" w:eastAsia="Times New Roman"/>
                <w:sz w:val="11"/>
              </w:rPr>
              <w:t>19k synthetic samples</w:t>
            </w:r>
          </w:p>
        </w:tc>
        <w:tc>
          <w:tcPr>
            <w:tcW w:type="dxa" w:w="1066"/>
          </w:tcPr>
          <w:p>
            <w:pPr>
              <w:keepNext/>
              <w:jc w:val="left"/>
            </w:pPr>
            <w:r/>
            <w:r>
              <w:rPr>
                <w:rFonts w:ascii="Times New Roman" w:hAnsi="Times New Roman" w:cs="Times New Roman" w:eastAsia="Times New Roman"/>
                <w:sz w:val="11"/>
              </w:rPr>
              <w:t>Comparable to 14-32B models at about 80 % lower cost</w:t>
            </w:r>
          </w:p>
        </w:tc>
        <w:tc>
          <w:tcPr>
            <w:tcW w:type="dxa" w:w="893"/>
          </w:tcPr>
          <w:p>
            <w:pPr>
              <w:keepNext/>
              <w:jc w:val="left"/>
            </w:pPr>
            <w:r/>
            <w:r>
              <w:rPr>
                <w:rFonts w:ascii="Times New Roman" w:hAnsi="Times New Roman" w:cs="Times New Roman" w:eastAsia="Times New Roman"/>
                <w:sz w:val="11"/>
              </w:rPr>
              <w:t>LLM-judged; no transaction pipeline</w:t>
            </w:r>
          </w:p>
        </w:tc>
      </w:tr>
      <w:tr>
        <w:trPr>
          <w:cantSplit w:val="true"/>
        </w:trPr>
        <w:tc>
          <w:tcPr>
            <w:tcW w:type="dxa" w:w="893"/>
          </w:tcPr>
          <w:p>
            <w:pPr>
              <w:jc w:val="left"/>
            </w:pPr>
            <w:r/>
            <w:r>
              <w:rPr>
                <w:rFonts w:ascii="Times New Roman" w:hAnsi="Times New Roman" w:cs="Times New Roman" w:eastAsia="Times New Roman"/>
                <w:sz w:val="11"/>
              </w:rPr>
              <w:t>To [3]</w:t>
            </w:r>
          </w:p>
        </w:tc>
        <w:tc>
          <w:tcPr>
            <w:tcW w:type="dxa" w:w="1152"/>
          </w:tcPr>
          <w:p>
            <w:pPr>
              <w:jc w:val="left"/>
            </w:pPr>
            <w:r/>
            <w:r>
              <w:rPr>
                <w:rFonts w:ascii="Times New Roman" w:hAnsi="Times New Roman" w:cs="Times New Roman" w:eastAsia="Times New Roman"/>
                <w:sz w:val="11"/>
              </w:rPr>
              <w:t>Goal-directed design and gamification for a mobile app</w:t>
            </w:r>
          </w:p>
        </w:tc>
        <w:tc>
          <w:tcPr>
            <w:tcW w:type="dxa" w:w="893"/>
          </w:tcPr>
          <w:p>
            <w:pPr>
              <w:jc w:val="left"/>
            </w:pPr>
            <w:r/>
            <w:r>
              <w:rPr>
                <w:rFonts w:ascii="Times New Roman" w:hAnsi="Times New Roman" w:cs="Times New Roman" w:eastAsia="Times New Roman"/>
                <w:sz w:val="11"/>
              </w:rPr>
              <w:t>Survey 18-30; 10 card-sort, 6 test users</w:t>
            </w:r>
          </w:p>
        </w:tc>
        <w:tc>
          <w:tcPr>
            <w:tcW w:type="dxa" w:w="1066"/>
          </w:tcPr>
          <w:p>
            <w:pPr>
              <w:jc w:val="left"/>
            </w:pPr>
            <w:r/>
            <w:r>
              <w:rPr>
                <w:rFonts w:ascii="Times New Roman" w:hAnsi="Times New Roman" w:cs="Times New Roman" w:eastAsia="Times New Roman"/>
                <w:sz w:val="11"/>
              </w:rPr>
              <w:t>Usability study, no model results</w:t>
            </w:r>
          </w:p>
        </w:tc>
        <w:tc>
          <w:tcPr>
            <w:tcW w:type="dxa" w:w="893"/>
          </w:tcPr>
          <w:p>
            <w:pPr>
              <w:jc w:val="left"/>
            </w:pPr>
            <w:r/>
            <w:r>
              <w:rPr>
                <w:rFonts w:ascii="Times New Roman" w:hAnsi="Times New Roman" w:cs="Times New Roman" w:eastAsia="Times New Roman"/>
                <w:sz w:val="11"/>
              </w:rPr>
              <w:t>Small samples; no forecasting</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Positioning.</w:t>
      </w:r>
      <w:r>
        <w:rPr>
          <w:rFonts w:ascii="Times New Roman" w:hAnsi="Times New Roman" w:cs="Times New Roman" w:eastAsia="Times New Roman"/>
          <w:sz w:val="20"/>
        </w:rPr>
        <w:t xml:space="preserve"> Against the base paper, FINJARVIS keeps the idea of one assistant over categorisation, budgeting and forecasting but changes every module. A BERT classifier over 50 categories becomes a TF-IDF and logistic-regression model over 11 categories; Q-learning budget recommendation becomes user-set monthly budgets with alerts at 75, 90 and 100 % of the limit and rule-based suggestions; the LSTM savings forecast becomes a least-squares trend over monthly expense totals; and the Isolation Forest has no counterpart, the nearest feature being the single largest expense in a chosen window. In place of a Streamlit demonstration there is a login-protected web application, and the product adds import with preview, goals, a manual investment portfolio, PDF, Excel and CSV reports, a financial health score and a rule-based assistant. These choices trade accuracy on hard inputs for a system that can be run, read and tested by one team on a laptop.</w:t>
      </w:r>
    </w:p>
    <w:p>
      <w:pPr>
        <w:keepNext w:val="0"/>
        <w:spacing w:after="0" w:before="0" w:line="240" w:lineRule="auto"/>
        <w:ind w:firstLine="288"/>
        <w:jc w:val="both"/>
      </w:pPr>
      <w:r>
        <w:rPr>
          <w:rFonts w:ascii="Times New Roman" w:hAnsi="Times New Roman" w:cs="Times New Roman" w:eastAsia="Times New Roman"/>
          <w:b/>
          <w:sz w:val="20"/>
        </w:rPr>
        <w:t>Gap.</w:t>
      </w:r>
      <w:r>
        <w:rPr>
          <w:rFonts w:ascii="Times New Roman" w:hAnsi="Times New Roman" w:cs="Times New Roman" w:eastAsia="Times New Roman"/>
          <w:sz w:val="20"/>
        </w:rPr>
        <w:t xml:space="preserve"> The works above either report scores on data that others cannot inspect, report no numbers, or study design without models, and none of them gives a runnable application together with a measurement of its simple modules on unseen input. FINJARVIS provides the application and the measurements; it deliberately implements simpler models than the base paper, and Section IV states what that costs.</w:t>
      </w:r>
    </w:p>
    <w:p>
      <w:pPr>
        <w:keepNext/>
        <w:spacing w:before="160" w:after="80"/>
        <w:jc w:val="center"/>
      </w:pPr>
      <w:r>
        <w:rPr>
          <w:rFonts w:ascii="Times New Roman" w:hAnsi="Times New Roman" w:cs="Times New Roman" w:eastAsia="Times New Roman"/>
          <w:b/>
          <w:sz w:val="20"/>
        </w:rPr>
        <w:t>III. METHODOLOGY</w:t>
      </w:r>
    </w:p>
    <w:p>
      <w:pPr>
        <w:keepNext/>
        <w:spacing w:before="80" w:after="40"/>
      </w:pPr>
      <w:r>
        <w:rPr>
          <w:rFonts w:ascii="Times New Roman" w:hAnsi="Times New Roman" w:cs="Times New Roman" w:eastAsia="Times New Roman"/>
          <w:b w:val="0"/>
          <w:i/>
          <w:sz w:val="20"/>
        </w:rPr>
        <w:t>A. Architecture and Implementation</w:t>
      </w:r>
    </w:p>
    <w:p>
      <w:pPr>
        <w:keepNext/>
        <w:spacing w:before="80"/>
        <w:jc w:val="center"/>
      </w:pPr>
      <w:r>
        <w:drawing>
          <wp:inline xmlns:a="http://schemas.openxmlformats.org/drawingml/2006/main" xmlns:pic="http://schemas.openxmlformats.org/drawingml/2006/picture">
            <wp:extent cx="3017520" cy="2629553"/>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017520" cy="2629553"/>
                    </a:xfrm>
                    <a:prstGeom prst="rect"/>
                  </pic:spPr>
                </pic:pic>
              </a:graphicData>
            </a:graphic>
          </wp:inline>
        </w:drawing>
      </w:r>
    </w:p>
    <w:p>
      <w:pPr>
        <w:spacing w:after="100"/>
        <w:jc w:val="both"/>
      </w:pPr>
      <w:r>
        <w:rPr>
          <w:rFonts w:ascii="Times New Roman" w:hAnsi="Times New Roman" w:cs="Times New Roman" w:eastAsia="Times New Roman"/>
          <w:sz w:val="16"/>
        </w:rPr>
        <w:t>Fig. 1. FINJARVIS architecture: React console, FastAPI service with 33 routes, a service layer, three small ML modules and a SQLite database.</w:t>
      </w:r>
    </w:p>
    <w:p>
      <w:pPr>
        <w:keepNext w:val="0"/>
        <w:spacing w:after="0" w:before="0" w:line="240" w:lineRule="auto"/>
        <w:ind w:firstLine="288"/>
        <w:jc w:val="both"/>
      </w:pPr>
      <w:r>
        <w:rPr>
          <w:rFonts w:ascii="Times New Roman" w:hAnsi="Times New Roman" w:cs="Times New Roman" w:eastAsia="Times New Roman"/>
          <w:sz w:val="20"/>
        </w:rPr>
        <w:t>The console (Vite, port 5411) has thirteen pages and calls a FastAPI service (port 8411) whose routes hold no business logic: each calls the same service function that the original Streamlit pages call, so both interfaces share one SQLite file and one set of tests. Requests are validated by pydantic and protected by a bearer-token dependency; data are scoped by a user_id on every table and query. Passwords need eight characters with upper case, lower case, a digit and a symbol, and are stored as bcrypt hashes; tokens are HMAC-SHA256 signed and expire after seven days. Six tables (users, transactions, budgets, financial_goals, investments, notifications) are mapped with SQLAlchemy, with cascading deletes. Reports are written as PDF, Excel and CSV. An optional language-model layer is used only when a key is configured and is not part of any measurement here. The design follows the REST style [19]; the choice of SQLite keeps installation to one file, at the price of a single writer. Fig. 2 summarises the flow of data through the modules described next.</w:t>
      </w:r>
    </w:p>
    <w:p>
      <w:pPr>
        <w:keepNext/>
        <w:spacing w:before="80" w:after="40"/>
      </w:pPr>
      <w:r>
        <w:rPr>
          <w:rFonts w:ascii="Times New Roman" w:hAnsi="Times New Roman" w:cs="Times New Roman" w:eastAsia="Times New Roman"/>
          <w:b w:val="0"/>
          <w:i/>
          <w:sz w:val="20"/>
        </w:rPr>
        <w:t>B. Expense Categoriser</w:t>
      </w:r>
    </w:p>
    <w:p>
      <w:pPr>
        <w:keepNext w:val="0"/>
        <w:spacing w:after="0" w:before="0" w:line="240" w:lineRule="auto"/>
        <w:ind w:firstLine="288"/>
        <w:jc w:val="both"/>
      </w:pPr>
      <w:r>
        <w:rPr>
          <w:rFonts w:ascii="Times New Roman" w:hAnsi="Times New Roman" w:cs="Times New Roman" w:eastAsia="Times New Roman"/>
          <w:sz w:val="20"/>
        </w:rPr>
        <w:t>The categoriser is a scikit-learn pipeline: word 1-2-gram TF-IDF [11] followed by multinomial logistic regression, trained on a built-in list of 51 description and category pairs in 11 categories (3 to 6 per category). For a description x with feature vector phi(x), the predicted category is</w:t>
      </w:r>
    </w:p>
    <w:p>
      <w:pPr>
        <w:keepLines/>
        <w:spacing w:before="40" w:after="40"/>
        <w:jc w:val="center"/>
      </w:pPr>
      <w:r>
        <w:rPr>
          <w:rFonts w:ascii="Times New Roman" w:hAnsi="Times New Roman" w:cs="Times New Roman" w:eastAsia="Times New Roman"/>
          <w:b w:val="0"/>
          <w:i/>
          <w:sz w:val="20"/>
        </w:rPr>
        <w:t>k* = argmax</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xml:space="preserve"> P(k | x),   P(k | x) = exp(w</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·phi(x) + b</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 Σ</w:t>
      </w:r>
      <w:r>
        <w:rPr>
          <w:rFonts w:ascii="Times New Roman" w:hAnsi="Times New Roman" w:cs="Times New Roman" w:eastAsia="Times New Roman"/>
          <w:b w:val="0"/>
          <w:i/>
          <w:sz w:val="20"/>
          <w:vertAlign w:val="subscript"/>
        </w:rPr>
        <w:t>j</w:t>
      </w:r>
      <w:r>
        <w:rPr>
          <w:rFonts w:ascii="Times New Roman" w:hAnsi="Times New Roman" w:cs="Times New Roman" w:eastAsia="Times New Roman"/>
          <w:b w:val="0"/>
          <w:i/>
          <w:sz w:val="20"/>
        </w:rPr>
        <w:t xml:space="preserve"> exp(w</w:t>
      </w:r>
      <w:r>
        <w:rPr>
          <w:rFonts w:ascii="Times New Roman" w:hAnsi="Times New Roman" w:cs="Times New Roman" w:eastAsia="Times New Roman"/>
          <w:b w:val="0"/>
          <w:i/>
          <w:sz w:val="20"/>
          <w:vertAlign w:val="subscript"/>
        </w:rPr>
        <w:t>j</w:t>
      </w:r>
      <w:r>
        <w:rPr>
          <w:rFonts w:ascii="Times New Roman" w:hAnsi="Times New Roman" w:cs="Times New Roman" w:eastAsia="Times New Roman"/>
          <w:b w:val="0"/>
          <w:i/>
          <w:sz w:val="20"/>
        </w:rPr>
        <w:t>·phi(x) + b</w:t>
      </w:r>
      <w:r>
        <w:rPr>
          <w:rFonts w:ascii="Times New Roman" w:hAnsi="Times New Roman" w:cs="Times New Roman" w:eastAsia="Times New Roman"/>
          <w:b w:val="0"/>
          <w:i/>
          <w:sz w:val="20"/>
          <w:vertAlign w:val="subscript"/>
        </w:rPr>
        <w:t>j</w:t>
      </w:r>
      <w:r>
        <w:rPr>
          <w:rFonts w:ascii="Times New Roman" w:hAnsi="Times New Roman" w:cs="Times New Roman" w:eastAsia="Times New Roman"/>
          <w:b w:val="0"/>
          <w:i/>
          <w:sz w:val="20"/>
        </w:rPr>
        <w:t>).</w:t>
      </w:r>
      <w:r>
        <w:rPr>
          <w:rFonts w:ascii="Times New Roman" w:hAnsi="Times New Roman" w:cs="Times New Roman" w:eastAsia="Times New Roman"/>
          <w:sz w:val="20"/>
        </w:rPr>
        <w:t xml:space="preserve">        (1)</w:t>
      </w:r>
    </w:p>
    <w:p>
      <w:pPr>
        <w:keepNext w:val="0"/>
        <w:spacing w:after="0" w:before="0" w:line="240" w:lineRule="auto"/>
        <w:ind w:firstLine="288"/>
        <w:jc w:val="both"/>
      </w:pPr>
      <w:r>
        <w:rPr>
          <w:rFonts w:ascii="Times New Roman" w:hAnsi="Times New Roman" w:cs="Times New Roman" w:eastAsia="Times New Roman"/>
          <w:sz w:val="20"/>
        </w:rPr>
        <w:t>When a user adds a transaction with category 'Auto-detect' the label is stored; if the user chooses a different category, the model is retrained on the seed list, the user's whole history and the correction. A keyword table is used only if the stored model cannot be loaded, and the model never outputs 'Other'. Retraining takes about 5 ms.</w:t>
      </w:r>
    </w:p>
    <w:p>
      <w:pPr>
        <w:keepNext/>
        <w:spacing w:before="80"/>
        <w:jc w:val="center"/>
      </w:pPr>
      <w:r>
        <w:drawing>
          <wp:inline xmlns:a="http://schemas.openxmlformats.org/drawingml/2006/main" xmlns:pic="http://schemas.openxmlformats.org/drawingml/2006/picture">
            <wp:extent cx="3017520" cy="2327801"/>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017520" cy="2327801"/>
                    </a:xfrm>
                    <a:prstGeom prst="rect"/>
                  </pic:spPr>
                </pic:pic>
              </a:graphicData>
            </a:graphic>
          </wp:inline>
        </w:drawing>
      </w:r>
    </w:p>
    <w:p>
      <w:pPr>
        <w:spacing w:after="100"/>
        <w:jc w:val="both"/>
      </w:pPr>
      <w:r>
        <w:rPr>
          <w:rFonts w:ascii="Times New Roman" w:hAnsi="Times New Roman" w:cs="Times New Roman" w:eastAsia="Times New Roman"/>
          <w:sz w:val="16"/>
        </w:rPr>
        <w:t>Fig. 2. Main flow of FINJARVIS: transaction entry, automatic category, budget alert, monthly totals, forecast, health score and assistant.</w:t>
      </w:r>
    </w:p>
    <w:p>
      <w:pPr>
        <w:keepNext/>
        <w:spacing w:before="80" w:after="40"/>
      </w:pPr>
      <w:r>
        <w:rPr>
          <w:rFonts w:ascii="Times New Roman" w:hAnsi="Times New Roman" w:cs="Times New Roman" w:eastAsia="Times New Roman"/>
          <w:b w:val="0"/>
          <w:i/>
          <w:sz w:val="20"/>
        </w:rPr>
        <w:t>C. Forecast and Health Score</w:t>
      </w:r>
    </w:p>
    <w:p>
      <w:pPr>
        <w:keepNext w:val="0"/>
        <w:spacing w:after="0" w:before="0" w:line="240" w:lineRule="auto"/>
        <w:ind w:firstLine="288"/>
        <w:jc w:val="both"/>
      </w:pPr>
      <w:r>
        <w:rPr>
          <w:rFonts w:ascii="Times New Roman" w:hAnsi="Times New Roman" w:cs="Times New Roman" w:eastAsia="Times New Roman"/>
          <w:sz w:val="20"/>
        </w:rPr>
        <w:t>Monthly expense totals of n months (indexed 0 to n-1) are fitted by least squares and extrapolated one step, clipped at zero:</w:t>
      </w:r>
    </w:p>
    <w:p>
      <w:pPr>
        <w:keepLines/>
        <w:spacing w:before="40" w:after="40"/>
        <w:jc w:val="center"/>
      </w:pPr>
      <w:r>
        <w:rPr>
          <w:rFonts w:ascii="Times New Roman" w:hAnsi="Times New Roman" w:cs="Times New Roman" w:eastAsia="Times New Roman"/>
          <w:b w:val="0"/>
          <w:i/>
          <w:sz w:val="20"/>
        </w:rPr>
        <w:t>ŷ</w:t>
      </w:r>
      <w:r>
        <w:rPr>
          <w:rFonts w:ascii="Times New Roman" w:hAnsi="Times New Roman" w:cs="Times New Roman" w:eastAsia="Times New Roman"/>
          <w:b w:val="0"/>
          <w:i/>
          <w:sz w:val="20"/>
          <w:vertAlign w:val="subscript"/>
        </w:rPr>
        <w:t>next</w:t>
      </w:r>
      <w:r>
        <w:rPr>
          <w:rFonts w:ascii="Times New Roman" w:hAnsi="Times New Roman" w:cs="Times New Roman" w:eastAsia="Times New Roman"/>
          <w:b w:val="0"/>
          <w:i/>
          <w:sz w:val="20"/>
        </w:rPr>
        <w:t xml:space="preserve"> = max(0, a·n + b),   (a, b) = argmin Σ</w:t>
      </w:r>
      <w:r>
        <w:rPr>
          <w:rFonts w:ascii="Times New Roman" w:hAnsi="Times New Roman" w:cs="Times New Roman" w:eastAsia="Times New Roman"/>
          <w:b w:val="0"/>
          <w:i/>
          <w:sz w:val="20"/>
          <w:vertAlign w:val="subscript"/>
        </w:rPr>
        <w:t>t</w:t>
      </w:r>
      <w:r>
        <w:rPr>
          <w:rFonts w:ascii="Times New Roman" w:hAnsi="Times New Roman" w:cs="Times New Roman" w:eastAsia="Times New Roman"/>
          <w:b w:val="0"/>
          <w:i/>
          <w:sz w:val="20"/>
        </w:rPr>
        <w:t xml:space="preserve"> (y</w:t>
      </w:r>
      <w:r>
        <w:rPr>
          <w:rFonts w:ascii="Times New Roman" w:hAnsi="Times New Roman" w:cs="Times New Roman" w:eastAsia="Times New Roman"/>
          <w:b w:val="0"/>
          <w:i/>
          <w:sz w:val="20"/>
          <w:vertAlign w:val="subscript"/>
        </w:rPr>
        <w:t>t</w:t>
      </w:r>
      <w:r>
        <w:rPr>
          <w:rFonts w:ascii="Times New Roman" w:hAnsi="Times New Roman" w:cs="Times New Roman" w:eastAsia="Times New Roman"/>
          <w:b w:val="0"/>
          <w:i/>
          <w:sz w:val="20"/>
        </w:rPr>
        <w:t xml:space="preserve"> − a·t − b)²,   t = 0, …, n−1.</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The trend is labelled increasing if the slope exceeds 1 and decreasing if it is below -1; the tool refuses to predict with fewer than three months. The same fit per category gives a budget-overrun check. The health score is a weighted sum of six component scores, each clipped to [0, 100]:</w:t>
      </w:r>
    </w:p>
    <w:p>
      <w:pPr>
        <w:keepLines/>
        <w:spacing w:before="40" w:after="40"/>
        <w:jc w:val="center"/>
      </w:pPr>
      <w:r>
        <w:rPr>
          <w:rFonts w:ascii="Times New Roman" w:hAnsi="Times New Roman" w:cs="Times New Roman" w:eastAsia="Times New Roman"/>
          <w:b w:val="0"/>
          <w:i/>
          <w:sz w:val="20"/>
        </w:rPr>
        <w:t>H = 0.30 s</w:t>
      </w:r>
      <w:r>
        <w:rPr>
          <w:rFonts w:ascii="Times New Roman" w:hAnsi="Times New Roman" w:cs="Times New Roman" w:eastAsia="Times New Roman"/>
          <w:b w:val="0"/>
          <w:i/>
          <w:sz w:val="20"/>
          <w:vertAlign w:val="subscript"/>
        </w:rPr>
        <w:t>sav</w:t>
      </w:r>
      <w:r>
        <w:rPr>
          <w:rFonts w:ascii="Times New Roman" w:hAnsi="Times New Roman" w:cs="Times New Roman" w:eastAsia="Times New Roman"/>
          <w:b w:val="0"/>
          <w:i/>
          <w:sz w:val="20"/>
        </w:rPr>
        <w:t xml:space="preserve"> + 0.20 s</w:t>
      </w:r>
      <w:r>
        <w:rPr>
          <w:rFonts w:ascii="Times New Roman" w:hAnsi="Times New Roman" w:cs="Times New Roman" w:eastAsia="Times New Roman"/>
          <w:b w:val="0"/>
          <w:i/>
          <w:sz w:val="20"/>
          <w:vertAlign w:val="subscript"/>
        </w:rPr>
        <w:t>exp</w:t>
      </w:r>
      <w:r>
        <w:rPr>
          <w:rFonts w:ascii="Times New Roman" w:hAnsi="Times New Roman" w:cs="Times New Roman" w:eastAsia="Times New Roman"/>
          <w:b w:val="0"/>
          <w:i/>
          <w:sz w:val="20"/>
        </w:rPr>
        <w:t xml:space="preserve"> + 0.15 s</w:t>
      </w:r>
      <w:r>
        <w:rPr>
          <w:rFonts w:ascii="Times New Roman" w:hAnsi="Times New Roman" w:cs="Times New Roman" w:eastAsia="Times New Roman"/>
          <w:b w:val="0"/>
          <w:i/>
          <w:sz w:val="20"/>
          <w:vertAlign w:val="subscript"/>
        </w:rPr>
        <w:t>bud</w:t>
      </w:r>
      <w:r>
        <w:rPr>
          <w:rFonts w:ascii="Times New Roman" w:hAnsi="Times New Roman" w:cs="Times New Roman" w:eastAsia="Times New Roman"/>
          <w:b w:val="0"/>
          <w:i/>
          <w:sz w:val="20"/>
        </w:rPr>
        <w:t xml:space="preserve"> + 0.15 s</w:t>
      </w:r>
      <w:r>
        <w:rPr>
          <w:rFonts w:ascii="Times New Roman" w:hAnsi="Times New Roman" w:cs="Times New Roman" w:eastAsia="Times New Roman"/>
          <w:b w:val="0"/>
          <w:i/>
          <w:sz w:val="20"/>
          <w:vertAlign w:val="subscript"/>
        </w:rPr>
        <w:t>cash</w:t>
      </w:r>
      <w:r>
        <w:rPr>
          <w:rFonts w:ascii="Times New Roman" w:hAnsi="Times New Roman" w:cs="Times New Roman" w:eastAsia="Times New Roman"/>
          <w:b w:val="0"/>
          <w:i/>
          <w:sz w:val="20"/>
        </w:rPr>
        <w:t xml:space="preserve"> + 0.10 s</w:t>
      </w:r>
      <w:r>
        <w:rPr>
          <w:rFonts w:ascii="Times New Roman" w:hAnsi="Times New Roman" w:cs="Times New Roman" w:eastAsia="Times New Roman"/>
          <w:b w:val="0"/>
          <w:i/>
          <w:sz w:val="20"/>
          <w:vertAlign w:val="subscript"/>
        </w:rPr>
        <w:t>div</w:t>
      </w:r>
      <w:r>
        <w:rPr>
          <w:rFonts w:ascii="Times New Roman" w:hAnsi="Times New Roman" w:cs="Times New Roman" w:eastAsia="Times New Roman"/>
          <w:b w:val="0"/>
          <w:i/>
          <w:sz w:val="20"/>
        </w:rPr>
        <w:t xml:space="preserve"> + 0.10 s</w:t>
      </w:r>
      <w:r>
        <w:rPr>
          <w:rFonts w:ascii="Times New Roman" w:hAnsi="Times New Roman" w:cs="Times New Roman" w:eastAsia="Times New Roman"/>
          <w:b w:val="0"/>
          <w:i/>
          <w:sz w:val="20"/>
          <w:vertAlign w:val="subscript"/>
        </w:rPr>
        <w:t>goal</w:t>
      </w:r>
      <w:r>
        <w:rPr>
          <w:rFonts w:ascii="Times New Roman" w:hAnsi="Times New Roman" w:cs="Times New Roman" w:eastAsia="Times New Roman"/>
          <w:b w:val="0"/>
          <w:i/>
          <w:sz w:val="20"/>
        </w:rPr>
        <w:t>.</w:t>
      </w:r>
      <w:r>
        <w:rPr>
          <w:rFonts w:ascii="Times New Roman" w:hAnsi="Times New Roman" w:cs="Times New Roman" w:eastAsia="Times New Roman"/>
          <w:sz w:val="20"/>
        </w:rPr>
        <w:t xml:space="preserve">        (3)</w:t>
      </w:r>
    </w:p>
    <w:p>
      <w:pPr>
        <w:keepNext w:val="0"/>
        <w:spacing w:after="0" w:before="0" w:line="240" w:lineRule="auto"/>
        <w:ind w:firstLine="288"/>
        <w:jc w:val="both"/>
      </w:pPr>
      <w:r>
        <w:rPr>
          <w:rFonts w:ascii="Times New Roman" w:hAnsi="Times New Roman" w:cs="Times New Roman" w:eastAsia="Times New Roman"/>
          <w:sz w:val="20"/>
        </w:rPr>
        <w:t>Here the savings-rate score is the savings rate divided by 20 %, the expense score the unspent share of income divided by 50 %, the budget score the share of budgets at or below 100 %, the cash-cushion score the months of expenses covered by the balance divided by six, the diversification score the number of distinct asset types divided by five and the goal score the mean goal completion; ratings are Excellent from 90, Good from 75, Fair from 60, Needs Improvement from 40 and Critical below. Budget alerts are raised at 75, 90 and 100 % of a category budget.</w:t>
      </w:r>
    </w:p>
    <w:p>
      <w:pPr>
        <w:keepNext w:val="0"/>
        <w:spacing w:after="0" w:before="0" w:line="240" w:lineRule="auto"/>
        <w:ind w:firstLine="288"/>
        <w:jc w:val="both"/>
      </w:pPr>
      <w:r>
        <w:rPr>
          <w:rFonts w:ascii="Times New Roman" w:hAnsi="Times New Roman" w:cs="Times New Roman" w:eastAsia="Times New Roman"/>
          <w:sz w:val="20"/>
        </w:rPr>
        <w:t>Four implementation decisions are worth stating with their reasons. The categoriser is a linear model on sparse features because it trains in milliseconds, can be retrained inside a request when a user corrects a label, and its decision can be traced to words; a transformer would need data and a GPU that a household application does not have. The forecast refuses to run on fewer than three months rather than guess. Import is a two-step flow: a preview parses the file, categorises blank rows and lists every skipped row as 'Row n' with the reason (unparsable date, non-numeric or non-positive amount, blank description), and only a second call commits it. Budget alerts are written to the notifications table by a check that runs only when the dashboard or the notifications list is read, not on a timer and not when a transaction is saved, so no scheduler process is needed but an alert appears only after the next such read, and goals and investments are kept as plain rows (target, saved amount, quantity, prices) so that their totals feed the health score.</w:t>
      </w:r>
    </w:p>
    <w:p>
      <w:pPr>
        <w:keepNext w:val="0"/>
        <w:spacing w:after="0" w:before="0" w:line="240" w:lineRule="auto"/>
        <w:ind w:firstLine="288"/>
        <w:jc w:val="both"/>
      </w:pPr>
      <w:r>
        <w:rPr>
          <w:rFonts w:ascii="Times New Roman" w:hAnsi="Times New Roman" w:cs="Times New Roman" w:eastAsia="Times New Roman"/>
          <w:sz w:val="20"/>
        </w:rPr>
        <w:t>The health score was added because a raw balance says little about resilience. Its six parts are explainable on their own: each has a plain-language meaning, the weakest part is named on the dashboard, and every part is computed from the user's rows, with a neutral value of 50 when there is nothing to measure (no budgets, no expenses or no goals) and 0 for diversification when there are no holdings. The same per-user scoping applies to the assistant, whose answers are prefixed by the amount computed and followed by a standing notice that they are informational and not financial advice.</w:t>
      </w:r>
    </w:p>
    <w:p>
      <w:pPr>
        <w:keepNext/>
        <w:spacing w:before="80" w:after="40"/>
      </w:pPr>
      <w:r>
        <w:rPr>
          <w:rFonts w:ascii="Times New Roman" w:hAnsi="Times New Roman" w:cs="Times New Roman" w:eastAsia="Times New Roman"/>
          <w:b w:val="0"/>
          <w:i/>
          <w:sz w:val="20"/>
        </w:rPr>
        <w:t>D. Assistant, Data and Evaluation Protocol</w:t>
      </w:r>
    </w:p>
    <w:p>
      <w:pPr>
        <w:keepNext w:val="0"/>
        <w:spacing w:after="0" w:before="0" w:line="240" w:lineRule="auto"/>
        <w:ind w:firstLine="288"/>
        <w:jc w:val="both"/>
      </w:pPr>
      <w:r>
        <w:rPr>
          <w:rFonts w:ascii="Times New Roman" w:hAnsi="Times New Roman" w:cs="Times New Roman" w:eastAsia="Times New Roman"/>
          <w:sz w:val="20"/>
        </w:rPr>
        <w:t>The assistant routes a question by keyword to one of five handlers (can I save, reduce expenses, health score, where am I spending, spend on a named category) and answers from SQL aggregates of the user's own rows; other questions get a fixed help text. No external dataset is used. The demo account holds 68 fictional transactions over six months, built from a 34-row sample file plus synthetic earlier months, so every figure on screen is synthetic. Because the model has no train and test split, we evaluate it on a 198-description probe set written by the team before scoring and never used for training: 11 categories times three tiers of six, tier A phrases close to the seed, tier B upper-case statement strings that contain a seed keyword, tier C unseen merchants and phrases. This is not an independent benchmark. The forecast is evaluated by a one-step-ahead rolling backtest on the demo history and by a simulation of 2,000 users per setting (12-month level plus drift, Gaussian noise and a 10 % chance of a +50 % spike). The rest is covered by 38 pytest tests, 49 smoke checks, a 1,000-row import file with 84 injected bad rows, 26 assistant questions and response-time runs on 127.0.0.1. Cross-validation on 51 seeds is reported as leave-one-out [20].</w:t>
      </w:r>
    </w:p>
    <w:p>
      <w:pPr>
        <w:keepNext/>
        <w:spacing w:before="160" w:after="80"/>
        <w:jc w:val="center"/>
      </w:pPr>
      <w:r>
        <w:rPr>
          <w:rFonts w:ascii="Times New Roman" w:hAnsi="Times New Roman" w:cs="Times New Roman" w:eastAsia="Times New Roman"/>
          <w:b/>
          <w:sz w:val="20"/>
        </w:rPr>
        <w:t>IV. RESULTS</w:t>
      </w:r>
    </w:p>
    <w:p>
      <w:pPr>
        <w:keepNext/>
        <w:spacing w:before="80" w:after="40"/>
      </w:pPr>
      <w:r>
        <w:rPr>
          <w:rFonts w:ascii="Times New Roman" w:hAnsi="Times New Roman" w:cs="Times New Roman" w:eastAsia="Times New Roman"/>
          <w:b w:val="0"/>
          <w:i/>
          <w:sz w:val="20"/>
        </w:rPr>
        <w:t>A. Expense Categoriser</w:t>
      </w:r>
    </w:p>
    <w:p>
      <w:pPr>
        <w:keepNext w:val="0"/>
        <w:spacing w:after="0" w:before="0" w:line="240" w:lineRule="auto"/>
        <w:ind w:firstLine="288"/>
        <w:jc w:val="both"/>
      </w:pPr>
      <w:r>
        <w:rPr>
          <w:rFonts w:ascii="Times New Roman" w:hAnsi="Times New Roman" w:cs="Times New Roman" w:eastAsia="Times New Roman"/>
          <w:sz w:val="20"/>
        </w:rPr>
        <w:t>Table II lists the headline measurements. On the probe set the shipped model scores 71.7 % accuracy (142 of 198) and macro-F1 0.761, against 51.5 % for the keyword table and 9.1 % for always answering Food. The overall figure hides a sharp split: 100 % on tier A, 97 % on tier B and 18.2 % on tier C. Of the 56 errors, 48 are labelled Transport: a description with no word from the seed list gives an all-zero feature vector, the decision then comes from the intercepts, and Transport has the highest, so the class precision of Transport is 0.27 while its recall is 1.0. The model never says it does not know, although its probabilities could support that: keeping only predictions with a top probability of at least 0.15 retains 62.1 % of items at 94.3 % accuracy, but the application applies no threshold. Leave-one-out on the 51 seed pairs gives only 11.8 %, since each phrase's words occur nowhere else.</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MEASURED RESULTS OF FINJARVIS</w:t>
      </w:r>
    </w:p>
    <w:tbl>
      <w:tblPr>
        <w:tblStyle w:val="TableGrid"/>
        <w:tblW w:type="auto" w:w="0"/>
        <w:jc w:val="center"/>
        <w:tblLook w:firstColumn="1" w:firstRow="1" w:lastColumn="0" w:lastRow="0" w:noHBand="0" w:noVBand="1" w:val="04A0"/>
      </w:tblPr>
      <w:tblGrid>
        <w:gridCol w:w="5126"/>
        <w:gridCol w:w="5126"/>
      </w:tblGrid>
      <w:tr>
        <w:trPr>
          <w:cantSplit w:val="true"/>
        </w:trPr>
        <w:tc>
          <w:tcPr>
            <w:tcW w:type="dxa" w:w="3240"/>
          </w:tcPr>
          <w:p>
            <w:pPr>
              <w:keepNext/>
              <w:jc w:val="center"/>
            </w:pPr>
            <w:r/>
            <w:r>
              <w:rPr>
                <w:rFonts w:ascii="Times New Roman" w:hAnsi="Times New Roman" w:cs="Times New Roman" w:eastAsia="Times New Roman"/>
                <w:b/>
                <w:sz w:val="12"/>
              </w:rPr>
              <w:t>Measure</w:t>
            </w:r>
          </w:p>
        </w:tc>
        <w:tc>
          <w:tcPr>
            <w:tcW w:type="dxa" w:w="1584"/>
          </w:tcPr>
          <w:p>
            <w:pPr>
              <w:keepNext/>
              <w:jc w:val="center"/>
            </w:pPr>
            <w:r/>
            <w:r>
              <w:rPr>
                <w:rFonts w:ascii="Times New Roman" w:hAnsi="Times New Roman" w:cs="Times New Roman" w:eastAsia="Times New Roman"/>
                <w:b/>
                <w:sz w:val="12"/>
              </w:rPr>
              <w:t>Result</w:t>
            </w:r>
          </w:p>
        </w:tc>
      </w:tr>
      <w:tr>
        <w:trPr>
          <w:cantSplit w:val="true"/>
        </w:trPr>
        <w:tc>
          <w:tcPr>
            <w:tcW w:type="dxa" w:w="3240"/>
          </w:tcPr>
          <w:p>
            <w:pPr>
              <w:keepNext/>
              <w:jc w:val="left"/>
            </w:pPr>
            <w:r/>
            <w:r>
              <w:rPr>
                <w:rFonts w:ascii="Times New Roman" w:hAnsi="Times New Roman" w:cs="Times New Roman" w:eastAsia="Times New Roman"/>
                <w:sz w:val="12"/>
              </w:rPr>
              <w:t>Categoriser, 198 probe items: accuracy / macro-F1</w:t>
            </w:r>
          </w:p>
        </w:tc>
        <w:tc>
          <w:tcPr>
            <w:tcW w:type="dxa" w:w="1584"/>
          </w:tcPr>
          <w:p>
            <w:pPr>
              <w:keepNext/>
              <w:jc w:val="left"/>
            </w:pPr>
            <w:r/>
            <w:r>
              <w:rPr>
                <w:rFonts w:ascii="Times New Roman" w:hAnsi="Times New Roman" w:cs="Times New Roman" w:eastAsia="Times New Roman"/>
                <w:sz w:val="12"/>
              </w:rPr>
              <w:t>71.7 % / 0.761</w:t>
            </w:r>
          </w:p>
        </w:tc>
      </w:tr>
      <w:tr>
        <w:trPr>
          <w:cantSplit w:val="true"/>
        </w:trPr>
        <w:tc>
          <w:tcPr>
            <w:tcW w:type="dxa" w:w="3240"/>
          </w:tcPr>
          <w:p>
            <w:pPr>
              <w:keepNext/>
              <w:jc w:val="left"/>
            </w:pPr>
            <w:r/>
            <w:r>
              <w:rPr>
                <w:rFonts w:ascii="Times New Roman" w:hAnsi="Times New Roman" w:cs="Times New Roman" w:eastAsia="Times New Roman"/>
                <w:sz w:val="12"/>
              </w:rPr>
              <w:t>Accuracy by tier A / B / C</w:t>
            </w:r>
          </w:p>
        </w:tc>
        <w:tc>
          <w:tcPr>
            <w:tcW w:type="dxa" w:w="1584"/>
          </w:tcPr>
          <w:p>
            <w:pPr>
              <w:keepNext/>
              <w:jc w:val="left"/>
            </w:pPr>
            <w:r/>
            <w:r>
              <w:rPr>
                <w:rFonts w:ascii="Times New Roman" w:hAnsi="Times New Roman" w:cs="Times New Roman" w:eastAsia="Times New Roman"/>
                <w:sz w:val="12"/>
              </w:rPr>
              <w:t>100 / 97 / 18.2 %</w:t>
            </w:r>
          </w:p>
        </w:tc>
      </w:tr>
      <w:tr>
        <w:trPr>
          <w:cantSplit w:val="true"/>
        </w:trPr>
        <w:tc>
          <w:tcPr>
            <w:tcW w:type="dxa" w:w="3240"/>
          </w:tcPr>
          <w:p>
            <w:pPr>
              <w:keepNext/>
              <w:jc w:val="left"/>
            </w:pPr>
            <w:r/>
            <w:r>
              <w:rPr>
                <w:rFonts w:ascii="Times New Roman" w:hAnsi="Times New Roman" w:cs="Times New Roman" w:eastAsia="Times New Roman"/>
                <w:sz w:val="12"/>
              </w:rPr>
              <w:t>Keyword table / majority class (accuracy)</w:t>
            </w:r>
          </w:p>
        </w:tc>
        <w:tc>
          <w:tcPr>
            <w:tcW w:type="dxa" w:w="1584"/>
          </w:tcPr>
          <w:p>
            <w:pPr>
              <w:keepNext/>
              <w:jc w:val="left"/>
            </w:pPr>
            <w:r/>
            <w:r>
              <w:rPr>
                <w:rFonts w:ascii="Times New Roman" w:hAnsi="Times New Roman" w:cs="Times New Roman" w:eastAsia="Times New Roman"/>
                <w:sz w:val="12"/>
              </w:rPr>
              <w:t>51.5 % / 9.1 %</w:t>
            </w:r>
          </w:p>
        </w:tc>
      </w:tr>
      <w:tr>
        <w:trPr>
          <w:cantSplit w:val="true"/>
        </w:trPr>
        <w:tc>
          <w:tcPr>
            <w:tcW w:type="dxa" w:w="3240"/>
          </w:tcPr>
          <w:p>
            <w:pPr>
              <w:keepNext/>
              <w:jc w:val="left"/>
            </w:pPr>
            <w:r/>
            <w:r>
              <w:rPr>
                <w:rFonts w:ascii="Times New Roman" w:hAnsi="Times New Roman" w:cs="Times New Roman" w:eastAsia="Times New Roman"/>
                <w:sz w:val="12"/>
              </w:rPr>
              <w:t>Repeat merchant, before / after one correction</w:t>
            </w:r>
          </w:p>
        </w:tc>
        <w:tc>
          <w:tcPr>
            <w:tcW w:type="dxa" w:w="1584"/>
          </w:tcPr>
          <w:p>
            <w:pPr>
              <w:keepNext/>
              <w:jc w:val="left"/>
            </w:pPr>
            <w:r/>
            <w:r>
              <w:rPr>
                <w:rFonts w:ascii="Times New Roman" w:hAnsi="Times New Roman" w:cs="Times New Roman" w:eastAsia="Times New Roman"/>
                <w:sz w:val="12"/>
              </w:rPr>
              <w:t>18.2 / 100 %</w:t>
            </w:r>
          </w:p>
        </w:tc>
      </w:tr>
      <w:tr>
        <w:trPr>
          <w:cantSplit w:val="true"/>
        </w:trPr>
        <w:tc>
          <w:tcPr>
            <w:tcW w:type="dxa" w:w="3240"/>
          </w:tcPr>
          <w:p>
            <w:pPr>
              <w:keepNext/>
              <w:jc w:val="left"/>
            </w:pPr>
            <w:r/>
            <w:r>
              <w:rPr>
                <w:rFonts w:ascii="Times New Roman" w:hAnsi="Times New Roman" w:cs="Times New Roman" w:eastAsia="Times New Roman"/>
                <w:sz w:val="12"/>
              </w:rPr>
              <w:t>Unseen merchants after 48 corrections</w:t>
            </w:r>
          </w:p>
        </w:tc>
        <w:tc>
          <w:tcPr>
            <w:tcW w:type="dxa" w:w="1584"/>
          </w:tcPr>
          <w:p>
            <w:pPr>
              <w:keepNext/>
              <w:jc w:val="left"/>
            </w:pPr>
            <w:r/>
            <w:r>
              <w:rPr>
                <w:rFonts w:ascii="Times New Roman" w:hAnsi="Times New Roman" w:cs="Times New Roman" w:eastAsia="Times New Roman"/>
                <w:sz w:val="12"/>
              </w:rPr>
              <w:t>21.5 %</w:t>
            </w:r>
          </w:p>
        </w:tc>
      </w:tr>
      <w:tr>
        <w:trPr>
          <w:cantSplit w:val="true"/>
        </w:trPr>
        <w:tc>
          <w:tcPr>
            <w:tcW w:type="dxa" w:w="3240"/>
          </w:tcPr>
          <w:p>
            <w:pPr>
              <w:keepNext/>
              <w:jc w:val="left"/>
            </w:pPr>
            <w:r/>
            <w:r>
              <w:rPr>
                <w:rFonts w:ascii="Times New Roman" w:hAnsi="Times New Roman" w:cs="Times New Roman" w:eastAsia="Times New Roman"/>
                <w:sz w:val="12"/>
              </w:rPr>
              <w:t>Forecast MAPE, 3 backtest points: trend / mean of all / mean of last 3</w:t>
            </w:r>
          </w:p>
        </w:tc>
        <w:tc>
          <w:tcPr>
            <w:tcW w:type="dxa" w:w="1584"/>
          </w:tcPr>
          <w:p>
            <w:pPr>
              <w:keepNext/>
              <w:jc w:val="left"/>
            </w:pPr>
            <w:r/>
            <w:r>
              <w:rPr>
                <w:rFonts w:ascii="Times New Roman" w:hAnsi="Times New Roman" w:cs="Times New Roman" w:eastAsia="Times New Roman"/>
                <w:sz w:val="12"/>
              </w:rPr>
              <w:t>28.4 / 21.4 / 24.8 %</w:t>
            </w:r>
          </w:p>
        </w:tc>
      </w:tr>
      <w:tr>
        <w:trPr>
          <w:cantSplit w:val="true"/>
        </w:trPr>
        <w:tc>
          <w:tcPr>
            <w:tcW w:type="dxa" w:w="3240"/>
          </w:tcPr>
          <w:p>
            <w:pPr>
              <w:keepNext/>
              <w:jc w:val="left"/>
            </w:pPr>
            <w:r/>
            <w:r>
              <w:rPr>
                <w:rFonts w:ascii="Times New Roman" w:hAnsi="Times New Roman" w:cs="Times New Roman" w:eastAsia="Times New Roman"/>
                <w:sz w:val="12"/>
              </w:rPr>
              <w:t>Simulated MAPE, 3 months: trend / mean of all</w:t>
            </w:r>
          </w:p>
        </w:tc>
        <w:tc>
          <w:tcPr>
            <w:tcW w:type="dxa" w:w="1584"/>
          </w:tcPr>
          <w:p>
            <w:pPr>
              <w:keepNext/>
              <w:jc w:val="left"/>
            </w:pPr>
            <w:r/>
            <w:r>
              <w:rPr>
                <w:rFonts w:ascii="Times New Roman" w:hAnsi="Times New Roman" w:cs="Times New Roman" w:eastAsia="Times New Roman"/>
                <w:sz w:val="12"/>
              </w:rPr>
              <w:t>22.5 / 14.9 %</w:t>
            </w:r>
          </w:p>
        </w:tc>
      </w:tr>
      <w:tr>
        <w:trPr>
          <w:cantSplit w:val="true"/>
        </w:trPr>
        <w:tc>
          <w:tcPr>
            <w:tcW w:type="dxa" w:w="3240"/>
          </w:tcPr>
          <w:p>
            <w:pPr>
              <w:keepNext/>
              <w:jc w:val="left"/>
            </w:pPr>
            <w:r/>
            <w:r>
              <w:rPr>
                <w:rFonts w:ascii="Times New Roman" w:hAnsi="Times New Roman" w:cs="Times New Roman" w:eastAsia="Times New Roman"/>
                <w:sz w:val="12"/>
              </w:rPr>
              <w:t>Simulated MAPE, 7 months: trend / mean of all</w:t>
            </w:r>
          </w:p>
        </w:tc>
        <w:tc>
          <w:tcPr>
            <w:tcW w:type="dxa" w:w="1584"/>
          </w:tcPr>
          <w:p>
            <w:pPr>
              <w:keepNext/>
              <w:jc w:val="left"/>
            </w:pPr>
            <w:r/>
            <w:r>
              <w:rPr>
                <w:rFonts w:ascii="Times New Roman" w:hAnsi="Times New Roman" w:cs="Times New Roman" w:eastAsia="Times New Roman"/>
                <w:sz w:val="12"/>
              </w:rPr>
              <w:t>16.9 / 17.8 %</w:t>
            </w:r>
          </w:p>
        </w:tc>
      </w:tr>
      <w:tr>
        <w:trPr>
          <w:cantSplit w:val="true"/>
        </w:trPr>
        <w:tc>
          <w:tcPr>
            <w:tcW w:type="dxa" w:w="3240"/>
          </w:tcPr>
          <w:p>
            <w:pPr>
              <w:keepNext/>
              <w:jc w:val="left"/>
            </w:pPr>
            <w:r/>
            <w:r>
              <w:rPr>
                <w:rFonts w:ascii="Times New Roman" w:hAnsi="Times New Roman" w:cs="Times New Roman" w:eastAsia="Times New Roman"/>
                <w:sz w:val="12"/>
              </w:rPr>
              <w:t>Demo health score</w:t>
            </w:r>
          </w:p>
        </w:tc>
        <w:tc>
          <w:tcPr>
            <w:tcW w:type="dxa" w:w="1584"/>
          </w:tcPr>
          <w:p>
            <w:pPr>
              <w:keepNext/>
              <w:jc w:val="left"/>
            </w:pPr>
            <w:r/>
            <w:r>
              <w:rPr>
                <w:rFonts w:ascii="Times New Roman" w:hAnsi="Times New Roman" w:cs="Times New Roman" w:eastAsia="Times New Roman"/>
                <w:sz w:val="12"/>
              </w:rPr>
              <w:t>90.4 (Excellent)</w:t>
            </w:r>
          </w:p>
        </w:tc>
      </w:tr>
      <w:tr>
        <w:trPr>
          <w:cantSplit w:val="true"/>
        </w:trPr>
        <w:tc>
          <w:tcPr>
            <w:tcW w:type="dxa" w:w="3240"/>
          </w:tcPr>
          <w:p>
            <w:pPr>
              <w:keepNext/>
              <w:jc w:val="left"/>
            </w:pPr>
            <w:r/>
            <w:r>
              <w:rPr>
                <w:rFonts w:ascii="Times New Roman" w:hAnsi="Times New Roman" w:cs="Times New Roman" w:eastAsia="Times New Roman"/>
                <w:sz w:val="12"/>
              </w:rPr>
              <w:t>5,000 random profiles: mean score, range</w:t>
            </w:r>
          </w:p>
        </w:tc>
        <w:tc>
          <w:tcPr>
            <w:tcW w:type="dxa" w:w="1584"/>
          </w:tcPr>
          <w:p>
            <w:pPr>
              <w:keepNext/>
              <w:jc w:val="left"/>
            </w:pPr>
            <w:r/>
            <w:r>
              <w:rPr>
                <w:rFonts w:ascii="Times New Roman" w:hAnsi="Times New Roman" w:cs="Times New Roman" w:eastAsia="Times New Roman"/>
                <w:sz w:val="12"/>
              </w:rPr>
              <w:t>60.3, 8.7-98.2</w:t>
            </w:r>
          </w:p>
        </w:tc>
      </w:tr>
      <w:tr>
        <w:trPr>
          <w:cantSplit w:val="true"/>
        </w:trPr>
        <w:tc>
          <w:tcPr>
            <w:tcW w:type="dxa" w:w="3240"/>
          </w:tcPr>
          <w:p>
            <w:pPr>
              <w:keepNext/>
              <w:jc w:val="left"/>
            </w:pPr>
            <w:r/>
            <w:r>
              <w:rPr>
                <w:rFonts w:ascii="Times New Roman" w:hAnsi="Times New Roman" w:cs="Times New Roman" w:eastAsia="Times New Roman"/>
                <w:sz w:val="12"/>
              </w:rPr>
              <w:t>Assistant: answerable handled / off-topic declined</w:t>
            </w:r>
          </w:p>
        </w:tc>
        <w:tc>
          <w:tcPr>
            <w:tcW w:type="dxa" w:w="1584"/>
          </w:tcPr>
          <w:p>
            <w:pPr>
              <w:keepNext/>
              <w:jc w:val="left"/>
            </w:pPr>
            <w:r/>
            <w:r>
              <w:rPr>
                <w:rFonts w:ascii="Times New Roman" w:hAnsi="Times New Roman" w:cs="Times New Roman" w:eastAsia="Times New Roman"/>
                <w:sz w:val="12"/>
              </w:rPr>
              <w:t>14 of 20 / 6 of 6</w:t>
            </w:r>
          </w:p>
        </w:tc>
      </w:tr>
      <w:tr>
        <w:trPr>
          <w:cantSplit w:val="true"/>
        </w:trPr>
        <w:tc>
          <w:tcPr>
            <w:tcW w:type="dxa" w:w="3240"/>
          </w:tcPr>
          <w:p>
            <w:pPr>
              <w:keepNext/>
              <w:jc w:val="left"/>
            </w:pPr>
            <w:r/>
            <w:r>
              <w:rPr>
                <w:rFonts w:ascii="Times New Roman" w:hAnsi="Times New Roman" w:cs="Times New Roman" w:eastAsia="Times New Roman"/>
                <w:sz w:val="12"/>
              </w:rPr>
              <w:t>Import of 1,000 rows: bad rows skipped / rows per s</w:t>
            </w:r>
          </w:p>
        </w:tc>
        <w:tc>
          <w:tcPr>
            <w:tcW w:type="dxa" w:w="1584"/>
          </w:tcPr>
          <w:p>
            <w:pPr>
              <w:keepNext/>
              <w:jc w:val="left"/>
            </w:pPr>
            <w:r/>
            <w:r>
              <w:rPr>
                <w:rFonts w:ascii="Times New Roman" w:hAnsi="Times New Roman" w:cs="Times New Roman" w:eastAsia="Times New Roman"/>
                <w:sz w:val="12"/>
              </w:rPr>
              <w:t>84 of 84 / 35.2</w:t>
            </w:r>
          </w:p>
        </w:tc>
      </w:tr>
      <w:tr>
        <w:trPr>
          <w:cantSplit w:val="true"/>
        </w:trPr>
        <w:tc>
          <w:tcPr>
            <w:tcW w:type="dxa" w:w="3240"/>
          </w:tcPr>
          <w:p>
            <w:pPr>
              <w:jc w:val="left"/>
            </w:pPr>
            <w:r/>
            <w:r>
              <w:rPr>
                <w:rFonts w:ascii="Times New Roman" w:hAnsi="Times New Roman" w:cs="Times New Roman" w:eastAsia="Times New Roman"/>
                <w:sz w:val="12"/>
              </w:rPr>
              <w:t>pytest / smoke checks passed</w:t>
            </w:r>
          </w:p>
        </w:tc>
        <w:tc>
          <w:tcPr>
            <w:tcW w:type="dxa" w:w="1584"/>
          </w:tcPr>
          <w:p>
            <w:pPr>
              <w:jc w:val="left"/>
            </w:pPr>
            <w:r/>
            <w:r>
              <w:rPr>
                <w:rFonts w:ascii="Times New Roman" w:hAnsi="Times New Roman" w:cs="Times New Roman" w:eastAsia="Times New Roman"/>
                <w:sz w:val="12"/>
              </w:rPr>
              <w:t>38 of 38 / 49 of 49</w:t>
            </w:r>
          </w:p>
        </w:tc>
      </w:tr>
    </w:tbl>
    <w:p>
      <w:pPr>
        <w:spacing w:after="60"/>
      </w:pPr>
      <w:r>
        <w:rPr>
          <w:rFonts w:ascii="Times New Roman" w:hAnsi="Times New Roman" w:cs="Times New Roman" w:eastAsia="Times New Roman"/>
          <w:sz w:val="8"/>
        </w:rPr>
      </w:r>
    </w:p>
    <w:p>
      <w:pPr>
        <w:keepNext/>
        <w:spacing w:before="80"/>
        <w:jc w:val="center"/>
      </w:pPr>
      <w:r>
        <w:drawing>
          <wp:inline xmlns:a="http://schemas.openxmlformats.org/drawingml/2006/main" xmlns:pic="http://schemas.openxmlformats.org/drawingml/2006/picture">
            <wp:extent cx="3017520" cy="3233057"/>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017520" cy="3233057"/>
                    </a:xfrm>
                    <a:prstGeom prst="rect"/>
                  </pic:spPr>
                </pic:pic>
              </a:graphicData>
            </a:graphic>
          </wp:inline>
        </w:drawing>
      </w:r>
    </w:p>
    <w:p>
      <w:pPr>
        <w:spacing w:after="100"/>
        <w:jc w:val="both"/>
      </w:pPr>
      <w:r>
        <w:rPr>
          <w:rFonts w:ascii="Times New Roman" w:hAnsi="Times New Roman" w:cs="Times New Roman" w:eastAsia="Times New Roman"/>
          <w:sz w:val="16"/>
        </w:rPr>
        <w:t>Fig. 3. (a) Categoriser accuracy by probe tier for the shipped model, the keyword table and the majority class; (b) simulated forecast error against months of history; (c) demo-account forecasts of months four to six by four methods.</w:t>
      </w:r>
    </w:p>
    <w:p>
      <w:pPr>
        <w:keepNext w:val="0"/>
        <w:spacing w:after="0" w:before="0" w:line="240" w:lineRule="auto"/>
        <w:ind w:firstLine="288"/>
        <w:jc w:val="both"/>
      </w:pPr>
      <w:r>
        <w:rPr>
          <w:rFonts w:ascii="Times New Roman" w:hAnsi="Times New Roman" w:cs="Times New Roman" w:eastAsia="Times New Roman"/>
          <w:sz w:val="20"/>
        </w:rPr>
        <w:t>Corrections help in one way only. When a user corrects one unseen merchant, the same merchant narrated three other ways is then labelled correctly 100 % of the time (from 18.2 %, 198 tests), but adding up to 48 random corrections moves accuracy on other new merchants only from 18.2 % to 21.5 %; the repeat test is easy because the variants share the corrected words. The 34-row sample file is labelled with 100 % accuracy, but its vocabulary overlaps the seed list, so that figure is optimistic.</w:t>
      </w:r>
    </w:p>
    <w:p>
      <w:pPr>
        <w:keepNext w:val="0"/>
        <w:spacing w:after="0" w:before="0" w:line="240" w:lineRule="auto"/>
        <w:ind w:firstLine="288"/>
        <w:jc w:val="both"/>
      </w:pPr>
      <w:r>
        <w:rPr>
          <w:rFonts w:ascii="Times New Roman" w:hAnsi="Times New Roman" w:cs="Times New Roman" w:eastAsia="Times New Roman"/>
          <w:sz w:val="20"/>
        </w:rPr>
        <w:t>Table III gives the per-category scores. Healthcare, Rent, Travel, Investments and Salary reach precision 1.0 because only tier-A and tier-B items are ever assigned to them, recall lies between 0.61 (Shopping) and 0.78 (Education) for every other class, and the single poor precision is the catch-all Transport. The remaining tier-B errors are informative: 'UPI-AMAZON-PAY-8821' goes to Entertainment because the seed list contains 'amazon prime video', and 'UPI-HOSPITAL-BILL' goes to Bills.</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PER-CATEGORY SCORES ON THE PROBE SET (18 ITEMS EACH)</w:t>
      </w:r>
    </w:p>
    <w:tbl>
      <w:tblPr>
        <w:tblStyle w:val="TableGrid"/>
        <w:tblW w:type="auto" w:w="0"/>
        <w:jc w:val="center"/>
        <w:tblLook w:firstColumn="1" w:firstRow="1" w:lastColumn="0" w:lastRow="0" w:noHBand="0" w:noVBand="1" w:val="04A0"/>
      </w:tblPr>
      <w:tblGrid>
        <w:gridCol w:w="1281"/>
        <w:gridCol w:w="1281"/>
        <w:gridCol w:w="1281"/>
        <w:gridCol w:w="1281"/>
        <w:gridCol w:w="1281"/>
        <w:gridCol w:w="1281"/>
        <w:gridCol w:w="1281"/>
        <w:gridCol w:w="1281"/>
      </w:tblGrid>
      <w:tr>
        <w:trPr>
          <w:cantSplit w:val="true"/>
        </w:trPr>
        <w:tc>
          <w:tcPr>
            <w:tcW w:type="dxa" w:w="1123"/>
          </w:tcPr>
          <w:p>
            <w:pPr>
              <w:keepNext/>
              <w:jc w:val="center"/>
            </w:pPr>
            <w:r/>
            <w:r>
              <w:rPr>
                <w:rFonts w:ascii="Times New Roman" w:hAnsi="Times New Roman" w:cs="Times New Roman" w:eastAsia="Times New Roman"/>
                <w:b/>
                <w:sz w:val="12"/>
              </w:rPr>
              <w:t>Category</w:t>
            </w:r>
          </w:p>
        </w:tc>
        <w:tc>
          <w:tcPr>
            <w:tcW w:type="dxa" w:w="403"/>
          </w:tcPr>
          <w:p>
            <w:pPr>
              <w:keepNext/>
              <w:jc w:val="center"/>
            </w:pPr>
            <w:r/>
            <w:r>
              <w:rPr>
                <w:rFonts w:ascii="Times New Roman" w:hAnsi="Times New Roman" w:cs="Times New Roman" w:eastAsia="Times New Roman"/>
                <w:b/>
                <w:sz w:val="12"/>
              </w:rPr>
              <w:t>P</w:t>
            </w:r>
          </w:p>
        </w:tc>
        <w:tc>
          <w:tcPr>
            <w:tcW w:type="dxa" w:w="403"/>
          </w:tcPr>
          <w:p>
            <w:pPr>
              <w:keepNext/>
              <w:jc w:val="center"/>
            </w:pPr>
            <w:r/>
            <w:r>
              <w:rPr>
                <w:rFonts w:ascii="Times New Roman" w:hAnsi="Times New Roman" w:cs="Times New Roman" w:eastAsia="Times New Roman"/>
                <w:b/>
                <w:sz w:val="12"/>
              </w:rPr>
              <w:t>R</w:t>
            </w:r>
          </w:p>
        </w:tc>
        <w:tc>
          <w:tcPr>
            <w:tcW w:type="dxa" w:w="432"/>
          </w:tcPr>
          <w:p>
            <w:pPr>
              <w:keepNext/>
              <w:jc w:val="center"/>
            </w:pPr>
            <w:r/>
            <w:r>
              <w:rPr>
                <w:rFonts w:ascii="Times New Roman" w:hAnsi="Times New Roman" w:cs="Times New Roman" w:eastAsia="Times New Roman"/>
                <w:b/>
                <w:sz w:val="12"/>
              </w:rPr>
              <w:t>F1</w:t>
            </w:r>
          </w:p>
        </w:tc>
        <w:tc>
          <w:tcPr>
            <w:tcW w:type="dxa" w:w="1123"/>
          </w:tcPr>
          <w:p>
            <w:pPr>
              <w:keepNext/>
              <w:jc w:val="center"/>
            </w:pPr>
            <w:r/>
            <w:r>
              <w:rPr>
                <w:rFonts w:ascii="Times New Roman" w:hAnsi="Times New Roman" w:cs="Times New Roman" w:eastAsia="Times New Roman"/>
                <w:b/>
                <w:sz w:val="12"/>
              </w:rPr>
              <w:t>Category</w:t>
            </w:r>
          </w:p>
        </w:tc>
        <w:tc>
          <w:tcPr>
            <w:tcW w:type="dxa" w:w="403"/>
          </w:tcPr>
          <w:p>
            <w:pPr>
              <w:keepNext/>
              <w:jc w:val="center"/>
            </w:pPr>
            <w:r/>
            <w:r>
              <w:rPr>
                <w:rFonts w:ascii="Times New Roman" w:hAnsi="Times New Roman" w:cs="Times New Roman" w:eastAsia="Times New Roman"/>
                <w:b/>
                <w:sz w:val="12"/>
              </w:rPr>
              <w:t>P</w:t>
            </w:r>
          </w:p>
        </w:tc>
        <w:tc>
          <w:tcPr>
            <w:tcW w:type="dxa" w:w="403"/>
          </w:tcPr>
          <w:p>
            <w:pPr>
              <w:keepNext/>
              <w:jc w:val="center"/>
            </w:pPr>
            <w:r/>
            <w:r>
              <w:rPr>
                <w:rFonts w:ascii="Times New Roman" w:hAnsi="Times New Roman" w:cs="Times New Roman" w:eastAsia="Times New Roman"/>
                <w:b/>
                <w:sz w:val="12"/>
              </w:rPr>
              <w:t>R</w:t>
            </w:r>
          </w:p>
        </w:tc>
        <w:tc>
          <w:tcPr>
            <w:tcW w:type="dxa" w:w="432"/>
          </w:tcPr>
          <w:p>
            <w:pPr>
              <w:keepNext/>
              <w:jc w:val="center"/>
            </w:pPr>
            <w:r/>
            <w:r>
              <w:rPr>
                <w:rFonts w:ascii="Times New Roman" w:hAnsi="Times New Roman" w:cs="Times New Roman" w:eastAsia="Times New Roman"/>
                <w:b/>
                <w:sz w:val="12"/>
              </w:rPr>
              <w:t>F1</w:t>
            </w:r>
          </w:p>
        </w:tc>
      </w:tr>
      <w:tr>
        <w:trPr>
          <w:cantSplit w:val="true"/>
        </w:trPr>
        <w:tc>
          <w:tcPr>
            <w:tcW w:type="dxa" w:w="1123"/>
          </w:tcPr>
          <w:p>
            <w:pPr>
              <w:keepNext/>
              <w:jc w:val="left"/>
            </w:pPr>
            <w:r/>
            <w:r>
              <w:rPr>
                <w:rFonts w:ascii="Times New Roman" w:hAnsi="Times New Roman" w:cs="Times New Roman" w:eastAsia="Times New Roman"/>
                <w:sz w:val="12"/>
              </w:rPr>
              <w:t>Food</w:t>
            </w:r>
          </w:p>
        </w:tc>
        <w:tc>
          <w:tcPr>
            <w:tcW w:type="dxa" w:w="403"/>
          </w:tcPr>
          <w:p>
            <w:pPr>
              <w:keepNext/>
              <w:jc w:val="center"/>
            </w:pPr>
            <w:r/>
            <w:r>
              <w:rPr>
                <w:rFonts w:ascii="Times New Roman" w:hAnsi="Times New Roman" w:cs="Times New Roman" w:eastAsia="Times New Roman"/>
                <w:sz w:val="12"/>
              </w:rPr>
              <w:t>0.92</w:t>
            </w:r>
          </w:p>
        </w:tc>
        <w:tc>
          <w:tcPr>
            <w:tcW w:type="dxa" w:w="403"/>
          </w:tcPr>
          <w:p>
            <w:pPr>
              <w:keepNext/>
              <w:jc w:val="center"/>
            </w:pPr>
            <w:r/>
            <w:r>
              <w:rPr>
                <w:rFonts w:ascii="Times New Roman" w:hAnsi="Times New Roman" w:cs="Times New Roman" w:eastAsia="Times New Roman"/>
                <w:sz w:val="12"/>
              </w:rPr>
              <w:t>0.67</w:t>
            </w:r>
          </w:p>
        </w:tc>
        <w:tc>
          <w:tcPr>
            <w:tcW w:type="dxa" w:w="432"/>
          </w:tcPr>
          <w:p>
            <w:pPr>
              <w:keepNext/>
              <w:jc w:val="center"/>
            </w:pPr>
            <w:r/>
            <w:r>
              <w:rPr>
                <w:rFonts w:ascii="Times New Roman" w:hAnsi="Times New Roman" w:cs="Times New Roman" w:eastAsia="Times New Roman"/>
                <w:sz w:val="12"/>
              </w:rPr>
              <w:t>0.77</w:t>
            </w:r>
          </w:p>
        </w:tc>
        <w:tc>
          <w:tcPr>
            <w:tcW w:type="dxa" w:w="1123"/>
          </w:tcPr>
          <w:p>
            <w:pPr>
              <w:keepNext/>
              <w:jc w:val="left"/>
            </w:pPr>
            <w:r/>
            <w:r>
              <w:rPr>
                <w:rFonts w:ascii="Times New Roman" w:hAnsi="Times New Roman" w:cs="Times New Roman" w:eastAsia="Times New Roman"/>
                <w:sz w:val="12"/>
              </w:rPr>
              <w:t>Healthcare</w:t>
            </w:r>
          </w:p>
        </w:tc>
        <w:tc>
          <w:tcPr>
            <w:tcW w:type="dxa" w:w="403"/>
          </w:tcPr>
          <w:p>
            <w:pPr>
              <w:keepNext/>
              <w:jc w:val="center"/>
            </w:pPr>
            <w:r/>
            <w:r>
              <w:rPr>
                <w:rFonts w:ascii="Times New Roman" w:hAnsi="Times New Roman" w:cs="Times New Roman" w:eastAsia="Times New Roman"/>
                <w:sz w:val="12"/>
              </w:rPr>
              <w:t>1.00</w:t>
            </w:r>
          </w:p>
        </w:tc>
        <w:tc>
          <w:tcPr>
            <w:tcW w:type="dxa" w:w="403"/>
          </w:tcPr>
          <w:p>
            <w:pPr>
              <w:keepNext/>
              <w:jc w:val="center"/>
            </w:pPr>
            <w:r/>
            <w:r>
              <w:rPr>
                <w:rFonts w:ascii="Times New Roman" w:hAnsi="Times New Roman" w:cs="Times New Roman" w:eastAsia="Times New Roman"/>
                <w:sz w:val="12"/>
              </w:rPr>
              <w:t>0.67</w:t>
            </w:r>
          </w:p>
        </w:tc>
        <w:tc>
          <w:tcPr>
            <w:tcW w:type="dxa" w:w="432"/>
          </w:tcPr>
          <w:p>
            <w:pPr>
              <w:keepNext/>
              <w:jc w:val="center"/>
            </w:pPr>
            <w:r/>
            <w:r>
              <w:rPr>
                <w:rFonts w:ascii="Times New Roman" w:hAnsi="Times New Roman" w:cs="Times New Roman" w:eastAsia="Times New Roman"/>
                <w:sz w:val="12"/>
              </w:rPr>
              <w:t>0.80</w:t>
            </w:r>
          </w:p>
        </w:tc>
      </w:tr>
      <w:tr>
        <w:trPr>
          <w:cantSplit w:val="true"/>
        </w:trPr>
        <w:tc>
          <w:tcPr>
            <w:tcW w:type="dxa" w:w="1123"/>
          </w:tcPr>
          <w:p>
            <w:pPr>
              <w:keepNext/>
              <w:jc w:val="left"/>
            </w:pPr>
            <w:r/>
            <w:r>
              <w:rPr>
                <w:rFonts w:ascii="Times New Roman" w:hAnsi="Times New Roman" w:cs="Times New Roman" w:eastAsia="Times New Roman"/>
                <w:sz w:val="12"/>
              </w:rPr>
              <w:t>Transport</w:t>
            </w:r>
          </w:p>
        </w:tc>
        <w:tc>
          <w:tcPr>
            <w:tcW w:type="dxa" w:w="403"/>
          </w:tcPr>
          <w:p>
            <w:pPr>
              <w:keepNext/>
              <w:jc w:val="center"/>
            </w:pPr>
            <w:r/>
            <w:r>
              <w:rPr>
                <w:rFonts w:ascii="Times New Roman" w:hAnsi="Times New Roman" w:cs="Times New Roman" w:eastAsia="Times New Roman"/>
                <w:sz w:val="12"/>
              </w:rPr>
              <w:t>0.27</w:t>
            </w:r>
          </w:p>
        </w:tc>
        <w:tc>
          <w:tcPr>
            <w:tcW w:type="dxa" w:w="403"/>
          </w:tcPr>
          <w:p>
            <w:pPr>
              <w:keepNext/>
              <w:jc w:val="center"/>
            </w:pPr>
            <w:r/>
            <w:r>
              <w:rPr>
                <w:rFonts w:ascii="Times New Roman" w:hAnsi="Times New Roman" w:cs="Times New Roman" w:eastAsia="Times New Roman"/>
                <w:sz w:val="12"/>
              </w:rPr>
              <w:t>1.00</w:t>
            </w:r>
          </w:p>
        </w:tc>
        <w:tc>
          <w:tcPr>
            <w:tcW w:type="dxa" w:w="432"/>
          </w:tcPr>
          <w:p>
            <w:pPr>
              <w:keepNext/>
              <w:jc w:val="center"/>
            </w:pPr>
            <w:r/>
            <w:r>
              <w:rPr>
                <w:rFonts w:ascii="Times New Roman" w:hAnsi="Times New Roman" w:cs="Times New Roman" w:eastAsia="Times New Roman"/>
                <w:sz w:val="12"/>
              </w:rPr>
              <w:t>0.43</w:t>
            </w:r>
          </w:p>
        </w:tc>
        <w:tc>
          <w:tcPr>
            <w:tcW w:type="dxa" w:w="1123"/>
          </w:tcPr>
          <w:p>
            <w:pPr>
              <w:keepNext/>
              <w:jc w:val="left"/>
            </w:pPr>
            <w:r/>
            <w:r>
              <w:rPr>
                <w:rFonts w:ascii="Times New Roman" w:hAnsi="Times New Roman" w:cs="Times New Roman" w:eastAsia="Times New Roman"/>
                <w:sz w:val="12"/>
              </w:rPr>
              <w:t>Rent</w:t>
            </w:r>
          </w:p>
        </w:tc>
        <w:tc>
          <w:tcPr>
            <w:tcW w:type="dxa" w:w="403"/>
          </w:tcPr>
          <w:p>
            <w:pPr>
              <w:keepNext/>
              <w:jc w:val="center"/>
            </w:pPr>
            <w:r/>
            <w:r>
              <w:rPr>
                <w:rFonts w:ascii="Times New Roman" w:hAnsi="Times New Roman" w:cs="Times New Roman" w:eastAsia="Times New Roman"/>
                <w:sz w:val="12"/>
              </w:rPr>
              <w:t>1.00</w:t>
            </w:r>
          </w:p>
        </w:tc>
        <w:tc>
          <w:tcPr>
            <w:tcW w:type="dxa" w:w="403"/>
          </w:tcPr>
          <w:p>
            <w:pPr>
              <w:keepNext/>
              <w:jc w:val="center"/>
            </w:pPr>
            <w:r/>
            <w:r>
              <w:rPr>
                <w:rFonts w:ascii="Times New Roman" w:hAnsi="Times New Roman" w:cs="Times New Roman" w:eastAsia="Times New Roman"/>
                <w:sz w:val="12"/>
              </w:rPr>
              <w:t>0.67</w:t>
            </w:r>
          </w:p>
        </w:tc>
        <w:tc>
          <w:tcPr>
            <w:tcW w:type="dxa" w:w="432"/>
          </w:tcPr>
          <w:p>
            <w:pPr>
              <w:keepNext/>
              <w:jc w:val="center"/>
            </w:pPr>
            <w:r/>
            <w:r>
              <w:rPr>
                <w:rFonts w:ascii="Times New Roman" w:hAnsi="Times New Roman" w:cs="Times New Roman" w:eastAsia="Times New Roman"/>
                <w:sz w:val="12"/>
              </w:rPr>
              <w:t>0.80</w:t>
            </w:r>
          </w:p>
        </w:tc>
      </w:tr>
      <w:tr>
        <w:trPr>
          <w:cantSplit w:val="true"/>
        </w:trPr>
        <w:tc>
          <w:tcPr>
            <w:tcW w:type="dxa" w:w="1123"/>
          </w:tcPr>
          <w:p>
            <w:pPr>
              <w:keepNext/>
              <w:jc w:val="left"/>
            </w:pPr>
            <w:r/>
            <w:r>
              <w:rPr>
                <w:rFonts w:ascii="Times New Roman" w:hAnsi="Times New Roman" w:cs="Times New Roman" w:eastAsia="Times New Roman"/>
                <w:sz w:val="12"/>
              </w:rPr>
              <w:t>Entertainment</w:t>
            </w:r>
          </w:p>
        </w:tc>
        <w:tc>
          <w:tcPr>
            <w:tcW w:type="dxa" w:w="403"/>
          </w:tcPr>
          <w:p>
            <w:pPr>
              <w:keepNext/>
              <w:jc w:val="center"/>
            </w:pPr>
            <w:r/>
            <w:r>
              <w:rPr>
                <w:rFonts w:ascii="Times New Roman" w:hAnsi="Times New Roman" w:cs="Times New Roman" w:eastAsia="Times New Roman"/>
                <w:sz w:val="12"/>
              </w:rPr>
              <w:t>0.87</w:t>
            </w:r>
          </w:p>
        </w:tc>
        <w:tc>
          <w:tcPr>
            <w:tcW w:type="dxa" w:w="403"/>
          </w:tcPr>
          <w:p>
            <w:pPr>
              <w:keepNext/>
              <w:jc w:val="center"/>
            </w:pPr>
            <w:r/>
            <w:r>
              <w:rPr>
                <w:rFonts w:ascii="Times New Roman" w:hAnsi="Times New Roman" w:cs="Times New Roman" w:eastAsia="Times New Roman"/>
                <w:sz w:val="12"/>
              </w:rPr>
              <w:t>0.72</w:t>
            </w:r>
          </w:p>
        </w:tc>
        <w:tc>
          <w:tcPr>
            <w:tcW w:type="dxa" w:w="432"/>
          </w:tcPr>
          <w:p>
            <w:pPr>
              <w:keepNext/>
              <w:jc w:val="center"/>
            </w:pPr>
            <w:r/>
            <w:r>
              <w:rPr>
                <w:rFonts w:ascii="Times New Roman" w:hAnsi="Times New Roman" w:cs="Times New Roman" w:eastAsia="Times New Roman"/>
                <w:sz w:val="12"/>
              </w:rPr>
              <w:t>0.79</w:t>
            </w:r>
          </w:p>
        </w:tc>
        <w:tc>
          <w:tcPr>
            <w:tcW w:type="dxa" w:w="1123"/>
          </w:tcPr>
          <w:p>
            <w:pPr>
              <w:keepNext/>
              <w:jc w:val="left"/>
            </w:pPr>
            <w:r/>
            <w:r>
              <w:rPr>
                <w:rFonts w:ascii="Times New Roman" w:hAnsi="Times New Roman" w:cs="Times New Roman" w:eastAsia="Times New Roman"/>
                <w:sz w:val="12"/>
              </w:rPr>
              <w:t>Travel</w:t>
            </w:r>
          </w:p>
        </w:tc>
        <w:tc>
          <w:tcPr>
            <w:tcW w:type="dxa" w:w="403"/>
          </w:tcPr>
          <w:p>
            <w:pPr>
              <w:keepNext/>
              <w:jc w:val="center"/>
            </w:pPr>
            <w:r/>
            <w:r>
              <w:rPr>
                <w:rFonts w:ascii="Times New Roman" w:hAnsi="Times New Roman" w:cs="Times New Roman" w:eastAsia="Times New Roman"/>
                <w:sz w:val="12"/>
              </w:rPr>
              <w:t>1.00</w:t>
            </w:r>
          </w:p>
        </w:tc>
        <w:tc>
          <w:tcPr>
            <w:tcW w:type="dxa" w:w="403"/>
          </w:tcPr>
          <w:p>
            <w:pPr>
              <w:keepNext/>
              <w:jc w:val="center"/>
            </w:pPr>
            <w:r/>
            <w:r>
              <w:rPr>
                <w:rFonts w:ascii="Times New Roman" w:hAnsi="Times New Roman" w:cs="Times New Roman" w:eastAsia="Times New Roman"/>
                <w:sz w:val="12"/>
              </w:rPr>
              <w:t>0.72</w:t>
            </w:r>
          </w:p>
        </w:tc>
        <w:tc>
          <w:tcPr>
            <w:tcW w:type="dxa" w:w="432"/>
          </w:tcPr>
          <w:p>
            <w:pPr>
              <w:keepNext/>
              <w:jc w:val="center"/>
            </w:pPr>
            <w:r/>
            <w:r>
              <w:rPr>
                <w:rFonts w:ascii="Times New Roman" w:hAnsi="Times New Roman" w:cs="Times New Roman" w:eastAsia="Times New Roman"/>
                <w:sz w:val="12"/>
              </w:rPr>
              <w:t>0.84</w:t>
            </w:r>
          </w:p>
        </w:tc>
      </w:tr>
      <w:tr>
        <w:trPr>
          <w:cantSplit w:val="true"/>
        </w:trPr>
        <w:tc>
          <w:tcPr>
            <w:tcW w:type="dxa" w:w="1123"/>
          </w:tcPr>
          <w:p>
            <w:pPr>
              <w:keepNext/>
              <w:jc w:val="left"/>
            </w:pPr>
            <w:r/>
            <w:r>
              <w:rPr>
                <w:rFonts w:ascii="Times New Roman" w:hAnsi="Times New Roman" w:cs="Times New Roman" w:eastAsia="Times New Roman"/>
                <w:sz w:val="12"/>
              </w:rPr>
              <w:t>Bills</w:t>
            </w:r>
          </w:p>
        </w:tc>
        <w:tc>
          <w:tcPr>
            <w:tcW w:type="dxa" w:w="403"/>
          </w:tcPr>
          <w:p>
            <w:pPr>
              <w:keepNext/>
              <w:jc w:val="center"/>
            </w:pPr>
            <w:r/>
            <w:r>
              <w:rPr>
                <w:rFonts w:ascii="Times New Roman" w:hAnsi="Times New Roman" w:cs="Times New Roman" w:eastAsia="Times New Roman"/>
                <w:sz w:val="12"/>
              </w:rPr>
              <w:t>0.93</w:t>
            </w:r>
          </w:p>
        </w:tc>
        <w:tc>
          <w:tcPr>
            <w:tcW w:type="dxa" w:w="403"/>
          </w:tcPr>
          <w:p>
            <w:pPr>
              <w:keepNext/>
              <w:jc w:val="center"/>
            </w:pPr>
            <w:r/>
            <w:r>
              <w:rPr>
                <w:rFonts w:ascii="Times New Roman" w:hAnsi="Times New Roman" w:cs="Times New Roman" w:eastAsia="Times New Roman"/>
                <w:sz w:val="12"/>
              </w:rPr>
              <w:t>0.72</w:t>
            </w:r>
          </w:p>
        </w:tc>
        <w:tc>
          <w:tcPr>
            <w:tcW w:type="dxa" w:w="432"/>
          </w:tcPr>
          <w:p>
            <w:pPr>
              <w:keepNext/>
              <w:jc w:val="center"/>
            </w:pPr>
            <w:r/>
            <w:r>
              <w:rPr>
                <w:rFonts w:ascii="Times New Roman" w:hAnsi="Times New Roman" w:cs="Times New Roman" w:eastAsia="Times New Roman"/>
                <w:sz w:val="12"/>
              </w:rPr>
              <w:t>0.81</w:t>
            </w:r>
          </w:p>
        </w:tc>
        <w:tc>
          <w:tcPr>
            <w:tcW w:type="dxa" w:w="1123"/>
          </w:tcPr>
          <w:p>
            <w:pPr>
              <w:keepNext/>
              <w:jc w:val="left"/>
            </w:pPr>
            <w:r/>
            <w:r>
              <w:rPr>
                <w:rFonts w:ascii="Times New Roman" w:hAnsi="Times New Roman" w:cs="Times New Roman" w:eastAsia="Times New Roman"/>
                <w:sz w:val="12"/>
              </w:rPr>
              <w:t>Investments</w:t>
            </w:r>
          </w:p>
        </w:tc>
        <w:tc>
          <w:tcPr>
            <w:tcW w:type="dxa" w:w="403"/>
          </w:tcPr>
          <w:p>
            <w:pPr>
              <w:keepNext/>
              <w:jc w:val="center"/>
            </w:pPr>
            <w:r/>
            <w:r>
              <w:rPr>
                <w:rFonts w:ascii="Times New Roman" w:hAnsi="Times New Roman" w:cs="Times New Roman" w:eastAsia="Times New Roman"/>
                <w:sz w:val="12"/>
              </w:rPr>
              <w:t>1.00</w:t>
            </w:r>
          </w:p>
        </w:tc>
        <w:tc>
          <w:tcPr>
            <w:tcW w:type="dxa" w:w="403"/>
          </w:tcPr>
          <w:p>
            <w:pPr>
              <w:keepNext/>
              <w:jc w:val="center"/>
            </w:pPr>
            <w:r/>
            <w:r>
              <w:rPr>
                <w:rFonts w:ascii="Times New Roman" w:hAnsi="Times New Roman" w:cs="Times New Roman" w:eastAsia="Times New Roman"/>
                <w:sz w:val="12"/>
              </w:rPr>
              <w:t>0.67</w:t>
            </w:r>
          </w:p>
        </w:tc>
        <w:tc>
          <w:tcPr>
            <w:tcW w:type="dxa" w:w="432"/>
          </w:tcPr>
          <w:p>
            <w:pPr>
              <w:keepNext/>
              <w:jc w:val="center"/>
            </w:pPr>
            <w:r/>
            <w:r>
              <w:rPr>
                <w:rFonts w:ascii="Times New Roman" w:hAnsi="Times New Roman" w:cs="Times New Roman" w:eastAsia="Times New Roman"/>
                <w:sz w:val="12"/>
              </w:rPr>
              <w:t>0.80</w:t>
            </w:r>
          </w:p>
        </w:tc>
      </w:tr>
      <w:tr>
        <w:trPr>
          <w:cantSplit w:val="true"/>
        </w:trPr>
        <w:tc>
          <w:tcPr>
            <w:tcW w:type="dxa" w:w="1123"/>
          </w:tcPr>
          <w:p>
            <w:pPr>
              <w:keepNext/>
              <w:jc w:val="left"/>
            </w:pPr>
            <w:r/>
            <w:r>
              <w:rPr>
                <w:rFonts w:ascii="Times New Roman" w:hAnsi="Times New Roman" w:cs="Times New Roman" w:eastAsia="Times New Roman"/>
                <w:sz w:val="12"/>
              </w:rPr>
              <w:t>Shopping</w:t>
            </w:r>
          </w:p>
        </w:tc>
        <w:tc>
          <w:tcPr>
            <w:tcW w:type="dxa" w:w="403"/>
          </w:tcPr>
          <w:p>
            <w:pPr>
              <w:keepNext/>
              <w:jc w:val="center"/>
            </w:pPr>
            <w:r/>
            <w:r>
              <w:rPr>
                <w:rFonts w:ascii="Times New Roman" w:hAnsi="Times New Roman" w:cs="Times New Roman" w:eastAsia="Times New Roman"/>
                <w:sz w:val="12"/>
              </w:rPr>
              <w:t>0.92</w:t>
            </w:r>
          </w:p>
        </w:tc>
        <w:tc>
          <w:tcPr>
            <w:tcW w:type="dxa" w:w="403"/>
          </w:tcPr>
          <w:p>
            <w:pPr>
              <w:keepNext/>
              <w:jc w:val="center"/>
            </w:pPr>
            <w:r/>
            <w:r>
              <w:rPr>
                <w:rFonts w:ascii="Times New Roman" w:hAnsi="Times New Roman" w:cs="Times New Roman" w:eastAsia="Times New Roman"/>
                <w:sz w:val="12"/>
              </w:rPr>
              <w:t>0.61</w:t>
            </w:r>
          </w:p>
        </w:tc>
        <w:tc>
          <w:tcPr>
            <w:tcW w:type="dxa" w:w="432"/>
          </w:tcPr>
          <w:p>
            <w:pPr>
              <w:keepNext/>
              <w:jc w:val="center"/>
            </w:pPr>
            <w:r/>
            <w:r>
              <w:rPr>
                <w:rFonts w:ascii="Times New Roman" w:hAnsi="Times New Roman" w:cs="Times New Roman" w:eastAsia="Times New Roman"/>
                <w:sz w:val="12"/>
              </w:rPr>
              <w:t>0.73</w:t>
            </w:r>
          </w:p>
        </w:tc>
        <w:tc>
          <w:tcPr>
            <w:tcW w:type="dxa" w:w="1123"/>
          </w:tcPr>
          <w:p>
            <w:pPr>
              <w:keepNext/>
              <w:jc w:val="left"/>
            </w:pPr>
            <w:r/>
            <w:r>
              <w:rPr>
                <w:rFonts w:ascii="Times New Roman" w:hAnsi="Times New Roman" w:cs="Times New Roman" w:eastAsia="Times New Roman"/>
                <w:sz w:val="12"/>
              </w:rPr>
              <w:t>Salary</w:t>
            </w:r>
          </w:p>
        </w:tc>
        <w:tc>
          <w:tcPr>
            <w:tcW w:type="dxa" w:w="403"/>
          </w:tcPr>
          <w:p>
            <w:pPr>
              <w:keepNext/>
              <w:jc w:val="center"/>
            </w:pPr>
            <w:r/>
            <w:r>
              <w:rPr>
                <w:rFonts w:ascii="Times New Roman" w:hAnsi="Times New Roman" w:cs="Times New Roman" w:eastAsia="Times New Roman"/>
                <w:sz w:val="12"/>
              </w:rPr>
              <w:t>1.00</w:t>
            </w:r>
          </w:p>
        </w:tc>
        <w:tc>
          <w:tcPr>
            <w:tcW w:type="dxa" w:w="403"/>
          </w:tcPr>
          <w:p>
            <w:pPr>
              <w:keepNext/>
              <w:jc w:val="center"/>
            </w:pPr>
            <w:r/>
            <w:r>
              <w:rPr>
                <w:rFonts w:ascii="Times New Roman" w:hAnsi="Times New Roman" w:cs="Times New Roman" w:eastAsia="Times New Roman"/>
                <w:sz w:val="12"/>
              </w:rPr>
              <w:t>0.67</w:t>
            </w:r>
          </w:p>
        </w:tc>
        <w:tc>
          <w:tcPr>
            <w:tcW w:type="dxa" w:w="432"/>
          </w:tcPr>
          <w:p>
            <w:pPr>
              <w:keepNext/>
              <w:jc w:val="center"/>
            </w:pPr>
            <w:r/>
            <w:r>
              <w:rPr>
                <w:rFonts w:ascii="Times New Roman" w:hAnsi="Times New Roman" w:cs="Times New Roman" w:eastAsia="Times New Roman"/>
                <w:sz w:val="12"/>
              </w:rPr>
              <w:t>0.80</w:t>
            </w:r>
          </w:p>
        </w:tc>
      </w:tr>
      <w:tr>
        <w:trPr>
          <w:cantSplit w:val="true"/>
        </w:trPr>
        <w:tc>
          <w:tcPr>
            <w:tcW w:type="dxa" w:w="1123"/>
          </w:tcPr>
          <w:p>
            <w:pPr>
              <w:jc w:val="left"/>
            </w:pPr>
            <w:r/>
            <w:r>
              <w:rPr>
                <w:rFonts w:ascii="Times New Roman" w:hAnsi="Times New Roman" w:cs="Times New Roman" w:eastAsia="Times New Roman"/>
                <w:sz w:val="12"/>
              </w:rPr>
              <w:t>Education</w:t>
            </w:r>
          </w:p>
        </w:tc>
        <w:tc>
          <w:tcPr>
            <w:tcW w:type="dxa" w:w="403"/>
          </w:tcPr>
          <w:p>
            <w:pPr>
              <w:jc w:val="center"/>
            </w:pPr>
            <w:r/>
            <w:r>
              <w:rPr>
                <w:rFonts w:ascii="Times New Roman" w:hAnsi="Times New Roman" w:cs="Times New Roman" w:eastAsia="Times New Roman"/>
                <w:sz w:val="12"/>
              </w:rPr>
              <w:t>0.82</w:t>
            </w:r>
          </w:p>
        </w:tc>
        <w:tc>
          <w:tcPr>
            <w:tcW w:type="dxa" w:w="403"/>
          </w:tcPr>
          <w:p>
            <w:pPr>
              <w:jc w:val="center"/>
            </w:pPr>
            <w:r/>
            <w:r>
              <w:rPr>
                <w:rFonts w:ascii="Times New Roman" w:hAnsi="Times New Roman" w:cs="Times New Roman" w:eastAsia="Times New Roman"/>
                <w:sz w:val="12"/>
              </w:rPr>
              <w:t>0.78</w:t>
            </w:r>
          </w:p>
        </w:tc>
        <w:tc>
          <w:tcPr>
            <w:tcW w:type="dxa" w:w="432"/>
          </w:tcPr>
          <w:p>
            <w:pPr>
              <w:jc w:val="center"/>
            </w:pPr>
            <w:r/>
            <w:r>
              <w:rPr>
                <w:rFonts w:ascii="Times New Roman" w:hAnsi="Times New Roman" w:cs="Times New Roman" w:eastAsia="Times New Roman"/>
                <w:sz w:val="12"/>
              </w:rPr>
              <w:t>0.80</w:t>
            </w:r>
          </w:p>
        </w:tc>
        <w:tc>
          <w:tcPr>
            <w:tcW w:type="dxa" w:w="1123"/>
          </w:tcPr>
          <w:p>
            <w:pPr>
              <w:jc w:val="left"/>
            </w:pPr>
            <w:r/>
          </w:p>
        </w:tc>
        <w:tc>
          <w:tcPr>
            <w:tcW w:type="dxa" w:w="403"/>
          </w:tcPr>
          <w:p>
            <w:pPr>
              <w:jc w:val="center"/>
            </w:pPr>
            <w:r/>
          </w:p>
        </w:tc>
        <w:tc>
          <w:tcPr>
            <w:tcW w:type="dxa" w:w="403"/>
          </w:tcPr>
          <w:p>
            <w:pPr>
              <w:jc w:val="center"/>
            </w:pPr>
            <w:r/>
          </w:p>
        </w:tc>
        <w:tc>
          <w:tcPr>
            <w:tcW w:type="dxa" w:w="432"/>
          </w:tcPr>
          <w:p>
            <w:pPr>
              <w:jc w:val="center"/>
            </w:pPr>
            <w:r/>
          </w:p>
        </w:tc>
      </w:tr>
    </w:tbl>
    <w:p>
      <w:pPr>
        <w:spacing w:after="60"/>
      </w:pPr>
      <w:r>
        <w:rPr>
          <w:rFonts w:ascii="Times New Roman" w:hAnsi="Times New Roman" w:cs="Times New Roman" w:eastAsia="Times New Roman"/>
          <w:sz w:val="8"/>
        </w:rPr>
      </w:r>
    </w:p>
    <w:p>
      <w:pPr>
        <w:keepNext/>
        <w:spacing w:before="80" w:after="40"/>
      </w:pPr>
      <w:r>
        <w:rPr>
          <w:rFonts w:ascii="Times New Roman" w:hAnsi="Times New Roman" w:cs="Times New Roman" w:eastAsia="Times New Roman"/>
          <w:b w:val="0"/>
          <w:i/>
          <w:sz w:val="20"/>
        </w:rPr>
        <w:t>B. Forecast</w:t>
      </w:r>
    </w:p>
    <w:p>
      <w:pPr>
        <w:keepNext w:val="0"/>
        <w:spacing w:after="0" w:before="0" w:line="240" w:lineRule="auto"/>
        <w:ind w:firstLine="288"/>
        <w:jc w:val="both"/>
      </w:pPr>
      <w:r>
        <w:rPr>
          <w:rFonts w:ascii="Times New Roman" w:hAnsi="Times New Roman" w:cs="Times New Roman" w:eastAsia="Times New Roman"/>
          <w:sz w:val="20"/>
        </w:rPr>
        <w:t>On the demo account, with monthly expenses of 26,579; 26,878; 28,384; 36,118; 43,579 and 30,080 INR, we forecast months four to six from the months before them. The trend follows the August and September rise but overshoots October, and its MAPE of 28.4 % is worse than the mean of all history (21.4 %), the mean of the last three months (24.8 %) and repeating the last value (27.8 %); MAE is 9,597, 8,385, 9,301 and 9,565 INR. Three test points prove little, so we simulated 2,000 users per setting. At noise 0.10 the trend has a MAPE of 22.5 % with three months of history against 14.9 % for a plain mean, and it is better than the mean of all history only from about seven months (16.9 against 17.8 %); the mean of the last three months was at least as good as the trend in every noise setting (e.g. 28.2 against 30.8 % at 0.20). Across noise levels from 0.05 to 0.30 the trend's simulated MAPE rises from 14.0 to 54.0 %, the last-three-month mean from 13.1 to 51.1 %. The minimum of three months is therefore too low for this method. For November the application predicts 39,471 INR against a recent three-month average of 36,592 INR.</w:t>
      </w:r>
    </w:p>
    <w:p>
      <w:pPr>
        <w:keepNext/>
        <w:spacing w:before="80" w:after="40"/>
      </w:pPr>
      <w:r>
        <w:rPr>
          <w:rFonts w:ascii="Times New Roman" w:hAnsi="Times New Roman" w:cs="Times New Roman" w:eastAsia="Times New Roman"/>
          <w:b w:val="0"/>
          <w:i/>
          <w:sz w:val="20"/>
        </w:rPr>
        <w:t>C. Health Score and Assistant</w:t>
      </w:r>
    </w:p>
    <w:p>
      <w:pPr>
        <w:keepNext w:val="0"/>
        <w:spacing w:after="0" w:before="0" w:line="240" w:lineRule="auto"/>
        <w:ind w:firstLine="288"/>
        <w:jc w:val="both"/>
      </w:pPr>
      <w:r>
        <w:rPr>
          <w:rFonts w:ascii="Times New Roman" w:hAnsi="Times New Roman" w:cs="Times New Roman" w:eastAsia="Times New Roman"/>
          <w:sz w:val="20"/>
        </w:rPr>
        <w:t>The demo account scores 90.4 (Excellent) with components 100, 100, 100, 100, 80 and 24; goal progress is the weakest. From a baseline profile of 80.7, raising the savings rate from 0 to 20 % lifts the score from 50.7 to 80.7 and then saturates; over 5,000 random profiles the score ranges from 8.7 to 98.2 (mean 60.3; 1425 Critical, 218 Excellent), and raising the savings rate by five points never lowered it. The weights are chosen by the authors, not fitted, and savings rate and expense ratio, which together carry half the score, are strongly correlated. The assistant handled 14 of 20 answerable questions; it missed 'groceries', 'biggest expense', 'eating out', 'largest purchase', 'run out of money' and 'which category to cut', which fell to the help text, and it declined all 6 off-topic questions. Its numbers are correct: 'How much did I spend on Food?' returns INR 17,365, equal to a direct sum, and the top category Rent matches a group-by. One quirk remains: 'Am I overspending on shopping?' is answered with the Shopping total, not a comparison with its budget.</w:t>
      </w:r>
    </w:p>
    <w:p>
      <w:pPr>
        <w:keepNext w:val="0"/>
        <w:spacing w:after="0" w:before="0" w:line="240" w:lineRule="auto"/>
        <w:ind w:firstLine="288"/>
        <w:jc w:val="both"/>
      </w:pPr>
      <w:r>
        <w:rPr>
          <w:rFonts w:ascii="Times New Roman" w:hAnsi="Times New Roman" w:cs="Times New Roman" w:eastAsia="Times New Roman"/>
          <w:sz w:val="20"/>
        </w:rPr>
        <w:t>The sensitivity runs show how the score behaves. With expenses at 20,000, 32,500, 45,000, 55,000, 65,000 and 75,000 INR a month the score falls from 85.5 to 80.7, 70.9, 63.7, 56.8 and 56.3, and a balance of 0, 50,000, 100,000 and 195,000 INR or more gives 73.0, 76.8, 80.7 and 88.0, capped at six months of expenses. Goal progress from 0 to 100 % and the number of asset types from 0 to 5 each move the score by 10 points (76.7 to 86.7), the full weight of the part. The score therefore rewards a high savings rate and low spending most, and these two inputs overlap, so a household with high income but no goals or holdings still scores in the 70s.</w:t>
      </w:r>
    </w:p>
    <w:p>
      <w:pPr>
        <w:keepNext/>
        <w:spacing w:before="80" w:after="40"/>
      </w:pPr>
      <w:r>
        <w:rPr>
          <w:rFonts w:ascii="Times New Roman" w:hAnsi="Times New Roman" w:cs="Times New Roman" w:eastAsia="Times New Roman"/>
          <w:b w:val="0"/>
          <w:i/>
          <w:sz w:val="20"/>
        </w:rPr>
        <w:t>D. Tests and Response Time</w:t>
      </w:r>
    </w:p>
    <w:p>
      <w:pPr>
        <w:keepNext/>
        <w:spacing w:before="80"/>
        <w:jc w:val="center"/>
      </w:pPr>
      <w:r>
        <w:rPr>
          <w:rFonts w:ascii="Times New Roman" w:hAnsi="Times New Roman" w:cs="Times New Roman" w:eastAsia="Times New Roman"/>
          <w:sz w:val="16"/>
        </w:rPr>
        <w:t>TABLE IV</w:t>
      </w:r>
    </w:p>
    <w:p>
      <w:pPr>
        <w:keepNext/>
        <w:spacing w:after="40"/>
        <w:jc w:val="center"/>
      </w:pPr>
      <w:r>
        <w:rPr>
          <w:rFonts w:ascii="Times New Roman" w:hAnsi="Times New Roman" w:cs="Times New Roman" w:eastAsia="Times New Roman"/>
          <w:sz w:val="16"/>
        </w:rPr>
        <w:t>RESPONSE TIME IN MS, MEDIAN / P95 (127.0.0.1, ONE USER)</w:t>
      </w:r>
    </w:p>
    <w:tbl>
      <w:tblPr>
        <w:tblStyle w:val="TableGrid"/>
        <w:tblW w:type="auto" w:w="0"/>
        <w:jc w:val="center"/>
        <w:tblLook w:firstColumn="1" w:firstRow="1" w:lastColumn="0" w:lastRow="0" w:noHBand="0" w:noVBand="1" w:val="04A0"/>
      </w:tblPr>
      <w:tblGrid>
        <w:gridCol w:w="5126"/>
        <w:gridCol w:w="5126"/>
      </w:tblGrid>
      <w:tr>
        <w:trPr>
          <w:cantSplit w:val="true"/>
        </w:trPr>
        <w:tc>
          <w:tcPr>
            <w:tcW w:type="dxa" w:w="3168"/>
          </w:tcPr>
          <w:p>
            <w:pPr>
              <w:keepNext/>
              <w:jc w:val="center"/>
            </w:pPr>
            <w:r/>
            <w:r>
              <w:rPr>
                <w:rFonts w:ascii="Times New Roman" w:hAnsi="Times New Roman" w:cs="Times New Roman" w:eastAsia="Times New Roman"/>
                <w:b/>
                <w:sz w:val="12"/>
              </w:rPr>
              <w:t>Endpoint</w:t>
            </w:r>
          </w:p>
        </w:tc>
        <w:tc>
          <w:tcPr>
            <w:tcW w:type="dxa" w:w="1656"/>
          </w:tcPr>
          <w:p>
            <w:pPr>
              <w:keepNext/>
              <w:jc w:val="center"/>
            </w:pPr>
            <w:r/>
            <w:r>
              <w:rPr>
                <w:rFonts w:ascii="Times New Roman" w:hAnsi="Times New Roman" w:cs="Times New Roman" w:eastAsia="Times New Roman"/>
                <w:b/>
                <w:sz w:val="12"/>
              </w:rPr>
              <w:t>ms</w:t>
            </w:r>
          </w:p>
        </w:tc>
      </w:tr>
      <w:tr>
        <w:trPr>
          <w:cantSplit w:val="true"/>
        </w:trPr>
        <w:tc>
          <w:tcPr>
            <w:tcW w:type="dxa" w:w="3168"/>
          </w:tcPr>
          <w:p>
            <w:pPr>
              <w:keepNext/>
              <w:jc w:val="left"/>
            </w:pPr>
            <w:r/>
            <w:r>
              <w:rPr>
                <w:rFonts w:ascii="Times New Roman" w:hAnsi="Times New Roman" w:cs="Times New Roman" w:eastAsia="Times New Roman"/>
                <w:sz w:val="12"/>
              </w:rPr>
              <w:t>Login (bcrypt verify)</w:t>
            </w:r>
          </w:p>
        </w:tc>
        <w:tc>
          <w:tcPr>
            <w:tcW w:type="dxa" w:w="1656"/>
          </w:tcPr>
          <w:p>
            <w:pPr>
              <w:keepNext/>
              <w:jc w:val="left"/>
            </w:pPr>
            <w:r/>
            <w:r>
              <w:rPr>
                <w:rFonts w:ascii="Times New Roman" w:hAnsi="Times New Roman" w:cs="Times New Roman" w:eastAsia="Times New Roman"/>
                <w:sz w:val="12"/>
              </w:rPr>
              <w:t>305 / 367</w:t>
            </w:r>
          </w:p>
        </w:tc>
      </w:tr>
      <w:tr>
        <w:trPr>
          <w:cantSplit w:val="true"/>
        </w:trPr>
        <w:tc>
          <w:tcPr>
            <w:tcW w:type="dxa" w:w="3168"/>
          </w:tcPr>
          <w:p>
            <w:pPr>
              <w:keepNext/>
              <w:jc w:val="left"/>
            </w:pPr>
            <w:r/>
            <w:r>
              <w:rPr>
                <w:rFonts w:ascii="Times New Roman" w:hAnsi="Times New Roman" w:cs="Times New Roman" w:eastAsia="Times New Roman"/>
                <w:sz w:val="12"/>
              </w:rPr>
              <w:t>GET dashboard</w:t>
            </w:r>
          </w:p>
        </w:tc>
        <w:tc>
          <w:tcPr>
            <w:tcW w:type="dxa" w:w="1656"/>
          </w:tcPr>
          <w:p>
            <w:pPr>
              <w:keepNext/>
              <w:jc w:val="left"/>
            </w:pPr>
            <w:r/>
            <w:r>
              <w:rPr>
                <w:rFonts w:ascii="Times New Roman" w:hAnsi="Times New Roman" w:cs="Times New Roman" w:eastAsia="Times New Roman"/>
                <w:sz w:val="12"/>
              </w:rPr>
              <w:t>67 / 129</w:t>
            </w:r>
          </w:p>
        </w:tc>
      </w:tr>
      <w:tr>
        <w:trPr>
          <w:cantSplit w:val="true"/>
        </w:trPr>
        <w:tc>
          <w:tcPr>
            <w:tcW w:type="dxa" w:w="3168"/>
          </w:tcPr>
          <w:p>
            <w:pPr>
              <w:keepNext/>
              <w:jc w:val="left"/>
            </w:pPr>
            <w:r/>
            <w:r>
              <w:rPr>
                <w:rFonts w:ascii="Times New Roman" w:hAnsi="Times New Roman" w:cs="Times New Roman" w:eastAsia="Times New Roman"/>
                <w:sz w:val="12"/>
              </w:rPr>
              <w:t>GET analytics</w:t>
            </w:r>
          </w:p>
        </w:tc>
        <w:tc>
          <w:tcPr>
            <w:tcW w:type="dxa" w:w="1656"/>
          </w:tcPr>
          <w:p>
            <w:pPr>
              <w:keepNext/>
              <w:jc w:val="left"/>
            </w:pPr>
            <w:r/>
            <w:r>
              <w:rPr>
                <w:rFonts w:ascii="Times New Roman" w:hAnsi="Times New Roman" w:cs="Times New Roman" w:eastAsia="Times New Roman"/>
                <w:sz w:val="12"/>
              </w:rPr>
              <w:t>72 / 128</w:t>
            </w:r>
          </w:p>
        </w:tc>
      </w:tr>
      <w:tr>
        <w:trPr>
          <w:cantSplit w:val="true"/>
        </w:trPr>
        <w:tc>
          <w:tcPr>
            <w:tcW w:type="dxa" w:w="3168"/>
          </w:tcPr>
          <w:p>
            <w:pPr>
              <w:keepNext/>
              <w:jc w:val="left"/>
            </w:pPr>
            <w:r/>
            <w:r>
              <w:rPr>
                <w:rFonts w:ascii="Times New Roman" w:hAnsi="Times New Roman" w:cs="Times New Roman" w:eastAsia="Times New Roman"/>
                <w:sz w:val="12"/>
              </w:rPr>
              <w:t>POST predict-category</w:t>
            </w:r>
          </w:p>
        </w:tc>
        <w:tc>
          <w:tcPr>
            <w:tcW w:type="dxa" w:w="1656"/>
          </w:tcPr>
          <w:p>
            <w:pPr>
              <w:keepNext/>
              <w:jc w:val="left"/>
            </w:pPr>
            <w:r/>
            <w:r>
              <w:rPr>
                <w:rFonts w:ascii="Times New Roman" w:hAnsi="Times New Roman" w:cs="Times New Roman" w:eastAsia="Times New Roman"/>
                <w:sz w:val="12"/>
              </w:rPr>
              <w:t>7.9 / 20.5</w:t>
            </w:r>
          </w:p>
        </w:tc>
      </w:tr>
      <w:tr>
        <w:trPr>
          <w:cantSplit w:val="true"/>
        </w:trPr>
        <w:tc>
          <w:tcPr>
            <w:tcW w:type="dxa" w:w="3168"/>
          </w:tcPr>
          <w:p>
            <w:pPr>
              <w:keepNext/>
              <w:jc w:val="left"/>
            </w:pPr>
            <w:r/>
            <w:r>
              <w:rPr>
                <w:rFonts w:ascii="Times New Roman" w:hAnsi="Times New Roman" w:cs="Times New Roman" w:eastAsia="Times New Roman"/>
                <w:sz w:val="12"/>
              </w:rPr>
              <w:t>POST transaction (auto-categorise)</w:t>
            </w:r>
          </w:p>
        </w:tc>
        <w:tc>
          <w:tcPr>
            <w:tcW w:type="dxa" w:w="1656"/>
          </w:tcPr>
          <w:p>
            <w:pPr>
              <w:keepNext/>
              <w:jc w:val="left"/>
            </w:pPr>
            <w:r/>
            <w:r>
              <w:rPr>
                <w:rFonts w:ascii="Times New Roman" w:hAnsi="Times New Roman" w:cs="Times New Roman" w:eastAsia="Times New Roman"/>
                <w:sz w:val="12"/>
              </w:rPr>
              <w:t>15.2 / 20.2</w:t>
            </w:r>
          </w:p>
        </w:tc>
      </w:tr>
      <w:tr>
        <w:trPr>
          <w:cantSplit w:val="true"/>
        </w:trPr>
        <w:tc>
          <w:tcPr>
            <w:tcW w:type="dxa" w:w="3168"/>
          </w:tcPr>
          <w:p>
            <w:pPr>
              <w:keepNext/>
              <w:jc w:val="left"/>
            </w:pPr>
            <w:r/>
            <w:r>
              <w:rPr>
                <w:rFonts w:ascii="Times New Roman" w:hAnsi="Times New Roman" w:cs="Times New Roman" w:eastAsia="Times New Roman"/>
                <w:sz w:val="12"/>
              </w:rPr>
              <w:t>POST assistant ask (analytics)</w:t>
            </w:r>
          </w:p>
        </w:tc>
        <w:tc>
          <w:tcPr>
            <w:tcW w:type="dxa" w:w="1656"/>
          </w:tcPr>
          <w:p>
            <w:pPr>
              <w:keepNext/>
              <w:jc w:val="left"/>
            </w:pPr>
            <w:r/>
            <w:r>
              <w:rPr>
                <w:rFonts w:ascii="Times New Roman" w:hAnsi="Times New Roman" w:cs="Times New Roman" w:eastAsia="Times New Roman"/>
                <w:sz w:val="12"/>
              </w:rPr>
              <w:t>21.6 / 47.9</w:t>
            </w:r>
          </w:p>
        </w:tc>
      </w:tr>
      <w:tr>
        <w:trPr>
          <w:cantSplit w:val="true"/>
        </w:trPr>
        <w:tc>
          <w:tcPr>
            <w:tcW w:type="dxa" w:w="3168"/>
          </w:tcPr>
          <w:p>
            <w:pPr>
              <w:keepNext/>
              <w:jc w:val="left"/>
            </w:pPr>
            <w:r/>
            <w:r>
              <w:rPr>
                <w:rFonts w:ascii="Times New Roman" w:hAnsi="Times New Roman" w:cs="Times New Roman" w:eastAsia="Times New Roman"/>
                <w:sz w:val="12"/>
              </w:rPr>
              <w:t>GET report CSV / PDF / Excel</w:t>
            </w:r>
          </w:p>
        </w:tc>
        <w:tc>
          <w:tcPr>
            <w:tcW w:type="dxa" w:w="1656"/>
          </w:tcPr>
          <w:p>
            <w:pPr>
              <w:keepNext/>
              <w:jc w:val="left"/>
            </w:pPr>
            <w:r/>
            <w:r>
              <w:rPr>
                <w:rFonts w:ascii="Times New Roman" w:hAnsi="Times New Roman" w:cs="Times New Roman" w:eastAsia="Times New Roman"/>
                <w:sz w:val="12"/>
              </w:rPr>
              <w:t>18 / 136 / 209 (median)</w:t>
            </w:r>
          </w:p>
        </w:tc>
      </w:tr>
      <w:tr>
        <w:trPr>
          <w:cantSplit w:val="true"/>
        </w:trPr>
        <w:tc>
          <w:tcPr>
            <w:tcW w:type="dxa" w:w="3168"/>
          </w:tcPr>
          <w:p>
            <w:pPr>
              <w:jc w:val="left"/>
            </w:pPr>
            <w:r/>
            <w:r>
              <w:rPr>
                <w:rFonts w:ascii="Times New Roman" w:hAnsi="Times New Roman" w:cs="Times New Roman" w:eastAsia="Times New Roman"/>
                <w:sz w:val="12"/>
              </w:rPr>
              <w:t>Import preview, 100 rows</w:t>
            </w:r>
          </w:p>
        </w:tc>
        <w:tc>
          <w:tcPr>
            <w:tcW w:type="dxa" w:w="1656"/>
          </w:tcPr>
          <w:p>
            <w:pPr>
              <w:jc w:val="left"/>
            </w:pPr>
            <w:r/>
            <w:r>
              <w:rPr>
                <w:rFonts w:ascii="Times New Roman" w:hAnsi="Times New Roman" w:cs="Times New Roman" w:eastAsia="Times New Roman"/>
                <w:sz w:val="12"/>
              </w:rPr>
              <w:t>667 / 933</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The 38 pytest tests (authentication 9, budgets 6, health score 6, ML 9, transactions 8) and 49 smoke checks pass, covering weak and wrong passwords, a tampered token, per-user isolation, CRUD, import, reports and validation. Ordinary calls take under 75 ms apart from login (bcrypt) and report generation. The import commit writes one row per database session and runs at 35.2 rows/s; of 1,000 rows, all 84 injected bad rows (bad dates, negative or non-numeric amounts, blank descriptions) were skipped and 916 imported with automatic categories.</w:t>
      </w:r>
    </w:p>
    <w:p>
      <w:pPr>
        <w:keepNext/>
        <w:spacing w:before="80" w:after="40"/>
      </w:pPr>
      <w:r>
        <w:rPr>
          <w:rFonts w:ascii="Times New Roman" w:hAnsi="Times New Roman" w:cs="Times New Roman" w:eastAsia="Times New Roman"/>
          <w:b w:val="0"/>
          <w:i/>
          <w:sz w:val="20"/>
        </w:rPr>
        <w:t>E. Output Screens</w:t>
      </w:r>
    </w:p>
    <w:p>
      <w:pPr>
        <w:keepNext w:val="0"/>
        <w:spacing w:after="0" w:before="0" w:line="240" w:lineRule="auto"/>
        <w:ind w:firstLine="288"/>
        <w:jc w:val="both"/>
      </w:pPr>
      <w:r>
        <w:rPr>
          <w:rFonts w:ascii="Times New Roman" w:hAnsi="Times New Roman" w:cs="Times New Roman" w:eastAsia="Times New Roman"/>
          <w:sz w:val="20"/>
        </w:rPr>
        <w:t>Figures 4 and 5 were captured from the running application with the demo account. The dashboard shows the month's balance, income, expenses, savings, net worth and the health score of 90 with its six components; the assistant answers 'Where am I spending the most money?' and 'What is my financial health?' from the stored rows, each marked as calculated from the user's data.</w:t>
      </w:r>
    </w:p>
    <w:p>
      <w:pPr>
        <w:keepNext/>
        <w:spacing w:before="80"/>
        <w:jc w:val="center"/>
      </w:pPr>
      <w:r>
        <w:drawing>
          <wp:inline xmlns:a="http://schemas.openxmlformats.org/drawingml/2006/main" xmlns:pic="http://schemas.openxmlformats.org/drawingml/2006/picture">
            <wp:extent cx="3017520" cy="1640434"/>
            <wp:docPr id="4" name="Picture 4"/>
            <wp:cNvGraphicFramePr>
              <a:graphicFrameLocks noChangeAspect="1"/>
            </wp:cNvGraphicFramePr>
            <a:graphic>
              <a:graphicData uri="http://schemas.openxmlformats.org/drawingml/2006/picture">
                <pic:pic>
                  <pic:nvPicPr>
                    <pic:cNvPr id="0" name="paper_screen_dashboard.png"/>
                    <pic:cNvPicPr/>
                  </pic:nvPicPr>
                  <pic:blipFill>
                    <a:blip r:embed="rId12"/>
                    <a:stretch>
                      <a:fillRect/>
                    </a:stretch>
                  </pic:blipFill>
                  <pic:spPr>
                    <a:xfrm>
                      <a:off x="0" y="0"/>
                      <a:ext cx="3017520" cy="1640434"/>
                    </a:xfrm>
                    <a:prstGeom prst="rect"/>
                  </pic:spPr>
                </pic:pic>
              </a:graphicData>
            </a:graphic>
          </wp:inline>
        </w:drawing>
      </w:r>
    </w:p>
    <w:p>
      <w:pPr>
        <w:spacing w:after="100"/>
        <w:jc w:val="both"/>
      </w:pPr>
      <w:r>
        <w:rPr>
          <w:rFonts w:ascii="Times New Roman" w:hAnsi="Times New Roman" w:cs="Times New Roman" w:eastAsia="Times New Roman"/>
          <w:sz w:val="16"/>
        </w:rPr>
        <w:t>Fig. 4. Real screen: dashboard of the demo account with balance, income, expenses, savings rate, net worth and the financial health score (90, Excellent).</w:t>
      </w:r>
    </w:p>
    <w:p>
      <w:pPr>
        <w:keepNext/>
        <w:spacing w:before="80"/>
        <w:jc w:val="center"/>
      </w:pPr>
      <w:r>
        <w:drawing>
          <wp:inline xmlns:a="http://schemas.openxmlformats.org/drawingml/2006/main" xmlns:pic="http://schemas.openxmlformats.org/drawingml/2006/picture">
            <wp:extent cx="3017520" cy="1481328"/>
            <wp:docPr id="5" name="Picture 5"/>
            <wp:cNvGraphicFramePr>
              <a:graphicFrameLocks noChangeAspect="1"/>
            </wp:cNvGraphicFramePr>
            <a:graphic>
              <a:graphicData uri="http://schemas.openxmlformats.org/drawingml/2006/picture">
                <pic:pic>
                  <pic:nvPicPr>
                    <pic:cNvPr id="0" name="paper_screen_assistant.png"/>
                    <pic:cNvPicPr/>
                  </pic:nvPicPr>
                  <pic:blipFill>
                    <a:blip r:embed="rId13"/>
                    <a:stretch>
                      <a:fillRect/>
                    </a:stretch>
                  </pic:blipFill>
                  <pic:spPr>
                    <a:xfrm>
                      <a:off x="0" y="0"/>
                      <a:ext cx="3017520" cy="1481328"/>
                    </a:xfrm>
                    <a:prstGeom prst="rect"/>
                  </pic:spPr>
                </pic:pic>
              </a:graphicData>
            </a:graphic>
          </wp:inline>
        </w:drawing>
      </w:r>
    </w:p>
    <w:p>
      <w:pPr>
        <w:spacing w:after="100"/>
        <w:jc w:val="both"/>
      </w:pPr>
      <w:r>
        <w:rPr>
          <w:rFonts w:ascii="Times New Roman" w:hAnsi="Times New Roman" w:cs="Times New Roman" w:eastAsia="Times New Roman"/>
          <w:sz w:val="16"/>
        </w:rPr>
        <w:t>Fig. 5. Real screen: the assistant answering from the demo account's own transactions and health score.</w:t>
      </w:r>
    </w:p>
    <w:p>
      <w:pPr>
        <w:keepNext/>
        <w:spacing w:before="80" w:after="40"/>
      </w:pPr>
      <w:r>
        <w:rPr>
          <w:rFonts w:ascii="Times New Roman" w:hAnsi="Times New Roman" w:cs="Times New Roman" w:eastAsia="Times New Roman"/>
          <w:b w:val="0"/>
          <w:i/>
          <w:sz w:val="20"/>
        </w:rPr>
        <w:t>F. Comparison with the Base Paper</w:t>
      </w:r>
    </w:p>
    <w:p>
      <w:pPr>
        <w:keepNext w:val="0"/>
        <w:spacing w:after="0" w:before="0" w:line="240" w:lineRule="auto"/>
        <w:ind w:firstLine="288"/>
        <w:jc w:val="both"/>
      </w:pPr>
      <w:r>
        <w:rPr>
          <w:rFonts w:ascii="Times New Roman" w:hAnsi="Times New Roman" w:cs="Times New Roman" w:eastAsia="Times New Roman"/>
          <w:sz w:val="20"/>
        </w:rPr>
        <w:t>The base paper reports 92.3 % categorisation accuracy with BERT on 50 categories, R2 0.63 for LSTM savings forecasts and 94 % F1 for anomalies [1]. FINJARVIS measures 71.7 % on 11 categories with a 51-example model, evaluates a trend forecast by MAPE on a different series, and has no anomaly detector, so no number is comparable: the datasets, label sets, models and targets differ, and the base data are not available. What can be said is qualitative: a context-free bag-of-words model fails on unseen merchants, which a pre-trained language model [12] is designed to reduce, and forecasting with few observations favours simple baselines [15]. In return the system is inspectable end to end, runs in milliseconds on a CPU and has been run and tested.</w:t>
      </w:r>
    </w:p>
    <w:p>
      <w:pPr>
        <w:keepNext w:val="0"/>
        <w:spacing w:after="0" w:before="0" w:line="240" w:lineRule="auto"/>
        <w:ind w:firstLine="288"/>
        <w:jc w:val="both"/>
      </w:pPr>
      <w:r>
        <w:rPr>
          <w:rFonts w:ascii="Times New Roman" w:hAnsi="Times New Roman" w:cs="Times New Roman" w:eastAsia="Times New Roman"/>
          <w:b/>
          <w:sz w:val="20"/>
        </w:rPr>
        <w:t>Threats to validity.</w:t>
      </w:r>
      <w:r>
        <w:rPr>
          <w:rFonts w:ascii="Times New Roman" w:hAnsi="Times New Roman" w:cs="Times New Roman" w:eastAsia="Times New Roman"/>
          <w:sz w:val="20"/>
        </w:rPr>
        <w:t xml:space="preserve"> The probe set was written by the team that built the model, so tier A and B reflect the vocabulary it knows; the demo data are fictional with a seeded gentle upward drift, which flatters a trend model; the forecast backtest has three points; latency was measured once on a busy desktop and moves between runs, while accuracy figures did not; and the assistant questions were written after reading its handlers. The numbers should be read as a description of this implementation, not as an estimate of performance on real households.</w:t>
      </w:r>
    </w:p>
    <w:p>
      <w:pPr>
        <w:keepNext/>
        <w:spacing w:before="80" w:after="40"/>
      </w:pPr>
      <w:r>
        <w:rPr>
          <w:rFonts w:ascii="Times New Roman" w:hAnsi="Times New Roman" w:cs="Times New Roman" w:eastAsia="Times New Roman"/>
          <w:b w:val="0"/>
          <w:i/>
          <w:sz w:val="20"/>
        </w:rPr>
        <w:t>G. Failure Cases and Observed Limits</w:t>
      </w:r>
    </w:p>
    <w:p>
      <w:pPr>
        <w:keepNext w:val="0"/>
        <w:spacing w:after="0" w:before="0" w:line="240" w:lineRule="auto"/>
        <w:ind w:firstLine="288"/>
        <w:jc w:val="both"/>
      </w:pPr>
      <w:r>
        <w:rPr>
          <w:rFonts w:ascii="Times New Roman" w:hAnsi="Times New Roman" w:cs="Times New Roman" w:eastAsia="Times New Roman"/>
          <w:sz w:val="20"/>
        </w:rPr>
        <w:t>Unseen merchants are mislabelled silently, mostly as Transport (tier C 18.2 %). The seed list is tiny and corrections do not generalise. The trend forecast is not better than an average below about seven months. Anomaly detection (objective 4), time-series models beyond a linear trend, a reinforcement-learning budget recommender, a loan tracker and scheduled alerts are not implemented; budgets are set by the user and advice comes from rules. The abstract names Flask and MySQL, whereas the shipped system uses FastAPI and SQLite. Tokens are home-made bearer tokens with no revocation and a default secret if none is set, import commits row by row, and budget-alert de-duplication is by message text, so a budget that is crossed again in a later month raises no new alert. The data are fictional; there was no user study, concurrency test or security scan, and the language-model layer and live price refresh were not run.</w:t>
      </w:r>
    </w:p>
    <w:p>
      <w:pPr>
        <w:keepNext/>
        <w:spacing w:before="160" w:after="80"/>
        <w:jc w:val="center"/>
      </w:pPr>
      <w:r>
        <w:rPr>
          <w:rFonts w:ascii="Times New Roman" w:hAnsi="Times New Roman" w:cs="Times New Roman" w:eastAsia="Times New Roman"/>
          <w:b/>
          <w:sz w:val="20"/>
        </w:rPr>
        <w:t>V. CONCLUSION AND FUTURE SCOPE</w:t>
      </w:r>
    </w:p>
    <w:p>
      <w:pPr>
        <w:keepNext w:val="0"/>
        <w:spacing w:after="0" w:before="0" w:line="240" w:lineRule="auto"/>
        <w:ind w:firstLine="288"/>
        <w:jc w:val="both"/>
      </w:pPr>
      <w:r>
        <w:rPr>
          <w:rFonts w:ascii="Times New Roman" w:hAnsi="Times New Roman" w:cs="Times New Roman" w:eastAsia="Times New Roman"/>
          <w:sz w:val="20"/>
        </w:rPr>
        <w:t>FINJARVIS delivers accounts, entry and import of transactions, automatic categories, budgets with alerts, goals, investments, a next-month forecast, a health score, an assistant and reports, verified by 38 tests and 49 end-to-end checks. Against the six objectives, accounts and import, categorisation, forecasting of expenses, budget alerts and the dashboard are achieved in simple form; forecasting of savings with time-series models and anomaly detection are not. The main finding is that the transparent models work where the input resembles their data (97 % on statement strings) and fail quietly where it does not (18.2 % on new merchants), and that three months are too little for a linear trend. The limits are the 51-example training set, synthetic data and the missing modules.</w:t>
      </w:r>
    </w:p>
    <w:p>
      <w:pPr>
        <w:keepNext w:val="0"/>
        <w:spacing w:after="0" w:before="0" w:line="240" w:lineRule="auto"/>
        <w:ind w:firstLine="288"/>
        <w:jc w:val="both"/>
      </w:pPr>
      <w:r>
        <w:rPr>
          <w:rFonts w:ascii="Times New Roman" w:hAnsi="Times New Roman" w:cs="Times New Roman" w:eastAsia="Times New Roman"/>
          <w:sz w:val="20"/>
        </w:rPr>
        <w:t>Future work: train the categoriser on a public or consented transaction corpus and abstain below a confidence threshold; require at least seven months, or switch to a recent average, for forecasts; add anomaly detection with a z-score or Isolation Forest rule and test it on injected outliers; fit the health-score weights to user outcomes; batch the import commit; and add refresh-token authentication and a user study.</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R. Kharat, S. Solapurkar, A. Tikkas, M. Uttarwar and A. Yadav, "A smart AI-based personal finance assistant: A multi-model approach for expense categorization, budgeting, forecasting and anomaly detection," Int. J. Research in Applied Science and Engineering Technology (IJRASET), vol. 13, no. XI, pp. 167-180, Nov. 2025, doi: 10.22214/ijraset.2025.75019.</w:t>
      </w:r>
    </w:p>
    <w:p>
      <w:pPr>
        <w:spacing w:after="20"/>
        <w:ind w:left="432" w:hanging="432"/>
        <w:jc w:val="both"/>
      </w:pPr>
      <w:r>
        <w:rPr>
          <w:rFonts w:ascii="Times New Roman" w:hAnsi="Times New Roman" w:cs="Times New Roman" w:eastAsia="Times New Roman"/>
          <w:sz w:val="16"/>
        </w:rPr>
        <w:t>[2]  A. Lusardi and O. S. Mitchell, "The economic importance of financial literacy: Theory and evidence," J. Economic Literature, vol. 52, no. 1, pp. 5-44, 2014.</w:t>
      </w:r>
    </w:p>
    <w:p>
      <w:pPr>
        <w:spacing w:after="20"/>
        <w:ind w:left="432" w:hanging="432"/>
        <w:jc w:val="both"/>
      </w:pPr>
      <w:r>
        <w:rPr>
          <w:rFonts w:ascii="Times New Roman" w:hAnsi="Times New Roman" w:cs="Times New Roman" w:eastAsia="Times New Roman"/>
          <w:sz w:val="16"/>
        </w:rPr>
        <w:t>[3]  P. L. To, "Enhancing financial literacy and management through goal-directed design and gamification in personal finance application," arXiv:2601.08640, Jan. 2026.</w:t>
      </w:r>
    </w:p>
    <w:p>
      <w:pPr>
        <w:spacing w:after="20"/>
        <w:ind w:left="432" w:hanging="432"/>
        <w:jc w:val="both"/>
      </w:pPr>
      <w:r>
        <w:rPr>
          <w:rFonts w:ascii="Times New Roman" w:hAnsi="Times New Roman" w:cs="Times New Roman" w:eastAsia="Times New Roman"/>
          <w:sz w:val="16"/>
        </w:rPr>
        <w:t>[4]  M. Bayer, "SQLAlchemy," in The Architecture of Open Source Applications, Volume II, A. Brown and G. Wilson, Eds. 2012.</w:t>
      </w:r>
    </w:p>
    <w:p>
      <w:pPr>
        <w:spacing w:after="20"/>
        <w:ind w:left="432" w:hanging="432"/>
        <w:jc w:val="both"/>
      </w:pPr>
      <w:r>
        <w:rPr>
          <w:rFonts w:ascii="Times New Roman" w:hAnsi="Times New Roman" w:cs="Times New Roman" w:eastAsia="Times New Roman"/>
          <w:sz w:val="16"/>
        </w:rPr>
        <w:t>[5]  F. Pedregosa et al., "Scikit-learn: Machine learning in Python," J. Machine Learning Research, vol. 12, pp. 2825-2830, 2011.</w:t>
      </w:r>
    </w:p>
    <w:p>
      <w:pPr>
        <w:spacing w:after="20"/>
        <w:ind w:left="432" w:hanging="432"/>
        <w:jc w:val="both"/>
      </w:pPr>
      <w:r>
        <w:rPr>
          <w:rFonts w:ascii="Times New Roman" w:hAnsi="Times New Roman" w:cs="Times New Roman" w:eastAsia="Times New Roman"/>
          <w:sz w:val="16"/>
        </w:rPr>
        <w:t>[6]  N. Provos and D. Mazieres, "A future-adaptable password scheme," in Proc. USENIX Annual Technical Conf., FREENIX Track, 1999, pp. 81-91.</w:t>
      </w:r>
    </w:p>
    <w:p>
      <w:pPr>
        <w:spacing w:after="20"/>
        <w:ind w:left="432" w:hanging="432"/>
        <w:jc w:val="both"/>
      </w:pPr>
      <w:r>
        <w:rPr>
          <w:rFonts w:ascii="Times New Roman" w:hAnsi="Times New Roman" w:cs="Times New Roman" w:eastAsia="Times New Roman"/>
          <w:sz w:val="16"/>
        </w:rPr>
        <w:t>[7]  N. V. Chawla, K. W. Bowyer, L. O. Hall and W. P. Kegelmeyer, "SMOTE: Synthetic minority over-sampling technique," J. Artificial Intelligence Research, vol. 16, pp. 321-357, 2002.</w:t>
      </w:r>
    </w:p>
    <w:p>
      <w:pPr>
        <w:spacing w:after="20"/>
        <w:ind w:left="432" w:hanging="432"/>
        <w:jc w:val="both"/>
      </w:pPr>
      <w:r>
        <w:rPr>
          <w:rFonts w:ascii="Times New Roman" w:hAnsi="Times New Roman" w:cs="Times New Roman" w:eastAsia="Times New Roman"/>
          <w:sz w:val="16"/>
        </w:rPr>
        <w:t>[8]  C. J. C. H. Watkins and P. Dayan, "Q-learning," Machine Learning, vol. 8, no. 3-4, pp. 279-292, 1992.</w:t>
      </w:r>
    </w:p>
    <w:p>
      <w:pPr>
        <w:spacing w:after="20"/>
        <w:ind w:left="432" w:hanging="432"/>
        <w:jc w:val="both"/>
      </w:pPr>
      <w:r>
        <w:rPr>
          <w:rFonts w:ascii="Times New Roman" w:hAnsi="Times New Roman" w:cs="Times New Roman" w:eastAsia="Times New Roman"/>
          <w:sz w:val="16"/>
        </w:rPr>
        <w:t>[9]  S. Hochreiter and J. Schmidhuber, "Long short-term memory," Neural Computation, vol. 9, no. 8, pp. 1735-1780, 1997.</w:t>
      </w:r>
    </w:p>
    <w:p>
      <w:pPr>
        <w:spacing w:after="20"/>
        <w:ind w:left="432" w:hanging="432"/>
        <w:jc w:val="both"/>
      </w:pPr>
      <w:r>
        <w:rPr>
          <w:rFonts w:ascii="Times New Roman" w:hAnsi="Times New Roman" w:cs="Times New Roman" w:eastAsia="Times New Roman"/>
          <w:sz w:val="16"/>
        </w:rPr>
        <w:t>[10]  F. T. Liu, K. M. Ting and Z.-H. Zhou, "Isolation forest," in Proc. 8th IEEE Int. Conf. on Data Mining (ICDM), 2008, pp. 413-422.</w:t>
      </w:r>
    </w:p>
    <w:p>
      <w:pPr>
        <w:spacing w:after="20"/>
        <w:ind w:left="432" w:hanging="432"/>
        <w:jc w:val="both"/>
      </w:pPr>
      <w:r>
        <w:rPr>
          <w:rFonts w:ascii="Times New Roman" w:hAnsi="Times New Roman" w:cs="Times New Roman" w:eastAsia="Times New Roman"/>
          <w:sz w:val="16"/>
        </w:rPr>
        <w:t>[11]  G. Salton and C. Buckley, "Term-weighting approaches in automatic text retrieval," Information Processing &amp; Management, vol. 24, no. 5, pp. 513-523, 1988.</w:t>
      </w:r>
    </w:p>
    <w:p>
      <w:pPr>
        <w:spacing w:after="20"/>
        <w:ind w:left="432" w:hanging="432"/>
        <w:jc w:val="both"/>
      </w:pPr>
      <w:r>
        <w:rPr>
          <w:rFonts w:ascii="Times New Roman" w:hAnsi="Times New Roman" w:cs="Times New Roman" w:eastAsia="Times New Roman"/>
          <w:sz w:val="16"/>
        </w:rPr>
        <w:t>[12]  J. Devlin, M.-W. Chang, K. Lee and K. Toutanova, "BERT: Pre-training of deep bidirectional transformers for language understanding," in Proc. NAACL-HLT, 2019, pp. 4171-4186.</w:t>
      </w:r>
    </w:p>
    <w:p>
      <w:pPr>
        <w:spacing w:after="20"/>
        <w:ind w:left="432" w:hanging="432"/>
        <w:jc w:val="both"/>
      </w:pPr>
      <w:r>
        <w:rPr>
          <w:rFonts w:ascii="Times New Roman" w:hAnsi="Times New Roman" w:cs="Times New Roman" w:eastAsia="Times New Roman"/>
          <w:sz w:val="16"/>
        </w:rPr>
        <w:t>[13]  D. Araci, "FinBERT: Financial sentiment analysis with pre-trained language models," arXiv:1908.10063, 2019.</w:t>
      </w:r>
    </w:p>
    <w:p>
      <w:pPr>
        <w:spacing w:after="20"/>
        <w:ind w:left="432" w:hanging="432"/>
        <w:jc w:val="both"/>
      </w:pPr>
      <w:r>
        <w:rPr>
          <w:rFonts w:ascii="Times New Roman" w:hAnsi="Times New Roman" w:cs="Times New Roman" w:eastAsia="Times New Roman"/>
          <w:sz w:val="16"/>
        </w:rPr>
        <w:t>[14]  R. J. Hyndman and A. B. Koehler, "Another look at measures of forecast accuracy," Int. J. Forecasting, vol. 22, no. 4, pp. 679-688, 2006.</w:t>
      </w:r>
    </w:p>
    <w:p>
      <w:pPr>
        <w:spacing w:after="20"/>
        <w:ind w:left="432" w:hanging="432"/>
        <w:jc w:val="both"/>
      </w:pPr>
      <w:r>
        <w:rPr>
          <w:rFonts w:ascii="Times New Roman" w:hAnsi="Times New Roman" w:cs="Times New Roman" w:eastAsia="Times New Roman"/>
          <w:sz w:val="16"/>
        </w:rPr>
        <w:t>[15]  S. Makridakis, E. Spiliotis and V. Assimakopoulos, "Statistical and machine learning forecasting methods: Concerns and ways forward," PLoS ONE, vol. 13, no. 3, e0194889, 2018.</w:t>
      </w:r>
    </w:p>
    <w:p>
      <w:pPr>
        <w:spacing w:after="20"/>
        <w:ind w:left="432" w:hanging="432"/>
        <w:jc w:val="both"/>
      </w:pPr>
      <w:r>
        <w:rPr>
          <w:rFonts w:ascii="Times New Roman" w:hAnsi="Times New Roman" w:cs="Times New Roman" w:eastAsia="Times New Roman"/>
          <w:sz w:val="16"/>
        </w:rPr>
        <w:t>[16]  V. Dilip and R. S. Janaki, "FinSenseAI: An explainable AI-based personal finance recommendation and expense prediction system using hybrid machine learning models," Int. J. Innovative Science and Research Technology, vol. 11, no. 7, pp. 1637-1650, Jul. 2026, doi: 10.38124/ijisrt/26jul842.</w:t>
      </w:r>
    </w:p>
    <w:p>
      <w:pPr>
        <w:spacing w:after="20"/>
        <w:ind w:left="432" w:hanging="432"/>
        <w:jc w:val="both"/>
      </w:pPr>
      <w:r>
        <w:rPr>
          <w:rFonts w:ascii="Times New Roman" w:hAnsi="Times New Roman" w:cs="Times New Roman" w:eastAsia="Times New Roman"/>
          <w:sz w:val="16"/>
        </w:rPr>
        <w:t>[17]  F. R. Abiya, S. Parvathy, M. R. Devende, S. R. Ajmalsha and C. Viji, "Personal expense leakage detection and budget optimization using machine learning," Int. J. Research in Applied Science and Engineering Technology (IJRASET), Apr. 2026, doi: 10.22214/ijraset.2026.79467.</w:t>
      </w:r>
    </w:p>
    <w:p>
      <w:pPr>
        <w:spacing w:after="20"/>
        <w:ind w:left="432" w:hanging="432"/>
        <w:jc w:val="both"/>
      </w:pPr>
      <w:r>
        <w:rPr>
          <w:rFonts w:ascii="Times New Roman" w:hAnsi="Times New Roman" w:cs="Times New Roman" w:eastAsia="Times New Roman"/>
          <w:sz w:val="16"/>
        </w:rPr>
        <w:t>[18]  A. Theerthala, "Synthesizing behaviorally-grounded reasoning chains: A data-generation framework for personal finance LLMs," arXiv:2509.14180 [cs.CL], Sep. 2025.</w:t>
      </w:r>
    </w:p>
    <w:p>
      <w:pPr>
        <w:spacing w:after="20"/>
        <w:ind w:left="432" w:hanging="432"/>
        <w:jc w:val="both"/>
      </w:pPr>
      <w:r>
        <w:rPr>
          <w:rFonts w:ascii="Times New Roman" w:hAnsi="Times New Roman" w:cs="Times New Roman" w:eastAsia="Times New Roman"/>
          <w:sz w:val="16"/>
        </w:rPr>
        <w:t>[19]  R. T. Fielding, "Architectural styles and the design of network-based software architectures," Ph.D. dissertation, Univ. of California, Irvine, 2000.</w:t>
      </w:r>
    </w:p>
    <w:p>
      <w:pPr>
        <w:spacing w:after="20"/>
        <w:ind w:left="432" w:hanging="432"/>
        <w:jc w:val="both"/>
      </w:pPr>
      <w:r>
        <w:rPr>
          <w:rFonts w:ascii="Times New Roman" w:hAnsi="Times New Roman" w:cs="Times New Roman" w:eastAsia="Times New Roman"/>
          <w:sz w:val="16"/>
        </w:rPr>
        <w:t>[20]  R. Kohavi, "A study of cross-validation and bootstrap for accuracy estimation and model selection," in Proc. 14th Int. Joint Conf. on Artificial Intelligence (IJCAI), 1995, pp. 1137-1143.</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