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804CE" w:rsidRDefault="002804CE">
      <w:pPr>
        <w:spacing w:after="480" w:line="240" w:lineRule="auto"/>
      </w:pPr>
      <w:bookmarkStart w:id="0" w:name="_GoBack"/>
      <w:bookmarkEnd w:id="0"/>
    </w:p>
    <w:p w:rsidR="002804CE" w:rsidRDefault="00D97399">
      <w:pPr>
        <w:jc w:val="center"/>
      </w:pPr>
      <w:r>
        <w:rPr>
          <w:rFonts w:cs="Times New Roman"/>
          <w:b/>
          <w:sz w:val="36"/>
        </w:rPr>
        <w:t>AI BASED PERSONAL FINANCE MANAGER</w:t>
      </w:r>
    </w:p>
    <w:p w:rsidR="002804CE" w:rsidRDefault="00D97399">
      <w:pPr>
        <w:spacing w:after="280"/>
        <w:jc w:val="center"/>
      </w:pPr>
      <w:r>
        <w:rPr>
          <w:rFonts w:cs="Times New Roman"/>
          <w:b/>
          <w:sz w:val="28"/>
        </w:rPr>
        <w:t>Methodology, Novelty and Key Contributions</w:t>
      </w:r>
    </w:p>
    <w:p w:rsidR="002804CE" w:rsidRDefault="00D97399">
      <w:pPr>
        <w:spacing w:after="40"/>
        <w:jc w:val="center"/>
      </w:pPr>
      <w:r>
        <w:rPr>
          <w:rFonts w:cs="Times New Roman"/>
        </w:rPr>
        <w:t>Department of Computer Science and Engineering, TKR College of Engineering &amp; Technology</w:t>
      </w:r>
    </w:p>
    <w:p w:rsidR="002804CE" w:rsidRDefault="00D97399">
      <w:pPr>
        <w:spacing w:after="240"/>
        <w:jc w:val="center"/>
      </w:pPr>
      <w:r>
        <w:rPr>
          <w:rFonts w:cs="Times New Roman"/>
        </w:rPr>
        <w:t>Batch C11 (CSE-C)  ·  Academic year [ACADEMIC YEAR]</w:t>
      </w:r>
    </w:p>
    <w:p w:rsidR="002804CE" w:rsidRDefault="00D9739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xml:space="preserve">: </w:t>
      </w:r>
      <w:r>
        <w:rPr>
          <w:rFonts w:cs="Times New Roman"/>
        </w:rPr>
        <w:t>Project team</w:t>
      </w:r>
    </w:p>
    <w:tbl>
      <w:tblPr>
        <w:tblStyle w:val="TableGrid"/>
        <w:tblW w:w="0" w:type="auto"/>
        <w:jc w:val="center"/>
        <w:tblLook w:val="04A0" w:firstRow="1" w:lastRow="0" w:firstColumn="1" w:lastColumn="0" w:noHBand="0" w:noVBand="1"/>
      </w:tblPr>
      <w:tblGrid>
        <w:gridCol w:w="1008"/>
        <w:gridCol w:w="4896"/>
        <w:gridCol w:w="2592"/>
      </w:tblGrid>
      <w:tr w:rsidR="002804CE">
        <w:trPr>
          <w:cantSplit/>
          <w:tblHeader/>
          <w:jc w:val="center"/>
        </w:trPr>
        <w:tc>
          <w:tcPr>
            <w:tcW w:w="1008" w:type="dxa"/>
            <w:shd w:val="clear" w:color="auto" w:fill="1B2A41"/>
          </w:tcPr>
          <w:p w:rsidR="002804CE" w:rsidRDefault="00D97399">
            <w:pPr>
              <w:spacing w:after="40" w:line="240" w:lineRule="auto"/>
              <w:jc w:val="center"/>
            </w:pPr>
            <w:r>
              <w:rPr>
                <w:rFonts w:cs="Times New Roman"/>
                <w:b/>
                <w:color w:val="FFFFFF"/>
                <w:sz w:val="22"/>
              </w:rPr>
              <w:t>S.No.</w:t>
            </w:r>
          </w:p>
        </w:tc>
        <w:tc>
          <w:tcPr>
            <w:tcW w:w="4896" w:type="dxa"/>
            <w:shd w:val="clear" w:color="auto" w:fill="1B2A41"/>
          </w:tcPr>
          <w:p w:rsidR="002804CE" w:rsidRDefault="00D97399">
            <w:pPr>
              <w:spacing w:after="40" w:line="240" w:lineRule="auto"/>
              <w:jc w:val="center"/>
            </w:pPr>
            <w:r>
              <w:rPr>
                <w:rFonts w:cs="Times New Roman"/>
                <w:b/>
                <w:color w:val="FFFFFF"/>
                <w:sz w:val="22"/>
              </w:rPr>
              <w:t>Student name</w:t>
            </w:r>
          </w:p>
        </w:tc>
        <w:tc>
          <w:tcPr>
            <w:tcW w:w="2592" w:type="dxa"/>
            <w:shd w:val="clear" w:color="auto" w:fill="1B2A41"/>
          </w:tcPr>
          <w:p w:rsidR="002804CE" w:rsidRDefault="00D97399">
            <w:pPr>
              <w:spacing w:after="40" w:line="240" w:lineRule="auto"/>
              <w:jc w:val="center"/>
            </w:pPr>
            <w:r>
              <w:rPr>
                <w:rFonts w:cs="Times New Roman"/>
                <w:b/>
                <w:color w:val="FFFFFF"/>
                <w:sz w:val="22"/>
              </w:rPr>
              <w:t>Roll number</w:t>
            </w:r>
          </w:p>
        </w:tc>
      </w:tr>
      <w:tr w:rsidR="002804CE">
        <w:trPr>
          <w:cantSplit/>
          <w:jc w:val="center"/>
        </w:trPr>
        <w:tc>
          <w:tcPr>
            <w:tcW w:w="1008" w:type="dxa"/>
          </w:tcPr>
          <w:p w:rsidR="002804CE" w:rsidRDefault="00D97399">
            <w:pPr>
              <w:spacing w:after="40" w:line="240" w:lineRule="auto"/>
              <w:jc w:val="center"/>
            </w:pPr>
            <w:r>
              <w:rPr>
                <w:rFonts w:cs="Times New Roman"/>
                <w:sz w:val="22"/>
              </w:rPr>
              <w:t>1</w:t>
            </w:r>
          </w:p>
        </w:tc>
        <w:tc>
          <w:tcPr>
            <w:tcW w:w="4896" w:type="dxa"/>
          </w:tcPr>
          <w:p w:rsidR="002804CE" w:rsidRDefault="00D97399">
            <w:pPr>
              <w:spacing w:after="40" w:line="240" w:lineRule="auto"/>
              <w:jc w:val="left"/>
            </w:pPr>
            <w:r>
              <w:rPr>
                <w:rFonts w:cs="Times New Roman"/>
                <w:sz w:val="22"/>
              </w:rPr>
              <w:t>Mekala Kalyan</w:t>
            </w:r>
          </w:p>
        </w:tc>
        <w:tc>
          <w:tcPr>
            <w:tcW w:w="2592" w:type="dxa"/>
          </w:tcPr>
          <w:p w:rsidR="002804CE" w:rsidRDefault="00D97399">
            <w:pPr>
              <w:spacing w:after="40" w:line="240" w:lineRule="auto"/>
              <w:jc w:val="center"/>
            </w:pPr>
            <w:r>
              <w:rPr>
                <w:rFonts w:cs="Times New Roman"/>
                <w:sz w:val="22"/>
              </w:rPr>
              <w:t>23K91A05F0</w:t>
            </w:r>
          </w:p>
        </w:tc>
      </w:tr>
      <w:tr w:rsidR="002804CE">
        <w:trPr>
          <w:cantSplit/>
          <w:jc w:val="center"/>
        </w:trPr>
        <w:tc>
          <w:tcPr>
            <w:tcW w:w="1008" w:type="dxa"/>
          </w:tcPr>
          <w:p w:rsidR="002804CE" w:rsidRDefault="00D97399">
            <w:pPr>
              <w:spacing w:after="40" w:line="240" w:lineRule="auto"/>
              <w:jc w:val="center"/>
            </w:pPr>
            <w:r>
              <w:rPr>
                <w:rFonts w:cs="Times New Roman"/>
                <w:sz w:val="22"/>
              </w:rPr>
              <w:t>2</w:t>
            </w:r>
          </w:p>
        </w:tc>
        <w:tc>
          <w:tcPr>
            <w:tcW w:w="4896" w:type="dxa"/>
          </w:tcPr>
          <w:p w:rsidR="002804CE" w:rsidRDefault="00D97399">
            <w:pPr>
              <w:spacing w:after="40" w:line="240" w:lineRule="auto"/>
              <w:jc w:val="left"/>
            </w:pPr>
            <w:r>
              <w:rPr>
                <w:rFonts w:cs="Times New Roman"/>
                <w:sz w:val="22"/>
              </w:rPr>
              <w:t>Rajanala Sai Hemanth</w:t>
            </w:r>
          </w:p>
        </w:tc>
        <w:tc>
          <w:tcPr>
            <w:tcW w:w="2592" w:type="dxa"/>
          </w:tcPr>
          <w:p w:rsidR="002804CE" w:rsidRDefault="00D97399">
            <w:pPr>
              <w:spacing w:after="40" w:line="240" w:lineRule="auto"/>
              <w:jc w:val="center"/>
            </w:pPr>
            <w:r>
              <w:rPr>
                <w:rFonts w:cs="Times New Roman"/>
                <w:sz w:val="22"/>
              </w:rPr>
              <w:t>23K91A05K3</w:t>
            </w:r>
          </w:p>
        </w:tc>
      </w:tr>
      <w:tr w:rsidR="002804CE">
        <w:trPr>
          <w:cantSplit/>
          <w:jc w:val="center"/>
        </w:trPr>
        <w:tc>
          <w:tcPr>
            <w:tcW w:w="1008" w:type="dxa"/>
          </w:tcPr>
          <w:p w:rsidR="002804CE" w:rsidRDefault="00D97399">
            <w:pPr>
              <w:spacing w:after="40" w:line="240" w:lineRule="auto"/>
              <w:jc w:val="center"/>
            </w:pPr>
            <w:r>
              <w:rPr>
                <w:rFonts w:cs="Times New Roman"/>
                <w:sz w:val="22"/>
              </w:rPr>
              <w:t>3</w:t>
            </w:r>
          </w:p>
        </w:tc>
        <w:tc>
          <w:tcPr>
            <w:tcW w:w="4896" w:type="dxa"/>
          </w:tcPr>
          <w:p w:rsidR="002804CE" w:rsidRDefault="00D97399">
            <w:pPr>
              <w:spacing w:after="40" w:line="240" w:lineRule="auto"/>
              <w:jc w:val="left"/>
            </w:pPr>
            <w:r>
              <w:rPr>
                <w:rFonts w:cs="Times New Roman"/>
                <w:sz w:val="22"/>
              </w:rPr>
              <w:t>Middala Surya Teja Reddy</w:t>
            </w:r>
          </w:p>
        </w:tc>
        <w:tc>
          <w:tcPr>
            <w:tcW w:w="2592" w:type="dxa"/>
          </w:tcPr>
          <w:p w:rsidR="002804CE" w:rsidRDefault="00D97399">
            <w:pPr>
              <w:spacing w:after="40" w:line="240" w:lineRule="auto"/>
              <w:jc w:val="center"/>
            </w:pPr>
            <w:r>
              <w:rPr>
                <w:rFonts w:cs="Times New Roman"/>
                <w:sz w:val="22"/>
              </w:rPr>
              <w:t>23K91A05F2</w:t>
            </w:r>
          </w:p>
        </w:tc>
      </w:tr>
      <w:tr w:rsidR="002804CE">
        <w:trPr>
          <w:cantSplit/>
          <w:jc w:val="center"/>
        </w:trPr>
        <w:tc>
          <w:tcPr>
            <w:tcW w:w="1008" w:type="dxa"/>
          </w:tcPr>
          <w:p w:rsidR="002804CE" w:rsidRDefault="00D97399">
            <w:pPr>
              <w:spacing w:after="40" w:line="240" w:lineRule="auto"/>
              <w:jc w:val="center"/>
            </w:pPr>
            <w:r>
              <w:rPr>
                <w:rFonts w:cs="Times New Roman"/>
                <w:sz w:val="22"/>
              </w:rPr>
              <w:t>4</w:t>
            </w:r>
          </w:p>
        </w:tc>
        <w:tc>
          <w:tcPr>
            <w:tcW w:w="4896" w:type="dxa"/>
          </w:tcPr>
          <w:p w:rsidR="002804CE" w:rsidRDefault="00D97399">
            <w:pPr>
              <w:spacing w:after="40" w:line="240" w:lineRule="auto"/>
              <w:jc w:val="left"/>
            </w:pPr>
            <w:r>
              <w:rPr>
                <w:rFonts w:cs="Times New Roman"/>
                <w:sz w:val="22"/>
              </w:rPr>
              <w:t>Manga Akash</w:t>
            </w:r>
          </w:p>
        </w:tc>
        <w:tc>
          <w:tcPr>
            <w:tcW w:w="2592" w:type="dxa"/>
          </w:tcPr>
          <w:p w:rsidR="002804CE" w:rsidRDefault="00D97399">
            <w:pPr>
              <w:spacing w:after="40" w:line="240" w:lineRule="auto"/>
              <w:jc w:val="center"/>
            </w:pPr>
            <w:r>
              <w:rPr>
                <w:rFonts w:cs="Times New Roman"/>
                <w:sz w:val="22"/>
              </w:rPr>
              <w:t>23K91A05E5</w:t>
            </w:r>
          </w:p>
        </w:tc>
      </w:tr>
    </w:tbl>
    <w:p w:rsidR="002804CE" w:rsidRDefault="002804CE">
      <w:pPr>
        <w:spacing w:line="192" w:lineRule="auto"/>
      </w:pPr>
    </w:p>
    <w:p w:rsidR="002804CE" w:rsidRDefault="00D97399">
      <w:pPr>
        <w:spacing w:after="200"/>
        <w:jc w:val="center"/>
      </w:pPr>
      <w:r>
        <w:rPr>
          <w:rFonts w:cs="Times New Roman"/>
          <w:b/>
        </w:rPr>
        <w:t>Project guide:</w:t>
      </w:r>
      <w:r>
        <w:rPr>
          <w:rFonts w:cs="Times New Roman"/>
        </w:rPr>
        <w:t xml:space="preserve"> N Padmavathi</w:t>
      </w:r>
    </w:p>
    <w:p w:rsidR="002804CE" w:rsidRDefault="00D97399">
      <w:r>
        <w:rPr>
          <w:rFonts w:cs="Times New Roman"/>
          <w:i/>
          <w:sz w:val="21"/>
        </w:rPr>
        <w:t xml:space="preserve">Chapter and section numbers quoted in the text (for </w:t>
      </w:r>
      <w:r>
        <w:rPr>
          <w:rFonts w:cs="Times New Roman"/>
          <w:i/>
          <w:sz w:val="21"/>
        </w:rPr>
        <w:t>example Chapter 8 or Section 6.2) refer to the full project report, 17.Final Document. Figures and tables in this document are numbered from 1.</w:t>
      </w:r>
    </w:p>
    <w:p w:rsidR="002804CE" w:rsidRDefault="00D97399">
      <w:pPr>
        <w:pStyle w:val="Heading1"/>
      </w:pPr>
      <w:r>
        <w:t>1. METHODOLOGY</w:t>
      </w:r>
    </w:p>
    <w:p w:rsidR="002804CE" w:rsidRDefault="00D97399">
      <w:r>
        <w:rPr>
          <w:rFonts w:cs="Times New Roman"/>
        </w:rPr>
        <w:t>This document describes how FINJARVIS works from end to end and what is new in it. Part 1 gives t</w:t>
      </w:r>
      <w:r>
        <w:rPr>
          <w:rFonts w:cs="Times New Roman"/>
        </w:rPr>
        <w:t>he pipeline, the data, the algorithms and the reasons they were chosen; Part 2 sets the work against the base paper and separates what is new from what is standard; Part 3 lists the contributions.</w:t>
      </w:r>
    </w:p>
    <w:p w:rsidR="002804CE" w:rsidRDefault="00D97399">
      <w:pPr>
        <w:pStyle w:val="Heading2"/>
      </w:pPr>
      <w:r>
        <w:t>1.1 Overall methodology</w:t>
      </w:r>
    </w:p>
    <w:p w:rsidR="002804CE" w:rsidRDefault="00D97399">
      <w:r>
        <w:rPr>
          <w:rFonts w:cs="Times New Roman"/>
        </w:rPr>
        <w:t xml:space="preserve">FINJARVIS treats personal finance </w:t>
      </w:r>
      <w:r>
        <w:rPr>
          <w:rFonts w:cs="Times New Roman"/>
        </w:rPr>
        <w:t xml:space="preserve">as four small problems that share one database: labelling a transaction, watching a budget, forecasting the next month and summarising health. The base paper [1] uses a large model for each (BERT, Q-learning, LSTM, Isolation Forest); this project uses the </w:t>
      </w:r>
      <w:r>
        <w:rPr>
          <w:rFonts w:cs="Times New Roman"/>
        </w:rPr>
        <w:t>simplest inspectable model for categorising, forecasting and scoring, a threshold rule for budgets, and omits anomaly detection. The method has seven steps.</w:t>
      </w:r>
    </w:p>
    <w:p w:rsidR="002804CE" w:rsidRDefault="00D97399">
      <w:pPr>
        <w:spacing w:after="60"/>
        <w:ind w:left="720" w:hanging="432"/>
      </w:pPr>
      <w:r>
        <w:rPr>
          <w:rFonts w:cs="Times New Roman"/>
        </w:rPr>
        <w:lastRenderedPageBreak/>
        <w:t xml:space="preserve">1.  </w:t>
      </w:r>
      <w:r>
        <w:rPr>
          <w:rFonts w:cs="Times New Roman"/>
          <w:b/>
        </w:rPr>
        <w:t>Register and authenticate.</w:t>
      </w:r>
      <w:r>
        <w:rPr>
          <w:rFonts w:cs="Times New Roman"/>
        </w:rPr>
        <w:t xml:space="preserve"> A user signs up with a name, e-mail, username and a password that passes five rules; the password is stored as a bcrypt hash and a login returns a signed token valid for seven days.</w:t>
      </w:r>
    </w:p>
    <w:p w:rsidR="002804CE" w:rsidRDefault="00D97399">
      <w:pPr>
        <w:spacing w:after="60"/>
        <w:ind w:left="720" w:hanging="432"/>
      </w:pPr>
      <w:r>
        <w:rPr>
          <w:rFonts w:cs="Times New Roman"/>
        </w:rPr>
        <w:t xml:space="preserve">2.  </w:t>
      </w:r>
      <w:r>
        <w:rPr>
          <w:rFonts w:cs="Times New Roman"/>
          <w:b/>
        </w:rPr>
        <w:t>Record.</w:t>
      </w:r>
      <w:r>
        <w:rPr>
          <w:rFonts w:cs="Times New Roman"/>
        </w:rPr>
        <w:t xml:space="preserve"> Transactions arrive by form or by CSV or Excel import. Each r</w:t>
      </w:r>
      <w:r>
        <w:rPr>
          <w:rFonts w:cs="Times New Roman"/>
        </w:rPr>
        <w:t>ow needs a date, a description, a positive amount and a type; rows that fail are skipped with a warning that names the row.</w:t>
      </w:r>
    </w:p>
    <w:p w:rsidR="002804CE" w:rsidRDefault="00D97399">
      <w:pPr>
        <w:spacing w:after="60"/>
        <w:ind w:left="720" w:hanging="432"/>
      </w:pPr>
      <w:r>
        <w:rPr>
          <w:rFonts w:cs="Times New Roman"/>
        </w:rPr>
        <w:t xml:space="preserve">3.  </w:t>
      </w:r>
      <w:r>
        <w:rPr>
          <w:rFonts w:cs="Times New Roman"/>
          <w:b/>
        </w:rPr>
        <w:t>Categorise.</w:t>
      </w:r>
      <w:r>
        <w:rPr>
          <w:rFonts w:cs="Times New Roman"/>
        </w:rPr>
        <w:t xml:space="preserve"> A TF-IDF and logistic-regression model labels the description; a manual choice that differs from the prediction is s</w:t>
      </w:r>
      <w:r>
        <w:rPr>
          <w:rFonts w:cs="Times New Roman"/>
        </w:rPr>
        <w:t>tored and used to retrain the model.</w:t>
      </w:r>
    </w:p>
    <w:p w:rsidR="002804CE" w:rsidRDefault="00D97399">
      <w:pPr>
        <w:spacing w:after="60"/>
        <w:ind w:left="720" w:hanging="432"/>
      </w:pPr>
      <w:r>
        <w:rPr>
          <w:rFonts w:cs="Times New Roman"/>
        </w:rPr>
        <w:t xml:space="preserve">4.  </w:t>
      </w:r>
      <w:r>
        <w:rPr>
          <w:rFonts w:cs="Times New Roman"/>
          <w:b/>
        </w:rPr>
        <w:t>Watch.</w:t>
      </w:r>
      <w:r>
        <w:rPr>
          <w:rFonts w:cs="Times New Roman"/>
        </w:rPr>
        <w:t xml:space="preserve"> Monthly budgets per category are compared with the month's expenses; crossing 75, 90 or 100 % writes a notification.</w:t>
      </w:r>
    </w:p>
    <w:p w:rsidR="002804CE" w:rsidRDefault="00D97399">
      <w:pPr>
        <w:spacing w:after="60"/>
        <w:ind w:left="720" w:hanging="432"/>
      </w:pPr>
      <w:r>
        <w:rPr>
          <w:rFonts w:cs="Times New Roman"/>
        </w:rPr>
        <w:t xml:space="preserve">5.  </w:t>
      </w:r>
      <w:r>
        <w:rPr>
          <w:rFonts w:cs="Times New Roman"/>
          <w:b/>
        </w:rPr>
        <w:t>Forecast.</w:t>
      </w:r>
      <w:r>
        <w:rPr>
          <w:rFonts w:cs="Times New Roman"/>
        </w:rPr>
        <w:t xml:space="preserve"> A least-squares line over the monthly expense totals predicts next month's sp</w:t>
      </w:r>
      <w:r>
        <w:rPr>
          <w:rFonts w:cs="Times New Roman"/>
        </w:rPr>
        <w:t>ending and each category's next-month spend; it refuses to answer with fewer than three months of history.</w:t>
      </w:r>
    </w:p>
    <w:p w:rsidR="002804CE" w:rsidRDefault="00D97399">
      <w:pPr>
        <w:spacing w:after="60"/>
        <w:ind w:left="720" w:hanging="432"/>
      </w:pPr>
      <w:r>
        <w:rPr>
          <w:rFonts w:cs="Times New Roman"/>
        </w:rPr>
        <w:t xml:space="preserve">6.  </w:t>
      </w:r>
      <w:r>
        <w:rPr>
          <w:rFonts w:cs="Times New Roman"/>
          <w:b/>
        </w:rPr>
        <w:t>Score.</w:t>
      </w:r>
      <w:r>
        <w:rPr>
          <w:rFonts w:cs="Times New Roman"/>
        </w:rPr>
        <w:t xml:space="preserve"> Six explainable sub-scores are combined with fixed weights into a 0-100 health score with a rating and the weakest area.</w:t>
      </w:r>
    </w:p>
    <w:p w:rsidR="002804CE" w:rsidRDefault="00D97399">
      <w:pPr>
        <w:spacing w:after="60"/>
        <w:ind w:left="720" w:hanging="432"/>
      </w:pPr>
      <w:r>
        <w:rPr>
          <w:rFonts w:cs="Times New Roman"/>
        </w:rPr>
        <w:t xml:space="preserve">7.  </w:t>
      </w:r>
      <w:r>
        <w:rPr>
          <w:rFonts w:cs="Times New Roman"/>
          <w:b/>
        </w:rPr>
        <w:t>Explain and e</w:t>
      </w:r>
      <w:r>
        <w:rPr>
          <w:rFonts w:cs="Times New Roman"/>
          <w:b/>
        </w:rPr>
        <w:t>xport.</w:t>
      </w:r>
      <w:r>
        <w:rPr>
          <w:rFonts w:cs="Times New Roman"/>
        </w:rPr>
        <w:t xml:space="preserve"> A rule-routed assistant answers questions from the same records, an optional language model handles questions the rules cannot, and PDF, Excel and CSV reports are produced.</w:t>
      </w:r>
    </w:p>
    <w:p w:rsidR="002804CE" w:rsidRDefault="00D97399">
      <w:pPr>
        <w:keepNext/>
        <w:spacing w:after="80" w:line="240" w:lineRule="auto"/>
        <w:jc w:val="center"/>
      </w:pPr>
      <w:r>
        <w:rPr>
          <w:noProof/>
        </w:rPr>
        <w:lastRenderedPageBreak/>
        <w:drawing>
          <wp:inline distT="0" distB="0" distL="0" distR="0">
            <wp:extent cx="4754880" cy="46684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algorithm.png"/>
                    <pic:cNvPicPr/>
                  </pic:nvPicPr>
                  <pic:blipFill>
                    <a:blip r:embed="rId8"/>
                    <a:stretch>
                      <a:fillRect/>
                    </a:stretch>
                  </pic:blipFill>
                  <pic:spPr>
                    <a:xfrm>
                      <a:off x="0" y="0"/>
                      <a:ext cx="4754880" cy="4668428"/>
                    </a:xfrm>
                    <a:prstGeom prst="rect">
                      <a:avLst/>
                    </a:prstGeom>
                  </pic:spPr>
                </pic:pic>
              </a:graphicData>
            </a:graphic>
          </wp:inline>
        </w:drawing>
      </w:r>
    </w:p>
    <w:p w:rsidR="002804CE" w:rsidRDefault="00D9739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Flowchart of the core algorithms: categ</w:t>
      </w:r>
      <w:r>
        <w:rPr>
          <w:rFonts w:cs="Times New Roman"/>
        </w:rPr>
        <w:t>oriser, forecast, health score and budget alerts.</w:t>
      </w:r>
    </w:p>
    <w:p w:rsidR="002804CE" w:rsidRDefault="00D97399">
      <w:pPr>
        <w:pStyle w:val="Heading2"/>
      </w:pPr>
      <w:r>
        <w:t>1.2 Dataset</w:t>
      </w:r>
    </w:p>
    <w:p w:rsidR="002804CE" w:rsidRDefault="00D97399">
      <w:r>
        <w:rPr>
          <w:rFonts w:cs="Times New Roman"/>
        </w:rPr>
        <w:t xml:space="preserve">FINJARVIS ships </w:t>
      </w:r>
      <w:r>
        <w:rPr>
          <w:rFonts w:cs="Times New Roman"/>
          <w:b/>
        </w:rPr>
        <w:t>no training corpus beyond a hand-written seed list</w:t>
      </w:r>
      <w:r>
        <w:rPr>
          <w:rFonts w:cs="Times New Roman"/>
        </w:rPr>
        <w:t>: no public dataset, no train-test split inside the application and no licence to cite. Four small data sets are used, all writt</w:t>
      </w:r>
      <w:r>
        <w:rPr>
          <w:rFonts w:cs="Times New Roman"/>
        </w:rPr>
        <w:t>en or generated by the team.</w:t>
      </w:r>
    </w:p>
    <w:p w:rsidR="002804CE" w:rsidRDefault="00D9739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Data sets used by the product and by the measurements.</w:t>
      </w:r>
    </w:p>
    <w:tbl>
      <w:tblPr>
        <w:tblStyle w:val="TableGrid"/>
        <w:tblW w:w="0" w:type="auto"/>
        <w:jc w:val="center"/>
        <w:tblLook w:val="04A0" w:firstRow="1" w:lastRow="0" w:firstColumn="1" w:lastColumn="0" w:noHBand="0" w:noVBand="1"/>
      </w:tblPr>
      <w:tblGrid>
        <w:gridCol w:w="1485"/>
        <w:gridCol w:w="2540"/>
        <w:gridCol w:w="2031"/>
        <w:gridCol w:w="2826"/>
      </w:tblGrid>
      <w:tr w:rsidR="002804CE">
        <w:trPr>
          <w:cantSplit/>
          <w:tblHeader/>
          <w:jc w:val="center"/>
        </w:trPr>
        <w:tc>
          <w:tcPr>
            <w:tcW w:w="1584" w:type="dxa"/>
            <w:shd w:val="clear" w:color="auto" w:fill="1B2A41"/>
          </w:tcPr>
          <w:p w:rsidR="002804CE" w:rsidRDefault="00D97399">
            <w:pPr>
              <w:spacing w:after="40" w:line="240" w:lineRule="auto"/>
              <w:jc w:val="center"/>
            </w:pPr>
            <w:r>
              <w:rPr>
                <w:rFonts w:cs="Times New Roman"/>
                <w:b/>
                <w:color w:val="FFFFFF"/>
                <w:sz w:val="17"/>
              </w:rPr>
              <w:t>Data set</w:t>
            </w:r>
          </w:p>
        </w:tc>
        <w:tc>
          <w:tcPr>
            <w:tcW w:w="2736" w:type="dxa"/>
            <w:shd w:val="clear" w:color="auto" w:fill="1B2A41"/>
          </w:tcPr>
          <w:p w:rsidR="002804CE" w:rsidRDefault="00D97399">
            <w:pPr>
              <w:spacing w:after="40" w:line="240" w:lineRule="auto"/>
              <w:jc w:val="center"/>
            </w:pPr>
            <w:r>
              <w:rPr>
                <w:rFonts w:cs="Times New Roman"/>
                <w:b/>
                <w:color w:val="FFFFFF"/>
                <w:sz w:val="17"/>
              </w:rPr>
              <w:t>Size</w:t>
            </w:r>
          </w:p>
        </w:tc>
        <w:tc>
          <w:tcPr>
            <w:tcW w:w="2160" w:type="dxa"/>
            <w:shd w:val="clear" w:color="auto" w:fill="1B2A41"/>
          </w:tcPr>
          <w:p w:rsidR="002804CE" w:rsidRDefault="00D97399">
            <w:pPr>
              <w:spacing w:after="40" w:line="240" w:lineRule="auto"/>
              <w:jc w:val="center"/>
            </w:pPr>
            <w:r>
              <w:rPr>
                <w:rFonts w:cs="Times New Roman"/>
                <w:b/>
                <w:color w:val="FFFFFF"/>
                <w:sz w:val="17"/>
              </w:rPr>
              <w:t>Used for</w:t>
            </w:r>
          </w:p>
        </w:tc>
        <w:tc>
          <w:tcPr>
            <w:tcW w:w="2880" w:type="dxa"/>
            <w:shd w:val="clear" w:color="auto" w:fill="1B2A41"/>
          </w:tcPr>
          <w:p w:rsidR="002804CE" w:rsidRDefault="00D97399">
            <w:pPr>
              <w:spacing w:after="40" w:line="240" w:lineRule="auto"/>
              <w:jc w:val="center"/>
            </w:pPr>
            <w:r>
              <w:rPr>
                <w:rFonts w:cs="Times New Roman"/>
                <w:b/>
                <w:color w:val="FFFFFF"/>
                <w:sz w:val="17"/>
              </w:rPr>
              <w:t>Source and caveat</w:t>
            </w:r>
          </w:p>
        </w:tc>
      </w:tr>
      <w:tr w:rsidR="002804CE">
        <w:trPr>
          <w:cantSplit/>
          <w:jc w:val="center"/>
        </w:trPr>
        <w:tc>
          <w:tcPr>
            <w:tcW w:w="1584" w:type="dxa"/>
          </w:tcPr>
          <w:p w:rsidR="002804CE" w:rsidRDefault="00D97399">
            <w:pPr>
              <w:spacing w:after="40" w:line="240" w:lineRule="auto"/>
              <w:jc w:val="left"/>
            </w:pPr>
            <w:r>
              <w:rPr>
                <w:rFonts w:cs="Times New Roman"/>
                <w:sz w:val="17"/>
              </w:rPr>
              <w:t>Seed list</w:t>
            </w:r>
          </w:p>
        </w:tc>
        <w:tc>
          <w:tcPr>
            <w:tcW w:w="2736" w:type="dxa"/>
          </w:tcPr>
          <w:p w:rsidR="002804CE" w:rsidRDefault="00D97399">
            <w:pPr>
              <w:spacing w:after="40" w:line="240" w:lineRule="auto"/>
              <w:jc w:val="left"/>
            </w:pPr>
            <w:r>
              <w:rPr>
                <w:rFonts w:cs="Times New Roman"/>
                <w:sz w:val="17"/>
              </w:rPr>
              <w:t>51 (description, category) pairs, 11 categories, 3-6 per category</w:t>
            </w:r>
          </w:p>
        </w:tc>
        <w:tc>
          <w:tcPr>
            <w:tcW w:w="2160" w:type="dxa"/>
          </w:tcPr>
          <w:p w:rsidR="002804CE" w:rsidRDefault="00D97399">
            <w:pPr>
              <w:spacing w:after="40" w:line="240" w:lineRule="auto"/>
              <w:jc w:val="left"/>
            </w:pPr>
            <w:r>
              <w:rPr>
                <w:rFonts w:cs="Times New Roman"/>
                <w:sz w:val="17"/>
              </w:rPr>
              <w:t xml:space="preserve">Training the </w:t>
            </w:r>
            <w:r>
              <w:rPr>
                <w:rFonts w:cs="Times New Roman"/>
                <w:sz w:val="17"/>
              </w:rPr>
              <w:t>categoriser</w:t>
            </w:r>
          </w:p>
        </w:tc>
        <w:tc>
          <w:tcPr>
            <w:tcW w:w="2880" w:type="dxa"/>
          </w:tcPr>
          <w:p w:rsidR="002804CE" w:rsidRDefault="00D97399">
            <w:pPr>
              <w:spacing w:after="40" w:line="240" w:lineRule="auto"/>
              <w:jc w:val="left"/>
            </w:pPr>
            <w:r>
              <w:rPr>
                <w:rFonts w:cs="Times New Roman"/>
                <w:sz w:val="17"/>
              </w:rPr>
              <w:t xml:space="preserve">Written by the team in </w:t>
            </w:r>
            <w:r>
              <w:rPr>
                <w:rFonts w:ascii="Consolas" w:eastAsia="Consolas" w:hAnsi="Consolas" w:cs="Consolas"/>
                <w:sz w:val="14"/>
              </w:rPr>
              <w:t>ml/expense_classifier.py</w:t>
            </w:r>
            <w:r>
              <w:rPr>
                <w:rFonts w:cs="Times New Roman"/>
                <w:sz w:val="17"/>
              </w:rPr>
              <w:t>; short English phrases in Indian-merchant style</w:t>
            </w:r>
          </w:p>
        </w:tc>
      </w:tr>
      <w:tr w:rsidR="002804CE">
        <w:trPr>
          <w:cantSplit/>
          <w:jc w:val="center"/>
        </w:trPr>
        <w:tc>
          <w:tcPr>
            <w:tcW w:w="1584" w:type="dxa"/>
          </w:tcPr>
          <w:p w:rsidR="002804CE" w:rsidRDefault="00D97399">
            <w:pPr>
              <w:spacing w:after="40" w:line="240" w:lineRule="auto"/>
              <w:jc w:val="left"/>
            </w:pPr>
            <w:r>
              <w:rPr>
                <w:rFonts w:cs="Times New Roman"/>
                <w:sz w:val="17"/>
              </w:rPr>
              <w:t>Sample file</w:t>
            </w:r>
          </w:p>
        </w:tc>
        <w:tc>
          <w:tcPr>
            <w:tcW w:w="2736" w:type="dxa"/>
          </w:tcPr>
          <w:p w:rsidR="002804CE" w:rsidRDefault="00D97399">
            <w:pPr>
              <w:spacing w:after="40" w:line="240" w:lineRule="auto"/>
              <w:jc w:val="left"/>
            </w:pPr>
            <w:r>
              <w:rPr>
                <w:rFonts w:cs="Times New Roman"/>
                <w:sz w:val="17"/>
              </w:rPr>
              <w:t>34 rows, Jun-Aug 2026, 10 categories</w:t>
            </w:r>
          </w:p>
        </w:tc>
        <w:tc>
          <w:tcPr>
            <w:tcW w:w="2160" w:type="dxa"/>
          </w:tcPr>
          <w:p w:rsidR="002804CE" w:rsidRDefault="00D97399">
            <w:pPr>
              <w:spacing w:after="40" w:line="240" w:lineRule="auto"/>
              <w:jc w:val="left"/>
            </w:pPr>
            <w:r>
              <w:rPr>
                <w:rFonts w:cs="Times New Roman"/>
                <w:sz w:val="17"/>
              </w:rPr>
              <w:t>Demo account and import tests</w:t>
            </w:r>
          </w:p>
        </w:tc>
        <w:tc>
          <w:tcPr>
            <w:tcW w:w="2880" w:type="dxa"/>
          </w:tcPr>
          <w:p w:rsidR="002804CE" w:rsidRDefault="00D97399">
            <w:pPr>
              <w:spacing w:after="40" w:line="240" w:lineRule="auto"/>
              <w:jc w:val="left"/>
            </w:pPr>
            <w:r>
              <w:rPr>
                <w:rFonts w:ascii="Consolas" w:eastAsia="Consolas" w:hAnsi="Consolas" w:cs="Consolas"/>
                <w:sz w:val="14"/>
              </w:rPr>
              <w:t>data/sample_transactions.csv</w:t>
            </w:r>
            <w:r>
              <w:rPr>
                <w:rFonts w:cs="Times New Roman"/>
                <w:sz w:val="17"/>
              </w:rPr>
              <w:t xml:space="preserve">; fictional; shifted forward so the </w:t>
            </w:r>
            <w:r>
              <w:rPr>
                <w:rFonts w:cs="Times New Roman"/>
                <w:sz w:val="17"/>
              </w:rPr>
              <w:t>newest month is the current month</w:t>
            </w:r>
          </w:p>
        </w:tc>
      </w:tr>
      <w:tr w:rsidR="002804CE">
        <w:trPr>
          <w:cantSplit/>
          <w:jc w:val="center"/>
        </w:trPr>
        <w:tc>
          <w:tcPr>
            <w:tcW w:w="1584" w:type="dxa"/>
          </w:tcPr>
          <w:p w:rsidR="002804CE" w:rsidRDefault="00D97399">
            <w:pPr>
              <w:spacing w:after="40" w:line="240" w:lineRule="auto"/>
              <w:jc w:val="left"/>
            </w:pPr>
            <w:r>
              <w:rPr>
                <w:rFonts w:cs="Times New Roman"/>
                <w:sz w:val="17"/>
              </w:rPr>
              <w:t>Demo account</w:t>
            </w:r>
          </w:p>
        </w:tc>
        <w:tc>
          <w:tcPr>
            <w:tcW w:w="2736" w:type="dxa"/>
          </w:tcPr>
          <w:p w:rsidR="002804CE" w:rsidRDefault="00D97399">
            <w:pPr>
              <w:spacing w:after="40" w:line="240" w:lineRule="auto"/>
              <w:jc w:val="left"/>
            </w:pPr>
            <w:r>
              <w:rPr>
                <w:rFonts w:cs="Times New Roman"/>
                <w:sz w:val="17"/>
              </w:rPr>
              <w:t>68 transactions, 6 monthly totals (May-Oct 2026), 5 budgets, 3 goals, 4 holdings</w:t>
            </w:r>
          </w:p>
        </w:tc>
        <w:tc>
          <w:tcPr>
            <w:tcW w:w="2160" w:type="dxa"/>
          </w:tcPr>
          <w:p w:rsidR="002804CE" w:rsidRDefault="00D97399">
            <w:pPr>
              <w:spacing w:after="40" w:line="240" w:lineRule="auto"/>
              <w:jc w:val="left"/>
            </w:pPr>
            <w:r>
              <w:rPr>
                <w:rFonts w:cs="Times New Roman"/>
                <w:sz w:val="17"/>
              </w:rPr>
              <w:t>Screenshots, forecast backtest, API timing</w:t>
            </w:r>
          </w:p>
        </w:tc>
        <w:tc>
          <w:tcPr>
            <w:tcW w:w="2880" w:type="dxa"/>
          </w:tcPr>
          <w:p w:rsidR="002804CE" w:rsidRDefault="00D97399">
            <w:pPr>
              <w:spacing w:after="40" w:line="240" w:lineRule="auto"/>
              <w:jc w:val="left"/>
            </w:pPr>
            <w:r>
              <w:rPr>
                <w:rFonts w:cs="Times New Roman"/>
                <w:sz w:val="17"/>
              </w:rPr>
              <w:t xml:space="preserve">Sample file plus three synthetic earlier months (seeded generator, about +4 % per </w:t>
            </w:r>
            <w:r>
              <w:rPr>
                <w:rFonts w:cs="Times New Roman"/>
                <w:sz w:val="17"/>
              </w:rPr>
              <w:t>month drift); fictional</w:t>
            </w:r>
          </w:p>
        </w:tc>
      </w:tr>
      <w:tr w:rsidR="002804CE">
        <w:trPr>
          <w:cantSplit/>
          <w:jc w:val="center"/>
        </w:trPr>
        <w:tc>
          <w:tcPr>
            <w:tcW w:w="1584" w:type="dxa"/>
          </w:tcPr>
          <w:p w:rsidR="002804CE" w:rsidRDefault="00D97399">
            <w:pPr>
              <w:spacing w:after="40" w:line="240" w:lineRule="auto"/>
              <w:jc w:val="left"/>
            </w:pPr>
            <w:r>
              <w:rPr>
                <w:rFonts w:cs="Times New Roman"/>
                <w:sz w:val="17"/>
              </w:rPr>
              <w:t>Probe set</w:t>
            </w:r>
          </w:p>
        </w:tc>
        <w:tc>
          <w:tcPr>
            <w:tcW w:w="2736" w:type="dxa"/>
          </w:tcPr>
          <w:p w:rsidR="002804CE" w:rsidRDefault="00D97399">
            <w:pPr>
              <w:spacing w:after="40" w:line="240" w:lineRule="auto"/>
              <w:jc w:val="left"/>
            </w:pPr>
            <w:r>
              <w:rPr>
                <w:rFonts w:cs="Times New Roman"/>
                <w:sz w:val="17"/>
              </w:rPr>
              <w:t>198 descriptions, 11 categories x 18; tiers A, B and C of 66 each</w:t>
            </w:r>
          </w:p>
        </w:tc>
        <w:tc>
          <w:tcPr>
            <w:tcW w:w="2160" w:type="dxa"/>
          </w:tcPr>
          <w:p w:rsidR="002804CE" w:rsidRDefault="00D97399">
            <w:pPr>
              <w:spacing w:after="40" w:line="240" w:lineRule="auto"/>
              <w:jc w:val="left"/>
            </w:pPr>
            <w:r>
              <w:rPr>
                <w:rFonts w:cs="Times New Roman"/>
                <w:sz w:val="17"/>
              </w:rPr>
              <w:t>Evaluating the categoriser</w:t>
            </w:r>
          </w:p>
        </w:tc>
        <w:tc>
          <w:tcPr>
            <w:tcW w:w="2880" w:type="dxa"/>
          </w:tcPr>
          <w:p w:rsidR="002804CE" w:rsidRDefault="00D97399">
            <w:pPr>
              <w:spacing w:after="40" w:line="240" w:lineRule="auto"/>
              <w:jc w:val="left"/>
            </w:pPr>
            <w:r>
              <w:rPr>
                <w:rFonts w:ascii="Consolas" w:eastAsia="Consolas" w:hAnsi="Consolas" w:cs="Consolas"/>
                <w:sz w:val="14"/>
              </w:rPr>
              <w:t>scripts/probe_data.py</w:t>
            </w:r>
            <w:r>
              <w:rPr>
                <w:rFonts w:cs="Times New Roman"/>
                <w:sz w:val="17"/>
              </w:rPr>
              <w:t xml:space="preserve">, written before scoring and never used for training; </w:t>
            </w:r>
            <w:r>
              <w:rPr>
                <w:rFonts w:cs="Times New Roman"/>
                <w:b/>
                <w:sz w:val="17"/>
              </w:rPr>
              <w:t>not an independent benchmark</w:t>
            </w:r>
          </w:p>
        </w:tc>
      </w:tr>
    </w:tbl>
    <w:p w:rsidR="002804CE" w:rsidRDefault="002804CE">
      <w:pPr>
        <w:spacing w:line="192" w:lineRule="auto"/>
      </w:pPr>
    </w:p>
    <w:p w:rsidR="002804CE" w:rsidRDefault="00D97399">
      <w:r>
        <w:rPr>
          <w:rFonts w:cs="Times New Roman"/>
        </w:rPr>
        <w:lastRenderedPageBreak/>
        <w:t>The seed list is the w</w:t>
      </w:r>
      <w:r>
        <w:rPr>
          <w:rFonts w:cs="Times New Roman"/>
        </w:rPr>
        <w:t xml:space="preserve">hole training set of the shipped model; it is balanced only roughly (six examples for Food, Transport and Entertainment, three for Rent, Investments and Salary). The probe set separates three situations: tier A uses wordings close to the seed, tier B uses </w:t>
      </w:r>
      <w:r>
        <w:rPr>
          <w:rFonts w:cs="Times New Roman"/>
        </w:rPr>
        <w:t xml:space="preserve">upper-case statement strings such as </w:t>
      </w:r>
      <w:r>
        <w:rPr>
          <w:rFonts w:ascii="Consolas" w:eastAsia="Consolas" w:hAnsi="Consolas" w:cs="Consolas"/>
          <w:sz w:val="21"/>
        </w:rPr>
        <w:t>UPI-SWIGGY-8821</w:t>
      </w:r>
      <w:r>
        <w:rPr>
          <w:rFonts w:cs="Times New Roman"/>
        </w:rPr>
        <w:t xml:space="preserve"> that still contain a seed keyword, and tier C uses merchants and phrases the model has never seen. Because the team wrote both seed and probe, tiers A and B are optimistic by construction; tier C is the </w:t>
      </w:r>
      <w:r>
        <w:rPr>
          <w:rFonts w:cs="Times New Roman"/>
        </w:rPr>
        <w:t>honest estimate of what a new user would experience.</w:t>
      </w:r>
    </w:p>
    <w:p w:rsidR="002804CE" w:rsidRDefault="00D97399">
      <w:pPr>
        <w:keepNext/>
        <w:spacing w:after="80" w:line="240" w:lineRule="auto"/>
        <w:jc w:val="center"/>
      </w:pPr>
      <w:r>
        <w:rPr>
          <w:noProof/>
        </w:rPr>
        <w:drawing>
          <wp:inline distT="0" distB="0" distL="0" distR="0">
            <wp:extent cx="4572000" cy="26139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3_seed_distribution.png"/>
                    <pic:cNvPicPr/>
                  </pic:nvPicPr>
                  <pic:blipFill>
                    <a:blip r:embed="rId9"/>
                    <a:stretch>
                      <a:fillRect/>
                    </a:stretch>
                  </pic:blipFill>
                  <pic:spPr>
                    <a:xfrm>
                      <a:off x="0" y="0"/>
                      <a:ext cx="4572000" cy="2613991"/>
                    </a:xfrm>
                    <a:prstGeom prst="rect">
                      <a:avLst/>
                    </a:prstGeom>
                  </pic:spPr>
                </pic:pic>
              </a:graphicData>
            </a:graphic>
          </wp:inline>
        </w:drawing>
      </w:r>
    </w:p>
    <w:p w:rsidR="002804CE" w:rsidRDefault="00D9739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The whole training set of the categoriser: 51 descriptions in 11 categories.</w:t>
      </w:r>
    </w:p>
    <w:p w:rsidR="002804CE" w:rsidRDefault="00D97399">
      <w:r>
        <w:rPr>
          <w:rFonts w:cs="Times New Roman"/>
          <w:b/>
        </w:rPr>
        <w:t>All records in the demo account are fictional.</w:t>
      </w:r>
      <w:r>
        <w:rPr>
          <w:rFonts w:cs="Times New Roman"/>
        </w:rPr>
        <w:t xml:space="preserve"> Nothing in the repository, the screenshots</w:t>
      </w:r>
      <w:r>
        <w:rPr>
          <w:rFonts w:cs="Times New Roman"/>
        </w:rPr>
        <w:t xml:space="preserve"> or the measurements is a real person's financial data, and no conclusion about real spending behaviour may be drawn from them.</w:t>
      </w:r>
    </w:p>
    <w:p w:rsidR="002804CE" w:rsidRDefault="00D97399">
      <w:pPr>
        <w:pStyle w:val="Heading2"/>
      </w:pPr>
      <w:r>
        <w:t>1.3 Preprocessing</w:t>
      </w:r>
    </w:p>
    <w:p w:rsidR="002804CE" w:rsidRDefault="00D97399">
      <w:r>
        <w:rPr>
          <w:rFonts w:cs="Times New Roman"/>
        </w:rPr>
        <w:t>Preprocessing is light. For the categoriser the description is stripped of whitespace (an empty one returns 'O</w:t>
      </w:r>
      <w:r>
        <w:rPr>
          <w:rFonts w:cs="Times New Roman"/>
        </w:rPr>
        <w:t xml:space="preserve">ther' without calling the model); the </w:t>
      </w:r>
      <w:r>
        <w:rPr>
          <w:rFonts w:ascii="Consolas" w:eastAsia="Consolas" w:hAnsi="Consolas" w:cs="Consolas"/>
          <w:sz w:val="21"/>
        </w:rPr>
        <w:t>TfidfVectorizer</w:t>
      </w:r>
      <w:r>
        <w:rPr>
          <w:rFonts w:cs="Times New Roman"/>
        </w:rPr>
        <w:t xml:space="preserve"> lowercases it, splits word tokens and builds unigrams and bigrams (</w:t>
      </w:r>
      <w:r>
        <w:rPr>
          <w:rFonts w:ascii="Consolas" w:eastAsia="Consolas" w:hAnsi="Consolas" w:cs="Consolas"/>
          <w:sz w:val="21"/>
        </w:rPr>
        <w:t>ngram_range=(1, 2)</w:t>
      </w:r>
      <w:r>
        <w:rPr>
          <w:rFonts w:cs="Times New Roman"/>
        </w:rPr>
        <w:t xml:space="preserve">, </w:t>
      </w:r>
      <w:r>
        <w:rPr>
          <w:rFonts w:ascii="Consolas" w:eastAsia="Consolas" w:hAnsi="Consolas" w:cs="Consolas"/>
          <w:sz w:val="21"/>
        </w:rPr>
        <w:t>min_df=1</w:t>
      </w:r>
      <w:r>
        <w:rPr>
          <w:rFonts w:cs="Times New Roman"/>
        </w:rPr>
        <w:t xml:space="preserve">), giving 131 terms on the 51-example seed. No stop-word list, stemming or spelling correction is applied, </w:t>
      </w:r>
      <w:r>
        <w:rPr>
          <w:rFonts w:cs="Times New Roman"/>
        </w:rPr>
        <w:t xml:space="preserve">so </w:t>
      </w:r>
      <w:r>
        <w:rPr>
          <w:rFonts w:ascii="Consolas" w:eastAsia="Consolas" w:hAnsi="Consolas" w:cs="Consolas"/>
          <w:sz w:val="21"/>
        </w:rPr>
        <w:t>UPI-SWIGGY-8821</w:t>
      </w:r>
      <w:r>
        <w:rPr>
          <w:rFonts w:cs="Times New Roman"/>
        </w:rPr>
        <w:t xml:space="preserve"> becomes the tokens </w:t>
      </w:r>
      <w:r>
        <w:rPr>
          <w:rFonts w:ascii="Consolas" w:eastAsia="Consolas" w:hAnsi="Consolas" w:cs="Consolas"/>
          <w:sz w:val="21"/>
        </w:rPr>
        <w:t>upi</w:t>
      </w:r>
      <w:r>
        <w:rPr>
          <w:rFonts w:cs="Times New Roman"/>
        </w:rPr>
        <w:t xml:space="preserve">, </w:t>
      </w:r>
      <w:r>
        <w:rPr>
          <w:rFonts w:ascii="Consolas" w:eastAsia="Consolas" w:hAnsi="Consolas" w:cs="Consolas"/>
          <w:sz w:val="21"/>
        </w:rPr>
        <w:t>swiggy</w:t>
      </w:r>
      <w:r>
        <w:rPr>
          <w:rFonts w:cs="Times New Roman"/>
        </w:rPr>
        <w:t xml:space="preserve"> and </w:t>
      </w:r>
      <w:r>
        <w:rPr>
          <w:rFonts w:ascii="Consolas" w:eastAsia="Consolas" w:hAnsi="Consolas" w:cs="Consolas"/>
          <w:sz w:val="21"/>
        </w:rPr>
        <w:t>8821</w:t>
      </w:r>
      <w:r>
        <w:rPr>
          <w:rFonts w:cs="Times New Roman"/>
        </w:rPr>
        <w:t xml:space="preserve">, and only </w:t>
      </w:r>
      <w:r>
        <w:rPr>
          <w:rFonts w:ascii="Consolas" w:eastAsia="Consolas" w:hAnsi="Consolas" w:cs="Consolas"/>
          <w:sz w:val="21"/>
        </w:rPr>
        <w:t>swiggy</w:t>
      </w:r>
      <w:r>
        <w:rPr>
          <w:rFonts w:cs="Times New Roman"/>
        </w:rPr>
        <w:t xml:space="preserve"> is known.</w:t>
      </w:r>
    </w:p>
    <w:p w:rsidR="002804CE" w:rsidRDefault="00D97399">
      <w:r>
        <w:rPr>
          <w:rFonts w:cs="Times New Roman"/>
        </w:rPr>
        <w:t xml:space="preserve">In the import pipeline each row is parsed independently: the date must parse with </w:t>
      </w:r>
      <w:r>
        <w:rPr>
          <w:rFonts w:ascii="Consolas" w:eastAsia="Consolas" w:hAnsi="Consolas" w:cs="Consolas"/>
          <w:sz w:val="21"/>
        </w:rPr>
        <w:t>pandas.to_datetime</w:t>
      </w:r>
      <w:r>
        <w:rPr>
          <w:rFonts w:cs="Times New Roman"/>
        </w:rPr>
        <w:t>, the amount must be a number above zero, the description non-blank, a</w:t>
      </w:r>
      <w:r>
        <w:rPr>
          <w:rFonts w:cs="Times New Roman"/>
        </w:rPr>
        <w:t xml:space="preserve">nd the type 'income' or 'expense' (anything else is an expense); a blank category is </w:t>
      </w:r>
      <w:r>
        <w:rPr>
          <w:rFonts w:cs="Times New Roman"/>
        </w:rPr>
        <w:lastRenderedPageBreak/>
        <w:t>filled by the categoriser. A failing row is skipped and reported as 'Row n: skipped (invalid date, amount, or missing description)'. Preview and commit parse the same file</w:t>
      </w:r>
      <w:r>
        <w:rPr>
          <w:rFonts w:cs="Times New Roman"/>
        </w:rPr>
        <w:t>.</w:t>
      </w:r>
    </w:p>
    <w:p w:rsidR="002804CE" w:rsidRDefault="00D97399">
      <w:r>
        <w:rPr>
          <w:rFonts w:cs="Times New Roman"/>
        </w:rPr>
        <w:t xml:space="preserve">For the forecast the transactions are grouped by calendar month and summed per type; category forecasts pivot the expenses to a month-by-category table with missing months filled with zero. The health score takes the month's income and expenses, the </w:t>
      </w:r>
      <w:r>
        <w:rPr>
          <w:rFonts w:cs="Times New Roman"/>
        </w:rPr>
        <w:t>savings rate, the all-time cash balance, the budget statuses, the holdings and the goals; the neutral values for missing data are listed in Section 6.5.3.</w:t>
      </w:r>
    </w:p>
    <w:p w:rsidR="002804CE" w:rsidRDefault="00D97399">
      <w:pPr>
        <w:pStyle w:val="Heading2"/>
      </w:pPr>
      <w:r>
        <w:t>1.4 Algorithm choice and justification</w:t>
      </w:r>
    </w:p>
    <w:p w:rsidR="002804CE" w:rsidRDefault="00D9739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xml:space="preserve">: Algorithms chosen and the </w:t>
      </w:r>
      <w:r>
        <w:rPr>
          <w:rFonts w:cs="Times New Roman"/>
        </w:rPr>
        <w:t>alternatives not used.</w:t>
      </w:r>
    </w:p>
    <w:tbl>
      <w:tblPr>
        <w:tblStyle w:val="TableGrid"/>
        <w:tblW w:w="0" w:type="auto"/>
        <w:jc w:val="center"/>
        <w:tblLook w:val="04A0" w:firstRow="1" w:lastRow="0" w:firstColumn="1" w:lastColumn="0" w:noHBand="0" w:noVBand="1"/>
      </w:tblPr>
      <w:tblGrid>
        <w:gridCol w:w="1545"/>
        <w:gridCol w:w="2185"/>
        <w:gridCol w:w="2850"/>
        <w:gridCol w:w="2302"/>
      </w:tblGrid>
      <w:tr w:rsidR="002804CE">
        <w:trPr>
          <w:cantSplit/>
          <w:tblHeader/>
          <w:jc w:val="center"/>
        </w:trPr>
        <w:tc>
          <w:tcPr>
            <w:tcW w:w="1584" w:type="dxa"/>
            <w:shd w:val="clear" w:color="auto" w:fill="1B2A41"/>
          </w:tcPr>
          <w:p w:rsidR="002804CE" w:rsidRDefault="00D97399">
            <w:pPr>
              <w:spacing w:after="40" w:line="240" w:lineRule="auto"/>
              <w:jc w:val="center"/>
            </w:pPr>
            <w:r>
              <w:rPr>
                <w:rFonts w:cs="Times New Roman"/>
                <w:b/>
                <w:color w:val="FFFFFF"/>
                <w:sz w:val="17"/>
              </w:rPr>
              <w:t>Task</w:t>
            </w:r>
          </w:p>
        </w:tc>
        <w:tc>
          <w:tcPr>
            <w:tcW w:w="2304" w:type="dxa"/>
            <w:shd w:val="clear" w:color="auto" w:fill="1B2A41"/>
          </w:tcPr>
          <w:p w:rsidR="002804CE" w:rsidRDefault="00D97399">
            <w:pPr>
              <w:spacing w:after="40" w:line="240" w:lineRule="auto"/>
              <w:jc w:val="center"/>
            </w:pPr>
            <w:r>
              <w:rPr>
                <w:rFonts w:cs="Times New Roman"/>
                <w:b/>
                <w:color w:val="FFFFFF"/>
                <w:sz w:val="17"/>
              </w:rPr>
              <w:t>Chosen</w:t>
            </w:r>
          </w:p>
        </w:tc>
        <w:tc>
          <w:tcPr>
            <w:tcW w:w="3024" w:type="dxa"/>
            <w:shd w:val="clear" w:color="auto" w:fill="1B2A41"/>
          </w:tcPr>
          <w:p w:rsidR="002804CE" w:rsidRDefault="00D97399">
            <w:pPr>
              <w:spacing w:after="40" w:line="240" w:lineRule="auto"/>
              <w:jc w:val="center"/>
            </w:pPr>
            <w:r>
              <w:rPr>
                <w:rFonts w:cs="Times New Roman"/>
                <w:b/>
                <w:color w:val="FFFFFF"/>
                <w:sz w:val="17"/>
              </w:rPr>
              <w:t>Why</w:t>
            </w:r>
          </w:p>
        </w:tc>
        <w:tc>
          <w:tcPr>
            <w:tcW w:w="2448" w:type="dxa"/>
            <w:shd w:val="clear" w:color="auto" w:fill="1B2A41"/>
          </w:tcPr>
          <w:p w:rsidR="002804CE" w:rsidRDefault="00D97399">
            <w:pPr>
              <w:spacing w:after="40" w:line="240" w:lineRule="auto"/>
              <w:jc w:val="center"/>
            </w:pPr>
            <w:r>
              <w:rPr>
                <w:rFonts w:cs="Times New Roman"/>
                <w:b/>
                <w:color w:val="FFFFFF"/>
                <w:sz w:val="17"/>
              </w:rPr>
              <w:t>Not used (base paper [1])</w:t>
            </w:r>
          </w:p>
        </w:tc>
      </w:tr>
      <w:tr w:rsidR="002804CE">
        <w:trPr>
          <w:cantSplit/>
          <w:jc w:val="center"/>
        </w:trPr>
        <w:tc>
          <w:tcPr>
            <w:tcW w:w="1584" w:type="dxa"/>
          </w:tcPr>
          <w:p w:rsidR="002804CE" w:rsidRDefault="00D97399">
            <w:pPr>
              <w:spacing w:after="40" w:line="240" w:lineRule="auto"/>
              <w:jc w:val="left"/>
            </w:pPr>
            <w:r>
              <w:rPr>
                <w:rFonts w:cs="Times New Roman"/>
                <w:sz w:val="17"/>
              </w:rPr>
              <w:t>Expense categorisation</w:t>
            </w:r>
          </w:p>
        </w:tc>
        <w:tc>
          <w:tcPr>
            <w:tcW w:w="2304" w:type="dxa"/>
          </w:tcPr>
          <w:p w:rsidR="002804CE" w:rsidRDefault="00D97399">
            <w:pPr>
              <w:spacing w:after="40" w:line="240" w:lineRule="auto"/>
              <w:jc w:val="left"/>
            </w:pPr>
            <w:r>
              <w:rPr>
                <w:rFonts w:cs="Times New Roman"/>
                <w:sz w:val="17"/>
              </w:rPr>
              <w:t>TF-IDF + multinomial logistic regression [15], [14]</w:t>
            </w:r>
          </w:p>
        </w:tc>
        <w:tc>
          <w:tcPr>
            <w:tcW w:w="3024" w:type="dxa"/>
          </w:tcPr>
          <w:p w:rsidR="002804CE" w:rsidRDefault="00D97399">
            <w:pPr>
              <w:spacing w:after="40" w:line="240" w:lineRule="auto"/>
              <w:jc w:val="left"/>
            </w:pPr>
            <w:r>
              <w:rPr>
                <w:rFonts w:cs="Times New Roman"/>
                <w:sz w:val="17"/>
              </w:rPr>
              <w:t>Trains in milliseconds on 51 examples; no GPU; coefficients and probabilities are inspectable; works offline</w:t>
            </w:r>
          </w:p>
        </w:tc>
        <w:tc>
          <w:tcPr>
            <w:tcW w:w="2448" w:type="dxa"/>
          </w:tcPr>
          <w:p w:rsidR="002804CE" w:rsidRDefault="00D97399">
            <w:pPr>
              <w:spacing w:after="40" w:line="240" w:lineRule="auto"/>
              <w:jc w:val="left"/>
            </w:pPr>
            <w:r>
              <w:rPr>
                <w:rFonts w:cs="Times New Roman"/>
                <w:sz w:val="17"/>
              </w:rPr>
              <w:t>BERT w</w:t>
            </w:r>
            <w:r>
              <w:rPr>
                <w:rFonts w:cs="Times New Roman"/>
                <w:sz w:val="17"/>
              </w:rPr>
              <w:t>ith 50 categories and SMOTE [8], [13]: needs thousands of labelled rows and a GPU</w:t>
            </w:r>
          </w:p>
        </w:tc>
      </w:tr>
      <w:tr w:rsidR="002804CE">
        <w:trPr>
          <w:cantSplit/>
          <w:jc w:val="center"/>
        </w:trPr>
        <w:tc>
          <w:tcPr>
            <w:tcW w:w="1584" w:type="dxa"/>
          </w:tcPr>
          <w:p w:rsidR="002804CE" w:rsidRDefault="00D97399">
            <w:pPr>
              <w:spacing w:after="40" w:line="240" w:lineRule="auto"/>
              <w:jc w:val="left"/>
            </w:pPr>
            <w:r>
              <w:rPr>
                <w:rFonts w:cs="Times New Roman"/>
                <w:sz w:val="17"/>
              </w:rPr>
              <w:t>Spending forecast</w:t>
            </w:r>
          </w:p>
        </w:tc>
        <w:tc>
          <w:tcPr>
            <w:tcW w:w="2304" w:type="dxa"/>
          </w:tcPr>
          <w:p w:rsidR="002804CE" w:rsidRDefault="00D97399">
            <w:pPr>
              <w:spacing w:after="40" w:line="240" w:lineRule="auto"/>
              <w:jc w:val="left"/>
            </w:pPr>
            <w:r>
              <w:rPr>
                <w:rFonts w:cs="Times New Roman"/>
                <w:sz w:val="17"/>
              </w:rPr>
              <w:t>Least-squares straight line over monthly totals</w:t>
            </w:r>
          </w:p>
        </w:tc>
        <w:tc>
          <w:tcPr>
            <w:tcW w:w="3024" w:type="dxa"/>
          </w:tcPr>
          <w:p w:rsidR="002804CE" w:rsidRDefault="00D97399">
            <w:pPr>
              <w:spacing w:after="40" w:line="240" w:lineRule="auto"/>
              <w:jc w:val="left"/>
            </w:pPr>
            <w:r>
              <w:rPr>
                <w:rFonts w:cs="Times New Roman"/>
                <w:sz w:val="17"/>
              </w:rPr>
              <w:t xml:space="preserve">With a handful of months a line has two parameters and cannot overfit; the refusal below three months is </w:t>
            </w:r>
            <w:r>
              <w:rPr>
                <w:rFonts w:cs="Times New Roman"/>
                <w:sz w:val="17"/>
              </w:rPr>
              <w:t>explicit</w:t>
            </w:r>
          </w:p>
        </w:tc>
        <w:tc>
          <w:tcPr>
            <w:tcW w:w="2448" w:type="dxa"/>
          </w:tcPr>
          <w:p w:rsidR="002804CE" w:rsidRDefault="00D97399">
            <w:pPr>
              <w:spacing w:after="40" w:line="240" w:lineRule="auto"/>
              <w:jc w:val="left"/>
            </w:pPr>
            <w:r>
              <w:rPr>
                <w:rFonts w:cs="Times New Roman"/>
                <w:sz w:val="17"/>
              </w:rPr>
              <w:t>LSTM [11]: needs long series; the base paper reports R2 0.63 on a synthetic series</w:t>
            </w:r>
          </w:p>
        </w:tc>
      </w:tr>
      <w:tr w:rsidR="002804CE">
        <w:trPr>
          <w:cantSplit/>
          <w:jc w:val="center"/>
        </w:trPr>
        <w:tc>
          <w:tcPr>
            <w:tcW w:w="1584" w:type="dxa"/>
          </w:tcPr>
          <w:p w:rsidR="002804CE" w:rsidRDefault="00D97399">
            <w:pPr>
              <w:spacing w:after="40" w:line="240" w:lineRule="auto"/>
              <w:jc w:val="left"/>
            </w:pPr>
            <w:r>
              <w:rPr>
                <w:rFonts w:cs="Times New Roman"/>
                <w:sz w:val="17"/>
              </w:rPr>
              <w:t>Budget advice</w:t>
            </w:r>
          </w:p>
        </w:tc>
        <w:tc>
          <w:tcPr>
            <w:tcW w:w="2304" w:type="dxa"/>
          </w:tcPr>
          <w:p w:rsidR="002804CE" w:rsidRDefault="00D97399">
            <w:pPr>
              <w:spacing w:after="40" w:line="240" w:lineRule="auto"/>
              <w:jc w:val="left"/>
            </w:pPr>
            <w:r>
              <w:rPr>
                <w:rFonts w:cs="Times New Roman"/>
                <w:sz w:val="17"/>
              </w:rPr>
              <w:t>Fixed alert thresholds (75, 90, 100 %) and rule-based suggestions</w:t>
            </w:r>
          </w:p>
        </w:tc>
        <w:tc>
          <w:tcPr>
            <w:tcW w:w="3024" w:type="dxa"/>
          </w:tcPr>
          <w:p w:rsidR="002804CE" w:rsidRDefault="00D97399">
            <w:pPr>
              <w:spacing w:after="40" w:line="240" w:lineRule="auto"/>
              <w:jc w:val="left"/>
            </w:pPr>
            <w:r>
              <w:rPr>
                <w:rFonts w:cs="Times New Roman"/>
                <w:sz w:val="17"/>
              </w:rPr>
              <w:t>Transparent; predictable; no reward function to define</w:t>
            </w:r>
          </w:p>
        </w:tc>
        <w:tc>
          <w:tcPr>
            <w:tcW w:w="2448" w:type="dxa"/>
          </w:tcPr>
          <w:p w:rsidR="002804CE" w:rsidRDefault="00D97399">
            <w:pPr>
              <w:spacing w:after="40" w:line="240" w:lineRule="auto"/>
              <w:jc w:val="left"/>
            </w:pPr>
            <w:r>
              <w:rPr>
                <w:rFonts w:cs="Times New Roman"/>
                <w:sz w:val="17"/>
              </w:rPr>
              <w:t>Q-learning budget agent [12]</w:t>
            </w:r>
          </w:p>
        </w:tc>
      </w:tr>
      <w:tr w:rsidR="002804CE">
        <w:trPr>
          <w:cantSplit/>
          <w:jc w:val="center"/>
        </w:trPr>
        <w:tc>
          <w:tcPr>
            <w:tcW w:w="1584" w:type="dxa"/>
          </w:tcPr>
          <w:p w:rsidR="002804CE" w:rsidRDefault="00D97399">
            <w:pPr>
              <w:spacing w:after="40" w:line="240" w:lineRule="auto"/>
              <w:jc w:val="left"/>
            </w:pPr>
            <w:r>
              <w:rPr>
                <w:rFonts w:cs="Times New Roman"/>
                <w:sz w:val="17"/>
              </w:rPr>
              <w:t>Anomaly detection</w:t>
            </w:r>
          </w:p>
        </w:tc>
        <w:tc>
          <w:tcPr>
            <w:tcW w:w="2304" w:type="dxa"/>
          </w:tcPr>
          <w:p w:rsidR="002804CE" w:rsidRDefault="00D97399">
            <w:pPr>
              <w:spacing w:after="40" w:line="240" w:lineRule="auto"/>
              <w:jc w:val="left"/>
            </w:pPr>
            <w:r>
              <w:rPr>
                <w:rFonts w:cs="Times New Roman"/>
                <w:sz w:val="17"/>
              </w:rPr>
              <w:t>Not built</w:t>
            </w:r>
          </w:p>
        </w:tc>
        <w:tc>
          <w:tcPr>
            <w:tcW w:w="3024" w:type="dxa"/>
          </w:tcPr>
          <w:p w:rsidR="002804CE" w:rsidRDefault="00D97399">
            <w:pPr>
              <w:spacing w:after="40" w:line="240" w:lineRule="auto"/>
              <w:jc w:val="left"/>
            </w:pPr>
            <w:r>
              <w:rPr>
                <w:rFonts w:cs="Times New Roman"/>
                <w:sz w:val="17"/>
              </w:rPr>
              <w:t>No labelled anomalies and no time to calibrate a contamination rate</w:t>
            </w:r>
          </w:p>
        </w:tc>
        <w:tc>
          <w:tcPr>
            <w:tcW w:w="2448" w:type="dxa"/>
          </w:tcPr>
          <w:p w:rsidR="002804CE" w:rsidRDefault="00D97399">
            <w:pPr>
              <w:spacing w:after="40" w:line="240" w:lineRule="auto"/>
              <w:jc w:val="left"/>
            </w:pPr>
            <w:r>
              <w:rPr>
                <w:rFonts w:cs="Times New Roman"/>
                <w:sz w:val="17"/>
              </w:rPr>
              <w:t>Isolation Forest [10]</w:t>
            </w:r>
          </w:p>
        </w:tc>
      </w:tr>
      <w:tr w:rsidR="002804CE">
        <w:trPr>
          <w:cantSplit/>
          <w:jc w:val="center"/>
        </w:trPr>
        <w:tc>
          <w:tcPr>
            <w:tcW w:w="1584" w:type="dxa"/>
          </w:tcPr>
          <w:p w:rsidR="002804CE" w:rsidRDefault="00D97399">
            <w:pPr>
              <w:spacing w:after="40" w:line="240" w:lineRule="auto"/>
              <w:jc w:val="left"/>
            </w:pPr>
            <w:r>
              <w:rPr>
                <w:rFonts w:cs="Times New Roman"/>
                <w:sz w:val="17"/>
              </w:rPr>
              <w:t>Health score</w:t>
            </w:r>
          </w:p>
        </w:tc>
        <w:tc>
          <w:tcPr>
            <w:tcW w:w="2304" w:type="dxa"/>
          </w:tcPr>
          <w:p w:rsidR="002804CE" w:rsidRDefault="00D97399">
            <w:pPr>
              <w:spacing w:after="40" w:line="240" w:lineRule="auto"/>
              <w:jc w:val="left"/>
            </w:pPr>
            <w:r>
              <w:rPr>
                <w:rFonts w:cs="Times New Roman"/>
                <w:sz w:val="17"/>
              </w:rPr>
              <w:t>Weighted sum of six clipped sub-scores</w:t>
            </w:r>
          </w:p>
        </w:tc>
        <w:tc>
          <w:tcPr>
            <w:tcW w:w="3024" w:type="dxa"/>
          </w:tcPr>
          <w:p w:rsidR="002804CE" w:rsidRDefault="00D97399">
            <w:pPr>
              <w:spacing w:after="40" w:line="240" w:lineRule="auto"/>
              <w:jc w:val="left"/>
            </w:pPr>
            <w:r>
              <w:rPr>
                <w:rFonts w:cs="Times New Roman"/>
                <w:sz w:val="17"/>
              </w:rPr>
              <w:t>Every point can be traced to a component; weights sum to one</w:t>
            </w:r>
          </w:p>
        </w:tc>
        <w:tc>
          <w:tcPr>
            <w:tcW w:w="2448" w:type="dxa"/>
          </w:tcPr>
          <w:p w:rsidR="002804CE" w:rsidRDefault="00D97399">
            <w:pPr>
              <w:spacing w:after="40" w:line="240" w:lineRule="auto"/>
              <w:jc w:val="left"/>
            </w:pPr>
            <w:r>
              <w:rPr>
                <w:rFonts w:cs="Times New Roman"/>
                <w:sz w:val="17"/>
              </w:rPr>
              <w:t xml:space="preserve">A learned score would </w:t>
            </w:r>
            <w:r>
              <w:rPr>
                <w:rFonts w:cs="Times New Roman"/>
                <w:sz w:val="17"/>
              </w:rPr>
              <w:t>need outcome data that does not exist here</w:t>
            </w:r>
          </w:p>
        </w:tc>
      </w:tr>
    </w:tbl>
    <w:p w:rsidR="002804CE" w:rsidRDefault="002804CE">
      <w:pPr>
        <w:spacing w:line="192" w:lineRule="auto"/>
      </w:pPr>
    </w:p>
    <w:p w:rsidR="002804CE" w:rsidRDefault="00D97399">
      <w:r>
        <w:rPr>
          <w:rFonts w:cs="Times New Roman"/>
        </w:rPr>
        <w:t xml:space="preserve">With 51 examples and 131 features a linear classifier is close to the largest model that can be trained without overfitting, and its probabilities could be used for abstention; the product does not, because it </w:t>
      </w:r>
      <w:r>
        <w:rPr>
          <w:rFonts w:cs="Times New Roman"/>
        </w:rPr>
        <w:t>always takes the top label (Chapter 8). The straight line for the forecast is likewise a bet on small data: forecasting practice [18], [17] reports that simple methods are hard to beat on short series, and Chapter 8 tests that on this product's own data.</w:t>
      </w:r>
    </w:p>
    <w:p w:rsidR="002804CE" w:rsidRDefault="00D97399">
      <w:pPr>
        <w:pStyle w:val="Heading2"/>
      </w:pPr>
      <w:r>
        <w:t>1</w:t>
      </w:r>
      <w:r>
        <w:t>.5 Mathematical formulation</w:t>
      </w:r>
    </w:p>
    <w:p w:rsidR="002804CE" w:rsidRDefault="00D97399">
      <w:pPr>
        <w:pStyle w:val="Heading3"/>
      </w:pPr>
      <w:r>
        <w:t>1.5.1 Expense categoriser</w:t>
      </w:r>
    </w:p>
    <w:p w:rsidR="002804CE" w:rsidRDefault="00D97399">
      <w:r>
        <w:rPr>
          <w:rFonts w:cs="Times New Roman"/>
        </w:rPr>
        <w:t>Let a description d be split into terms t (words and word pairs). With n training descriptions and document frequency df(t), scikit-learn's smoothed inverse document frequency and weight are</w:t>
      </w:r>
    </w:p>
    <w:p w:rsidR="002804CE" w:rsidRDefault="00D97399">
      <w:pPr>
        <w:spacing w:line="276" w:lineRule="auto"/>
        <w:jc w:val="center"/>
      </w:pPr>
      <w:r>
        <w:rPr>
          <w:rFonts w:ascii="Cambria Math" w:eastAsia="Cambria Math" w:hAnsi="Cambria Math" w:cs="Cambria Math"/>
          <w:i/>
        </w:rPr>
        <w:t>idf(t) = ln</w:t>
      </w:r>
      <w:r>
        <w:rPr>
          <w:rFonts w:ascii="Cambria Math" w:eastAsia="Cambria Math" w:hAnsi="Cambria Math" w:cs="Cambria Math"/>
          <w:i/>
        </w:rPr>
        <w:t>((1 + n) / (1 + df(t))) + 1          w(t, d) = tf(t, d) x idf(t)          x_d = w_d / ||w_d||_2</w:t>
      </w:r>
      <w:r>
        <w:rPr>
          <w:rFonts w:cs="Times New Roman"/>
        </w:rPr>
        <w:t xml:space="preserve">      (1)</w:t>
      </w:r>
    </w:p>
    <w:p w:rsidR="002804CE" w:rsidRDefault="00D97399">
      <w:r>
        <w:rPr>
          <w:rFonts w:cs="Times New Roman"/>
        </w:rPr>
        <w:lastRenderedPageBreak/>
        <w:t xml:space="preserve">The logistic-regression classifier has one weight vector w_c and intercept b_c per category c in the set of 11 categories. For a description with </w:t>
      </w:r>
      <w:r>
        <w:rPr>
          <w:rFonts w:cs="Times New Roman"/>
        </w:rPr>
        <w:t>feature vector x the probability of category c and the predicted label are</w:t>
      </w:r>
    </w:p>
    <w:p w:rsidR="002804CE" w:rsidRDefault="00D97399">
      <w:pPr>
        <w:spacing w:line="276" w:lineRule="auto"/>
        <w:jc w:val="center"/>
      </w:pPr>
      <w:r>
        <w:rPr>
          <w:rFonts w:ascii="Cambria Math" w:eastAsia="Cambria Math" w:hAnsi="Cambria Math" w:cs="Cambria Math"/>
          <w:i/>
        </w:rPr>
        <w:t>P(c | x) = exp(w_c . x + b_c) / SUM_k exp(w_k . x + b_k)          label(d) = argmax_c P(c | x)</w:t>
      </w:r>
      <w:r>
        <w:rPr>
          <w:rFonts w:cs="Times New Roman"/>
        </w:rPr>
        <w:t xml:space="preserve">      (2)</w:t>
      </w:r>
    </w:p>
    <w:p w:rsidR="002804CE" w:rsidRDefault="00D97399">
      <w:r>
        <w:rPr>
          <w:rFonts w:cs="Times New Roman"/>
        </w:rPr>
        <w:t>Training minimises the cross-entropy loss with an L2 penalty on the weights (</w:t>
      </w:r>
      <w:r>
        <w:rPr>
          <w:rFonts w:ascii="Consolas" w:eastAsia="Consolas" w:hAnsi="Consolas" w:cs="Consolas"/>
          <w:sz w:val="21"/>
        </w:rPr>
        <w:t>LogisticRegression(max_iter=1000)</w:t>
      </w:r>
      <w:r>
        <w:rPr>
          <w:rFonts w:cs="Times New Roman"/>
        </w:rPr>
        <w:t>: penalty strength C = 1 and the lbfgs solver, which are the library defaults). If a description contains no known term then x is the zero vector and P(c | x) depends only on the intercepts; in the shipped model the interce</w:t>
      </w:r>
      <w:r>
        <w:rPr>
          <w:rFonts w:cs="Times New Roman"/>
        </w:rPr>
        <w:t>pt of Transport (0.321) is the largest, so unseen text is labelled Transport. The retraining on a correction adds the pair (description, corrected label) and the user's whole stored history to the 51 seed pairs and refits from scratch.</w:t>
      </w:r>
    </w:p>
    <w:p w:rsidR="002804CE" w:rsidRDefault="00D97399">
      <w:pPr>
        <w:pStyle w:val="Heading3"/>
      </w:pPr>
      <w:r>
        <w:t>1.5.2 Spending forec</w:t>
      </w:r>
      <w:r>
        <w:t>ast</w:t>
      </w:r>
    </w:p>
    <w:p w:rsidR="002804CE" w:rsidRDefault="00D97399">
      <w:r>
        <w:rPr>
          <w:rFonts w:cs="Times New Roman"/>
        </w:rPr>
        <w:t>Let y_0 ... y_{n-1} be the monthly expense totals in time order, n at least 3. The slope a and intercept b of the least-squares line, the next-month prediction and the trend label are</w:t>
      </w:r>
    </w:p>
    <w:p w:rsidR="002804CE" w:rsidRDefault="00D97399">
      <w:pPr>
        <w:spacing w:line="276" w:lineRule="auto"/>
        <w:jc w:val="center"/>
      </w:pPr>
      <w:r>
        <w:rPr>
          <w:rFonts w:ascii="Cambria Math" w:eastAsia="Cambria Math" w:hAnsi="Cambria Math" w:cs="Cambria Math"/>
          <w:i/>
        </w:rPr>
        <w:t xml:space="preserve">(a, b) = argmin SUM_t (y_t - (a t + b))^2          y_hat_n = max(0, </w:t>
      </w:r>
      <w:r>
        <w:rPr>
          <w:rFonts w:ascii="Cambria Math" w:eastAsia="Cambria Math" w:hAnsi="Cambria Math" w:cs="Cambria Math"/>
          <w:i/>
        </w:rPr>
        <w:t>a n + b)          trend = increasing if a &gt; 1, decreasing if a &lt; -1, else stable</w:t>
      </w:r>
      <w:r>
        <w:rPr>
          <w:rFonts w:cs="Times New Roman"/>
        </w:rPr>
        <w:t xml:space="preserve">      (3)</w:t>
      </w:r>
    </w:p>
    <w:p w:rsidR="002804CE" w:rsidRDefault="00D97399">
      <w:r>
        <w:rPr>
          <w:rFonts w:cs="Times New Roman"/>
        </w:rPr>
        <w:t>The application also reports the mean of the last three months as the 'recent average'. Category forecasts apply the same fit to each category's monthly series. The b</w:t>
      </w:r>
      <w:r>
        <w:rPr>
          <w:rFonts w:cs="Times New Roman"/>
        </w:rPr>
        <w:t>udget-overrun check flags a category when its predicted spend exceeds its budget for the current month. Forecast quality is reported with the mean absolute error and the mean absolute percentage error [16]:</w:t>
      </w:r>
    </w:p>
    <w:p w:rsidR="002804CE" w:rsidRDefault="00D97399">
      <w:pPr>
        <w:spacing w:line="276" w:lineRule="auto"/>
        <w:jc w:val="center"/>
      </w:pPr>
      <w:r>
        <w:rPr>
          <w:rFonts w:ascii="Cambria Math" w:eastAsia="Cambria Math" w:hAnsi="Cambria Math" w:cs="Cambria Math"/>
          <w:i/>
        </w:rPr>
        <w:t>MAE = (1/m) SUM |y_i - y_hat_i|          MAPE = (</w:t>
      </w:r>
      <w:r>
        <w:rPr>
          <w:rFonts w:ascii="Cambria Math" w:eastAsia="Cambria Math" w:hAnsi="Cambria Math" w:cs="Cambria Math"/>
          <w:i/>
        </w:rPr>
        <w:t>100/m) SUM |y_i - y_hat_i| / y_i</w:t>
      </w:r>
      <w:r>
        <w:rPr>
          <w:rFonts w:cs="Times New Roman"/>
        </w:rPr>
        <w:t xml:space="preserve">      (4)</w:t>
      </w:r>
    </w:p>
    <w:p w:rsidR="002804CE" w:rsidRDefault="00D97399">
      <w:pPr>
        <w:pStyle w:val="Heading3"/>
      </w:pPr>
      <w:r>
        <w:t>1.5.3 Financial health score</w:t>
      </w:r>
    </w:p>
    <w:p w:rsidR="002804CE" w:rsidRDefault="00D97399">
      <w:r>
        <w:rPr>
          <w:rFonts w:cs="Times New Roman"/>
        </w:rPr>
        <w:t xml:space="preserve">With sub-scores s_k, each clipped to the range 0 to 100, and weights w_k, the score is H = SUM_k w_k s_k, rounded to one decimal. The sub-scores are defined from the savings rate r (in </w:t>
      </w:r>
      <w:r>
        <w:rPr>
          <w:rFonts w:cs="Times New Roman"/>
        </w:rPr>
        <w:t>percent), the monthly income I and expenses E, the cash balance Bal, the budgets, the holdings and the goals:</w:t>
      </w:r>
    </w:p>
    <w:p w:rsidR="002804CE" w:rsidRDefault="00D97399">
      <w:pPr>
        <w:spacing w:line="276" w:lineRule="auto"/>
        <w:jc w:val="center"/>
      </w:pPr>
      <w:r>
        <w:rPr>
          <w:rFonts w:ascii="Cambria Math" w:eastAsia="Cambria Math" w:hAnsi="Cambria Math" w:cs="Cambria Math"/>
          <w:i/>
        </w:rPr>
        <w:t>s_save = clip(r / 20 x 100)     s_exp = clip((1 - E / I) / 0.5 x 100)     s_emerg = clip((Bal / E) / 6 x 100)</w:t>
      </w:r>
      <w:r>
        <w:rPr>
          <w:rFonts w:cs="Times New Roman"/>
        </w:rPr>
        <w:t xml:space="preserve">      (5)</w:t>
      </w:r>
    </w:p>
    <w:p w:rsidR="002804CE" w:rsidRDefault="00D97399">
      <w:pPr>
        <w:spacing w:line="276" w:lineRule="auto"/>
        <w:jc w:val="center"/>
      </w:pPr>
      <w:r>
        <w:rPr>
          <w:rFonts w:ascii="Cambria Math" w:eastAsia="Cambria Math" w:hAnsi="Cambria Math" w:cs="Cambria Math"/>
          <w:i/>
        </w:rPr>
        <w:t>s_budget = 100 x (budgets a</w:t>
      </w:r>
      <w:r>
        <w:rPr>
          <w:rFonts w:ascii="Cambria Math" w:eastAsia="Cambria Math" w:hAnsi="Cambria Math" w:cs="Cambria Math"/>
          <w:i/>
        </w:rPr>
        <w:t>t or under 100 %) / (all budgets)     s_div = clip(distinct asset types / 5 x 100)     s_goal = clip(mean percent complete of goals)</w:t>
      </w:r>
      <w:r>
        <w:rPr>
          <w:rFonts w:cs="Times New Roman"/>
        </w:rPr>
        <w:t xml:space="preserve">      (6)</w:t>
      </w:r>
    </w:p>
    <w:p w:rsidR="002804CE" w:rsidRDefault="00D97399">
      <w:pPr>
        <w:pStyle w:val="Caption"/>
        <w:keepNext/>
        <w:spacing w:after="80"/>
      </w:pPr>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Weights, neutral values and rating bands of the health score.</w:t>
      </w:r>
    </w:p>
    <w:tbl>
      <w:tblPr>
        <w:tblStyle w:val="TableGrid"/>
        <w:tblW w:w="0" w:type="auto"/>
        <w:jc w:val="center"/>
        <w:tblLook w:val="04A0" w:firstRow="1" w:lastRow="0" w:firstColumn="1" w:lastColumn="0" w:noHBand="0" w:noVBand="1"/>
      </w:tblPr>
      <w:tblGrid>
        <w:gridCol w:w="1971"/>
        <w:gridCol w:w="994"/>
        <w:gridCol w:w="3432"/>
        <w:gridCol w:w="2485"/>
      </w:tblGrid>
      <w:tr w:rsidR="002804CE">
        <w:trPr>
          <w:cantSplit/>
          <w:tblHeader/>
          <w:jc w:val="center"/>
        </w:trPr>
        <w:tc>
          <w:tcPr>
            <w:tcW w:w="2016" w:type="dxa"/>
            <w:shd w:val="clear" w:color="auto" w:fill="1B2A41"/>
          </w:tcPr>
          <w:p w:rsidR="002804CE" w:rsidRDefault="00D97399">
            <w:pPr>
              <w:spacing w:after="40" w:line="240" w:lineRule="auto"/>
              <w:jc w:val="center"/>
            </w:pPr>
            <w:r>
              <w:rPr>
                <w:rFonts w:cs="Times New Roman"/>
                <w:b/>
                <w:color w:val="FFFFFF"/>
                <w:sz w:val="18"/>
              </w:rPr>
              <w:t>Component</w:t>
            </w:r>
          </w:p>
        </w:tc>
        <w:tc>
          <w:tcPr>
            <w:tcW w:w="1008" w:type="dxa"/>
            <w:shd w:val="clear" w:color="auto" w:fill="1B2A41"/>
          </w:tcPr>
          <w:p w:rsidR="002804CE" w:rsidRDefault="00D97399">
            <w:pPr>
              <w:spacing w:after="40" w:line="240" w:lineRule="auto"/>
              <w:jc w:val="center"/>
            </w:pPr>
            <w:r>
              <w:rPr>
                <w:rFonts w:cs="Times New Roman"/>
                <w:b/>
                <w:color w:val="FFFFFF"/>
                <w:sz w:val="18"/>
              </w:rPr>
              <w:t>Weight</w:t>
            </w:r>
          </w:p>
        </w:tc>
        <w:tc>
          <w:tcPr>
            <w:tcW w:w="3600" w:type="dxa"/>
            <w:shd w:val="clear" w:color="auto" w:fill="1B2A41"/>
          </w:tcPr>
          <w:p w:rsidR="002804CE" w:rsidRDefault="00D97399">
            <w:pPr>
              <w:spacing w:after="40" w:line="240" w:lineRule="auto"/>
              <w:jc w:val="center"/>
            </w:pPr>
            <w:r>
              <w:rPr>
                <w:rFonts w:cs="Times New Roman"/>
                <w:b/>
                <w:color w:val="FFFFFF"/>
                <w:sz w:val="18"/>
              </w:rPr>
              <w:t>Fu</w:t>
            </w:r>
            <w:r>
              <w:rPr>
                <w:rFonts w:cs="Times New Roman"/>
                <w:b/>
                <w:color w:val="FFFFFF"/>
                <w:sz w:val="18"/>
              </w:rPr>
              <w:t>ll marks when</w:t>
            </w:r>
          </w:p>
        </w:tc>
        <w:tc>
          <w:tcPr>
            <w:tcW w:w="2592" w:type="dxa"/>
            <w:shd w:val="clear" w:color="auto" w:fill="1B2A41"/>
          </w:tcPr>
          <w:p w:rsidR="002804CE" w:rsidRDefault="00D97399">
            <w:pPr>
              <w:spacing w:after="40" w:line="240" w:lineRule="auto"/>
              <w:jc w:val="center"/>
            </w:pPr>
            <w:r>
              <w:rPr>
                <w:rFonts w:cs="Times New Roman"/>
                <w:b/>
                <w:color w:val="FFFFFF"/>
                <w:sz w:val="18"/>
              </w:rPr>
              <w:t>Value when data is missing</w:t>
            </w:r>
          </w:p>
        </w:tc>
      </w:tr>
      <w:tr w:rsidR="002804CE">
        <w:trPr>
          <w:cantSplit/>
          <w:jc w:val="center"/>
        </w:trPr>
        <w:tc>
          <w:tcPr>
            <w:tcW w:w="2016" w:type="dxa"/>
          </w:tcPr>
          <w:p w:rsidR="002804CE" w:rsidRDefault="00D97399">
            <w:pPr>
              <w:spacing w:after="40" w:line="240" w:lineRule="auto"/>
              <w:jc w:val="left"/>
            </w:pPr>
            <w:r>
              <w:rPr>
                <w:rFonts w:cs="Times New Roman"/>
                <w:sz w:val="18"/>
              </w:rPr>
              <w:t>Savings rate</w:t>
            </w:r>
          </w:p>
        </w:tc>
        <w:tc>
          <w:tcPr>
            <w:tcW w:w="1008" w:type="dxa"/>
          </w:tcPr>
          <w:p w:rsidR="002804CE" w:rsidRDefault="00D97399">
            <w:pPr>
              <w:spacing w:after="40" w:line="240" w:lineRule="auto"/>
              <w:jc w:val="center"/>
            </w:pPr>
            <w:r>
              <w:rPr>
                <w:rFonts w:cs="Times New Roman"/>
                <w:sz w:val="18"/>
              </w:rPr>
              <w:t>0.30</w:t>
            </w:r>
          </w:p>
        </w:tc>
        <w:tc>
          <w:tcPr>
            <w:tcW w:w="3600" w:type="dxa"/>
          </w:tcPr>
          <w:p w:rsidR="002804CE" w:rsidRDefault="00D97399">
            <w:pPr>
              <w:spacing w:after="40" w:line="240" w:lineRule="auto"/>
              <w:jc w:val="left"/>
            </w:pPr>
            <w:r>
              <w:rPr>
                <w:rFonts w:cs="Times New Roman"/>
                <w:sz w:val="18"/>
              </w:rPr>
              <w:t>savings rate is 20 % of income or more</w:t>
            </w:r>
          </w:p>
        </w:tc>
        <w:tc>
          <w:tcPr>
            <w:tcW w:w="2592" w:type="dxa"/>
          </w:tcPr>
          <w:p w:rsidR="002804CE" w:rsidRDefault="00D97399">
            <w:pPr>
              <w:spacing w:after="40" w:line="240" w:lineRule="auto"/>
              <w:jc w:val="left"/>
            </w:pPr>
            <w:r>
              <w:rPr>
                <w:rFonts w:cs="Times New Roman"/>
                <w:sz w:val="18"/>
              </w:rPr>
              <w:t>0 if income is zero or the rate is negative</w:t>
            </w:r>
          </w:p>
        </w:tc>
      </w:tr>
      <w:tr w:rsidR="002804CE">
        <w:trPr>
          <w:cantSplit/>
          <w:jc w:val="center"/>
        </w:trPr>
        <w:tc>
          <w:tcPr>
            <w:tcW w:w="2016" w:type="dxa"/>
          </w:tcPr>
          <w:p w:rsidR="002804CE" w:rsidRDefault="00D97399">
            <w:pPr>
              <w:spacing w:after="40" w:line="240" w:lineRule="auto"/>
              <w:jc w:val="left"/>
            </w:pPr>
            <w:r>
              <w:rPr>
                <w:rFonts w:cs="Times New Roman"/>
                <w:sz w:val="18"/>
              </w:rPr>
              <w:t>Expense ratio</w:t>
            </w:r>
          </w:p>
        </w:tc>
        <w:tc>
          <w:tcPr>
            <w:tcW w:w="1008" w:type="dxa"/>
          </w:tcPr>
          <w:p w:rsidR="002804CE" w:rsidRDefault="00D97399">
            <w:pPr>
              <w:spacing w:after="40" w:line="240" w:lineRule="auto"/>
              <w:jc w:val="center"/>
            </w:pPr>
            <w:r>
              <w:rPr>
                <w:rFonts w:cs="Times New Roman"/>
                <w:sz w:val="18"/>
              </w:rPr>
              <w:t>0.20</w:t>
            </w:r>
          </w:p>
        </w:tc>
        <w:tc>
          <w:tcPr>
            <w:tcW w:w="3600" w:type="dxa"/>
          </w:tcPr>
          <w:p w:rsidR="002804CE" w:rsidRDefault="00D97399">
            <w:pPr>
              <w:spacing w:after="40" w:line="240" w:lineRule="auto"/>
              <w:jc w:val="left"/>
            </w:pPr>
            <w:r>
              <w:rPr>
                <w:rFonts w:cs="Times New Roman"/>
                <w:sz w:val="18"/>
              </w:rPr>
              <w:t>expenses are half of income or less</w:t>
            </w:r>
          </w:p>
        </w:tc>
        <w:tc>
          <w:tcPr>
            <w:tcW w:w="2592" w:type="dxa"/>
          </w:tcPr>
          <w:p w:rsidR="002804CE" w:rsidRDefault="00D97399">
            <w:pPr>
              <w:spacing w:after="40" w:line="240" w:lineRule="auto"/>
              <w:jc w:val="left"/>
            </w:pPr>
            <w:r>
              <w:rPr>
                <w:rFonts w:cs="Times New Roman"/>
                <w:sz w:val="18"/>
              </w:rPr>
              <w:t>0 if income is zero</w:t>
            </w:r>
          </w:p>
        </w:tc>
      </w:tr>
      <w:tr w:rsidR="002804CE">
        <w:trPr>
          <w:cantSplit/>
          <w:jc w:val="center"/>
        </w:trPr>
        <w:tc>
          <w:tcPr>
            <w:tcW w:w="2016" w:type="dxa"/>
          </w:tcPr>
          <w:p w:rsidR="002804CE" w:rsidRDefault="00D97399">
            <w:pPr>
              <w:spacing w:after="40" w:line="240" w:lineRule="auto"/>
              <w:jc w:val="left"/>
            </w:pPr>
            <w:r>
              <w:rPr>
                <w:rFonts w:cs="Times New Roman"/>
                <w:sz w:val="18"/>
              </w:rPr>
              <w:t>Budget adherence</w:t>
            </w:r>
          </w:p>
        </w:tc>
        <w:tc>
          <w:tcPr>
            <w:tcW w:w="1008" w:type="dxa"/>
          </w:tcPr>
          <w:p w:rsidR="002804CE" w:rsidRDefault="00D97399">
            <w:pPr>
              <w:spacing w:after="40" w:line="240" w:lineRule="auto"/>
              <w:jc w:val="center"/>
            </w:pPr>
            <w:r>
              <w:rPr>
                <w:rFonts w:cs="Times New Roman"/>
                <w:sz w:val="18"/>
              </w:rPr>
              <w:t>0.15</w:t>
            </w:r>
          </w:p>
        </w:tc>
        <w:tc>
          <w:tcPr>
            <w:tcW w:w="3600" w:type="dxa"/>
          </w:tcPr>
          <w:p w:rsidR="002804CE" w:rsidRDefault="00D97399">
            <w:pPr>
              <w:spacing w:after="40" w:line="240" w:lineRule="auto"/>
              <w:jc w:val="left"/>
            </w:pPr>
            <w:r>
              <w:rPr>
                <w:rFonts w:cs="Times New Roman"/>
                <w:sz w:val="18"/>
              </w:rPr>
              <w:t xml:space="preserve">all budgets </w:t>
            </w:r>
            <w:r>
              <w:rPr>
                <w:rFonts w:cs="Times New Roman"/>
                <w:sz w:val="18"/>
              </w:rPr>
              <w:t>are at or under 100 %</w:t>
            </w:r>
          </w:p>
        </w:tc>
        <w:tc>
          <w:tcPr>
            <w:tcW w:w="2592" w:type="dxa"/>
          </w:tcPr>
          <w:p w:rsidR="002804CE" w:rsidRDefault="00D97399">
            <w:pPr>
              <w:spacing w:after="40" w:line="240" w:lineRule="auto"/>
              <w:jc w:val="left"/>
            </w:pPr>
            <w:r>
              <w:rPr>
                <w:rFonts w:cs="Times New Roman"/>
                <w:sz w:val="18"/>
              </w:rPr>
              <w:t>50 if no budget is set</w:t>
            </w:r>
          </w:p>
        </w:tc>
      </w:tr>
      <w:tr w:rsidR="002804CE">
        <w:trPr>
          <w:cantSplit/>
          <w:jc w:val="center"/>
        </w:trPr>
        <w:tc>
          <w:tcPr>
            <w:tcW w:w="2016" w:type="dxa"/>
          </w:tcPr>
          <w:p w:rsidR="002804CE" w:rsidRDefault="00D97399">
            <w:pPr>
              <w:spacing w:after="40" w:line="240" w:lineRule="auto"/>
              <w:jc w:val="left"/>
            </w:pPr>
            <w:r>
              <w:rPr>
                <w:rFonts w:cs="Times New Roman"/>
                <w:sz w:val="18"/>
              </w:rPr>
              <w:t>Emergency fund</w:t>
            </w:r>
          </w:p>
        </w:tc>
        <w:tc>
          <w:tcPr>
            <w:tcW w:w="1008" w:type="dxa"/>
          </w:tcPr>
          <w:p w:rsidR="002804CE" w:rsidRDefault="00D97399">
            <w:pPr>
              <w:spacing w:after="40" w:line="240" w:lineRule="auto"/>
              <w:jc w:val="center"/>
            </w:pPr>
            <w:r>
              <w:rPr>
                <w:rFonts w:cs="Times New Roman"/>
                <w:sz w:val="18"/>
              </w:rPr>
              <w:t>0.15</w:t>
            </w:r>
          </w:p>
        </w:tc>
        <w:tc>
          <w:tcPr>
            <w:tcW w:w="3600" w:type="dxa"/>
          </w:tcPr>
          <w:p w:rsidR="002804CE" w:rsidRDefault="00D97399">
            <w:pPr>
              <w:spacing w:after="40" w:line="240" w:lineRule="auto"/>
              <w:jc w:val="left"/>
            </w:pPr>
            <w:r>
              <w:rPr>
                <w:rFonts w:cs="Times New Roman"/>
                <w:sz w:val="18"/>
              </w:rPr>
              <w:t>balance covers six months of expenses</w:t>
            </w:r>
          </w:p>
        </w:tc>
        <w:tc>
          <w:tcPr>
            <w:tcW w:w="2592" w:type="dxa"/>
          </w:tcPr>
          <w:p w:rsidR="002804CE" w:rsidRDefault="00D97399">
            <w:pPr>
              <w:spacing w:after="40" w:line="240" w:lineRule="auto"/>
              <w:jc w:val="left"/>
            </w:pPr>
            <w:r>
              <w:rPr>
                <w:rFonts w:cs="Times New Roman"/>
                <w:sz w:val="18"/>
              </w:rPr>
              <w:t>50 if there are no expenses</w:t>
            </w:r>
          </w:p>
        </w:tc>
      </w:tr>
      <w:tr w:rsidR="002804CE">
        <w:trPr>
          <w:cantSplit/>
          <w:jc w:val="center"/>
        </w:trPr>
        <w:tc>
          <w:tcPr>
            <w:tcW w:w="2016" w:type="dxa"/>
          </w:tcPr>
          <w:p w:rsidR="002804CE" w:rsidRDefault="00D97399">
            <w:pPr>
              <w:spacing w:after="40" w:line="240" w:lineRule="auto"/>
              <w:jc w:val="left"/>
            </w:pPr>
            <w:r>
              <w:rPr>
                <w:rFonts w:cs="Times New Roman"/>
                <w:sz w:val="18"/>
              </w:rPr>
              <w:t>Diversification</w:t>
            </w:r>
          </w:p>
        </w:tc>
        <w:tc>
          <w:tcPr>
            <w:tcW w:w="1008" w:type="dxa"/>
          </w:tcPr>
          <w:p w:rsidR="002804CE" w:rsidRDefault="00D97399">
            <w:pPr>
              <w:spacing w:after="40" w:line="240" w:lineRule="auto"/>
              <w:jc w:val="center"/>
            </w:pPr>
            <w:r>
              <w:rPr>
                <w:rFonts w:cs="Times New Roman"/>
                <w:sz w:val="18"/>
              </w:rPr>
              <w:t>0.10</w:t>
            </w:r>
          </w:p>
        </w:tc>
        <w:tc>
          <w:tcPr>
            <w:tcW w:w="3600" w:type="dxa"/>
          </w:tcPr>
          <w:p w:rsidR="002804CE" w:rsidRDefault="00D97399">
            <w:pPr>
              <w:spacing w:after="40" w:line="240" w:lineRule="auto"/>
              <w:jc w:val="left"/>
            </w:pPr>
            <w:r>
              <w:rPr>
                <w:rFonts w:cs="Times New Roman"/>
                <w:sz w:val="18"/>
              </w:rPr>
              <w:t>five or more distinct asset types</w:t>
            </w:r>
          </w:p>
        </w:tc>
        <w:tc>
          <w:tcPr>
            <w:tcW w:w="2592" w:type="dxa"/>
          </w:tcPr>
          <w:p w:rsidR="002804CE" w:rsidRDefault="00D97399">
            <w:pPr>
              <w:spacing w:after="40" w:line="240" w:lineRule="auto"/>
              <w:jc w:val="left"/>
            </w:pPr>
            <w:r>
              <w:rPr>
                <w:rFonts w:cs="Times New Roman"/>
                <w:sz w:val="18"/>
              </w:rPr>
              <w:t>0 if there are no holdings</w:t>
            </w:r>
          </w:p>
        </w:tc>
      </w:tr>
      <w:tr w:rsidR="002804CE">
        <w:trPr>
          <w:cantSplit/>
          <w:jc w:val="center"/>
        </w:trPr>
        <w:tc>
          <w:tcPr>
            <w:tcW w:w="2016" w:type="dxa"/>
          </w:tcPr>
          <w:p w:rsidR="002804CE" w:rsidRDefault="00D97399">
            <w:pPr>
              <w:spacing w:after="40" w:line="240" w:lineRule="auto"/>
              <w:jc w:val="left"/>
            </w:pPr>
            <w:r>
              <w:rPr>
                <w:rFonts w:cs="Times New Roman"/>
                <w:sz w:val="18"/>
              </w:rPr>
              <w:t>Goal progress</w:t>
            </w:r>
          </w:p>
        </w:tc>
        <w:tc>
          <w:tcPr>
            <w:tcW w:w="1008" w:type="dxa"/>
          </w:tcPr>
          <w:p w:rsidR="002804CE" w:rsidRDefault="00D97399">
            <w:pPr>
              <w:spacing w:after="40" w:line="240" w:lineRule="auto"/>
              <w:jc w:val="center"/>
            </w:pPr>
            <w:r>
              <w:rPr>
                <w:rFonts w:cs="Times New Roman"/>
                <w:sz w:val="18"/>
              </w:rPr>
              <w:t>0.10</w:t>
            </w:r>
          </w:p>
        </w:tc>
        <w:tc>
          <w:tcPr>
            <w:tcW w:w="3600" w:type="dxa"/>
          </w:tcPr>
          <w:p w:rsidR="002804CE" w:rsidRDefault="00D97399">
            <w:pPr>
              <w:spacing w:after="40" w:line="240" w:lineRule="auto"/>
              <w:jc w:val="left"/>
            </w:pPr>
            <w:r>
              <w:rPr>
                <w:rFonts w:cs="Times New Roman"/>
                <w:sz w:val="18"/>
              </w:rPr>
              <w:t xml:space="preserve">goals are on average </w:t>
            </w:r>
            <w:r>
              <w:rPr>
                <w:rFonts w:cs="Times New Roman"/>
                <w:sz w:val="18"/>
              </w:rPr>
              <w:t>complete</w:t>
            </w:r>
          </w:p>
        </w:tc>
        <w:tc>
          <w:tcPr>
            <w:tcW w:w="2592" w:type="dxa"/>
          </w:tcPr>
          <w:p w:rsidR="002804CE" w:rsidRDefault="00D97399">
            <w:pPr>
              <w:spacing w:after="40" w:line="240" w:lineRule="auto"/>
              <w:jc w:val="left"/>
            </w:pPr>
            <w:r>
              <w:rPr>
                <w:rFonts w:cs="Times New Roman"/>
                <w:sz w:val="18"/>
              </w:rPr>
              <w:t>50 if no goal is set</w:t>
            </w:r>
          </w:p>
        </w:tc>
      </w:tr>
    </w:tbl>
    <w:p w:rsidR="002804CE" w:rsidRDefault="002804CE">
      <w:pPr>
        <w:spacing w:line="192" w:lineRule="auto"/>
      </w:pPr>
    </w:p>
    <w:p w:rsidR="002804CE" w:rsidRDefault="00D97399">
      <w:r>
        <w:rPr>
          <w:rFonts w:cs="Times New Roman"/>
        </w:rPr>
        <w:t xml:space="preserve">The bands are Excellent from 90, Good from 75, Fair from 60, Needs Improvement from 40 and Critical below 40. The lowest component names the 'area to focus on' and supplies the sentence shown beside the score. The budget </w:t>
      </w:r>
      <w:r>
        <w:rPr>
          <w:rFonts w:cs="Times New Roman"/>
        </w:rPr>
        <w:t>status itself is computed as percent used = actual spend in the category and month divided by the budget, times 100; the alert thresholds act on that value.</w:t>
      </w:r>
    </w:p>
    <w:p w:rsidR="002804CE" w:rsidRDefault="00D97399">
      <w:pPr>
        <w:pStyle w:val="Heading3"/>
      </w:pPr>
      <w:r>
        <w:t>1.5.4 Assistant routing</w:t>
      </w:r>
    </w:p>
    <w:p w:rsidR="002804CE" w:rsidRDefault="00D97399">
      <w:r>
        <w:rPr>
          <w:rFonts w:cs="Times New Roman"/>
        </w:rPr>
        <w:t>The assistant is a cascade, not a model. A lowercased question goes to five</w:t>
      </w:r>
      <w:r>
        <w:rPr>
          <w:rFonts w:cs="Times New Roman"/>
        </w:rPr>
        <w:t xml:space="preserve"> handlers in order: 'can I save' (the word 'save' and a number), 'reduce expenses', 'health' or 'score', 'where ... spending', and a category name in the question. The first handler that returns text wins. If none does and an </w:t>
      </w:r>
      <w:r>
        <w:rPr>
          <w:rFonts w:ascii="Consolas" w:eastAsia="Consolas" w:hAnsi="Consolas" w:cs="Consolas"/>
          <w:sz w:val="21"/>
        </w:rPr>
        <w:t>AI_API_KEY</w:t>
      </w:r>
      <w:r>
        <w:rPr>
          <w:rFonts w:cs="Times New Roman"/>
        </w:rPr>
        <w:t xml:space="preserve"> is set, the questio</w:t>
      </w:r>
      <w:r>
        <w:rPr>
          <w:rFonts w:cs="Times New Roman"/>
        </w:rPr>
        <w:t>n and a summary of the user's figures go to a language model; otherwise the fixed help text is returned. Every answer carries the disclaimer.</w:t>
      </w:r>
    </w:p>
    <w:p w:rsidR="002804CE" w:rsidRDefault="00D97399">
      <w:pPr>
        <w:pStyle w:val="Heading2"/>
      </w:pPr>
      <w:r>
        <w:t>1.6 Model architecture and training</w:t>
      </w:r>
    </w:p>
    <w:p w:rsidR="002804CE" w:rsidRDefault="00D97399">
      <w:pPr>
        <w:keepNext/>
        <w:spacing w:after="80" w:line="240" w:lineRule="auto"/>
        <w:jc w:val="center"/>
      </w:pPr>
      <w:r>
        <w:rPr>
          <w:noProof/>
        </w:rPr>
        <w:drawing>
          <wp:inline distT="0" distB="0" distL="0" distR="0">
            <wp:extent cx="4754880" cy="29393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categoriser_pipeline.png"/>
                    <pic:cNvPicPr/>
                  </pic:nvPicPr>
                  <pic:blipFill>
                    <a:blip r:embed="rId10"/>
                    <a:stretch>
                      <a:fillRect/>
                    </a:stretch>
                  </pic:blipFill>
                  <pic:spPr>
                    <a:xfrm>
                      <a:off x="0" y="0"/>
                      <a:ext cx="4754880" cy="2939380"/>
                    </a:xfrm>
                    <a:prstGeom prst="rect">
                      <a:avLst/>
                    </a:prstGeom>
                  </pic:spPr>
                </pic:pic>
              </a:graphicData>
            </a:graphic>
          </wp:inline>
        </w:drawing>
      </w:r>
    </w:p>
    <w:p w:rsidR="002804CE" w:rsidRDefault="00D9739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Categoriser pipeline: description, TF-IDF</w:t>
      </w:r>
      <w:r>
        <w:rPr>
          <w:rFonts w:cs="Times New Roman"/>
        </w:rPr>
        <w:t>, logistic regression, label, optional correction and retraining.</w:t>
      </w:r>
    </w:p>
    <w:p w:rsidR="002804CE" w:rsidRDefault="00D97399">
      <w:r>
        <w:rPr>
          <w:rFonts w:cs="Times New Roman"/>
        </w:rPr>
        <w:lastRenderedPageBreak/>
        <w:t xml:space="preserve">The shipped categoriser is a scikit-learn </w:t>
      </w:r>
      <w:r>
        <w:rPr>
          <w:rFonts w:ascii="Consolas" w:eastAsia="Consolas" w:hAnsi="Consolas" w:cs="Consolas"/>
          <w:sz w:val="21"/>
        </w:rPr>
        <w:t>Pipeline</w:t>
      </w:r>
      <w:r>
        <w:rPr>
          <w:rFonts w:cs="Times New Roman"/>
        </w:rPr>
        <w:t xml:space="preserve"> of </w:t>
      </w:r>
      <w:r>
        <w:rPr>
          <w:rFonts w:ascii="Consolas" w:eastAsia="Consolas" w:hAnsi="Consolas" w:cs="Consolas"/>
          <w:sz w:val="21"/>
        </w:rPr>
        <w:t>tfidf</w:t>
      </w:r>
      <w:r>
        <w:rPr>
          <w:rFonts w:cs="Times New Roman"/>
        </w:rPr>
        <w:t xml:space="preserve"> (</w:t>
      </w:r>
      <w:r>
        <w:rPr>
          <w:rFonts w:ascii="Consolas" w:eastAsia="Consolas" w:hAnsi="Consolas" w:cs="Consolas"/>
          <w:sz w:val="21"/>
        </w:rPr>
        <w:t>TfidfVectorizer</w:t>
      </w:r>
      <w:r>
        <w:rPr>
          <w:rFonts w:cs="Times New Roman"/>
        </w:rPr>
        <w:t xml:space="preserve">) and </w:t>
      </w:r>
      <w:r>
        <w:rPr>
          <w:rFonts w:ascii="Consolas" w:eastAsia="Consolas" w:hAnsi="Consolas" w:cs="Consolas"/>
          <w:sz w:val="21"/>
        </w:rPr>
        <w:t>clf</w:t>
      </w:r>
      <w:r>
        <w:rPr>
          <w:rFonts w:cs="Times New Roman"/>
        </w:rPr>
        <w:t xml:space="preserve"> (</w:t>
      </w:r>
      <w:r>
        <w:rPr>
          <w:rFonts w:ascii="Consolas" w:eastAsia="Consolas" w:hAnsi="Consolas" w:cs="Consolas"/>
          <w:sz w:val="21"/>
        </w:rPr>
        <w:t>LogisticRegression</w:t>
      </w:r>
      <w:r>
        <w:rPr>
          <w:rFonts w:cs="Times New Roman"/>
        </w:rPr>
        <w:t xml:space="preserve">), fitted on the 51 seed pairs and pickled to </w:t>
      </w:r>
      <w:r>
        <w:rPr>
          <w:rFonts w:ascii="Consolas" w:eastAsia="Consolas" w:hAnsi="Consolas" w:cs="Consolas"/>
          <w:sz w:val="21"/>
        </w:rPr>
        <w:t>ml/expense_model.pkl</w:t>
      </w:r>
      <w:r>
        <w:rPr>
          <w:rFonts w:cs="Times New Roman"/>
        </w:rPr>
        <w:t>. Fitting takes 5.2</w:t>
      </w:r>
      <w:r>
        <w:rPr>
          <w:rFonts w:cs="Times New Roman"/>
        </w:rPr>
        <w:t xml:space="preserve"> ms and one prediction 0.84 ms in process (scikit-learn 1.9.1). If the pickle is missing the model is trained on first use; if it cannot be loaded the keyword table (38 keywords) is used, then 'Other'. The repository pickle was written by an older scikit-l</w:t>
      </w:r>
      <w:r>
        <w:rPr>
          <w:rFonts w:cs="Times New Roman"/>
        </w:rPr>
        <w:t xml:space="preserve">earn release and loads with an </w:t>
      </w:r>
      <w:r>
        <w:rPr>
          <w:rFonts w:ascii="Consolas" w:eastAsia="Consolas" w:hAnsi="Consolas" w:cs="Consolas"/>
          <w:sz w:val="21"/>
        </w:rPr>
        <w:t>InconsistentVersionWarning</w:t>
      </w:r>
      <w:r>
        <w:rPr>
          <w:rFonts w:cs="Times New Roman"/>
        </w:rPr>
        <w:t>; retraining removes it. There is no hyper-parameter search or cross-validation, because there is no validation data to drive them.</w:t>
      </w:r>
    </w:p>
    <w:p w:rsidR="002804CE" w:rsidRDefault="00D9739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Training configuration of the cate</w:t>
      </w:r>
      <w:r>
        <w:rPr>
          <w:rFonts w:cs="Times New Roman"/>
        </w:rPr>
        <w:t>goriser.</w:t>
      </w:r>
    </w:p>
    <w:tbl>
      <w:tblPr>
        <w:tblStyle w:val="TableGrid"/>
        <w:tblW w:w="0" w:type="auto"/>
        <w:jc w:val="center"/>
        <w:tblLook w:val="04A0" w:firstRow="1" w:lastRow="0" w:firstColumn="1" w:lastColumn="0" w:noHBand="0" w:noVBand="1"/>
      </w:tblPr>
      <w:tblGrid>
        <w:gridCol w:w="2221"/>
        <w:gridCol w:w="6661"/>
      </w:tblGrid>
      <w:tr w:rsidR="002804CE">
        <w:trPr>
          <w:cantSplit/>
          <w:tblHeader/>
          <w:jc w:val="center"/>
        </w:trPr>
        <w:tc>
          <w:tcPr>
            <w:tcW w:w="2304" w:type="dxa"/>
            <w:shd w:val="clear" w:color="auto" w:fill="1B2A41"/>
          </w:tcPr>
          <w:p w:rsidR="002804CE" w:rsidRDefault="00D97399">
            <w:pPr>
              <w:spacing w:after="40" w:line="240" w:lineRule="auto"/>
              <w:jc w:val="center"/>
            </w:pPr>
            <w:r>
              <w:rPr>
                <w:rFonts w:cs="Times New Roman"/>
                <w:b/>
                <w:color w:val="FFFFFF"/>
                <w:sz w:val="19"/>
              </w:rPr>
              <w:t>Item</w:t>
            </w:r>
          </w:p>
        </w:tc>
        <w:tc>
          <w:tcPr>
            <w:tcW w:w="6912" w:type="dxa"/>
            <w:shd w:val="clear" w:color="auto" w:fill="1B2A41"/>
          </w:tcPr>
          <w:p w:rsidR="002804CE" w:rsidRDefault="00D97399">
            <w:pPr>
              <w:spacing w:after="40" w:line="240" w:lineRule="auto"/>
              <w:jc w:val="center"/>
            </w:pPr>
            <w:r>
              <w:rPr>
                <w:rFonts w:cs="Times New Roman"/>
                <w:b/>
                <w:color w:val="FFFFFF"/>
                <w:sz w:val="19"/>
              </w:rPr>
              <w:t>Value</w:t>
            </w:r>
          </w:p>
        </w:tc>
      </w:tr>
      <w:tr w:rsidR="002804CE">
        <w:trPr>
          <w:cantSplit/>
          <w:jc w:val="center"/>
        </w:trPr>
        <w:tc>
          <w:tcPr>
            <w:tcW w:w="2304" w:type="dxa"/>
          </w:tcPr>
          <w:p w:rsidR="002804CE" w:rsidRDefault="00D97399">
            <w:pPr>
              <w:spacing w:after="40" w:line="240" w:lineRule="auto"/>
              <w:jc w:val="left"/>
            </w:pPr>
            <w:r>
              <w:rPr>
                <w:rFonts w:cs="Times New Roman"/>
                <w:sz w:val="19"/>
              </w:rPr>
              <w:t>Vectoriser</w:t>
            </w:r>
          </w:p>
        </w:tc>
        <w:tc>
          <w:tcPr>
            <w:tcW w:w="6912" w:type="dxa"/>
          </w:tcPr>
          <w:p w:rsidR="002804CE" w:rsidRDefault="00D97399">
            <w:pPr>
              <w:spacing w:after="40" w:line="240" w:lineRule="auto"/>
              <w:jc w:val="left"/>
            </w:pPr>
            <w:r>
              <w:rPr>
                <w:rFonts w:ascii="Consolas" w:eastAsia="Consolas" w:hAnsi="Consolas" w:cs="Consolas"/>
                <w:sz w:val="16"/>
              </w:rPr>
              <w:t>TfidfVectorizer(lowercase=True, ngram_range=(1, 2), min_df=1)</w:t>
            </w:r>
            <w:r>
              <w:rPr>
                <w:rFonts w:cs="Times New Roman"/>
                <w:sz w:val="19"/>
              </w:rPr>
              <w:t>; 131 terms on the seed</w:t>
            </w:r>
          </w:p>
        </w:tc>
      </w:tr>
      <w:tr w:rsidR="002804CE">
        <w:trPr>
          <w:cantSplit/>
          <w:jc w:val="center"/>
        </w:trPr>
        <w:tc>
          <w:tcPr>
            <w:tcW w:w="2304" w:type="dxa"/>
          </w:tcPr>
          <w:p w:rsidR="002804CE" w:rsidRDefault="00D97399">
            <w:pPr>
              <w:spacing w:after="40" w:line="240" w:lineRule="auto"/>
              <w:jc w:val="left"/>
            </w:pPr>
            <w:r>
              <w:rPr>
                <w:rFonts w:cs="Times New Roman"/>
                <w:sz w:val="19"/>
              </w:rPr>
              <w:t>Classifier</w:t>
            </w:r>
          </w:p>
        </w:tc>
        <w:tc>
          <w:tcPr>
            <w:tcW w:w="6912" w:type="dxa"/>
          </w:tcPr>
          <w:p w:rsidR="002804CE" w:rsidRDefault="00D97399">
            <w:pPr>
              <w:spacing w:after="40" w:line="240" w:lineRule="auto"/>
              <w:jc w:val="left"/>
            </w:pPr>
            <w:r>
              <w:rPr>
                <w:rFonts w:ascii="Consolas" w:eastAsia="Consolas" w:hAnsi="Consolas" w:cs="Consolas"/>
                <w:sz w:val="16"/>
              </w:rPr>
              <w:t>LogisticRegression(max_iter=1000)</w:t>
            </w:r>
            <w:r>
              <w:rPr>
                <w:rFonts w:cs="Times New Roman"/>
                <w:sz w:val="19"/>
              </w:rPr>
              <w:t>; default C = 1, lbfgs, multinomial</w:t>
            </w:r>
          </w:p>
        </w:tc>
      </w:tr>
      <w:tr w:rsidR="002804CE">
        <w:trPr>
          <w:cantSplit/>
          <w:jc w:val="center"/>
        </w:trPr>
        <w:tc>
          <w:tcPr>
            <w:tcW w:w="2304" w:type="dxa"/>
          </w:tcPr>
          <w:p w:rsidR="002804CE" w:rsidRDefault="00D97399">
            <w:pPr>
              <w:spacing w:after="40" w:line="240" w:lineRule="auto"/>
              <w:jc w:val="left"/>
            </w:pPr>
            <w:r>
              <w:rPr>
                <w:rFonts w:cs="Times New Roman"/>
                <w:sz w:val="19"/>
              </w:rPr>
              <w:t>Training data</w:t>
            </w:r>
          </w:p>
        </w:tc>
        <w:tc>
          <w:tcPr>
            <w:tcW w:w="6912" w:type="dxa"/>
          </w:tcPr>
          <w:p w:rsidR="002804CE" w:rsidRDefault="00D97399">
            <w:pPr>
              <w:spacing w:after="40" w:line="240" w:lineRule="auto"/>
              <w:jc w:val="left"/>
            </w:pPr>
            <w:r>
              <w:rPr>
                <w:rFonts w:cs="Times New Roman"/>
                <w:sz w:val="19"/>
              </w:rPr>
              <w:t xml:space="preserve">51 seed pairs; on a correction: seed + the </w:t>
            </w:r>
            <w:r>
              <w:rPr>
                <w:rFonts w:cs="Times New Roman"/>
                <w:sz w:val="19"/>
              </w:rPr>
              <w:t>user's whole history + the corrected pair</w:t>
            </w:r>
          </w:p>
        </w:tc>
      </w:tr>
      <w:tr w:rsidR="002804CE">
        <w:trPr>
          <w:cantSplit/>
          <w:jc w:val="center"/>
        </w:trPr>
        <w:tc>
          <w:tcPr>
            <w:tcW w:w="2304" w:type="dxa"/>
          </w:tcPr>
          <w:p w:rsidR="002804CE" w:rsidRDefault="00D97399">
            <w:pPr>
              <w:spacing w:after="40" w:line="240" w:lineRule="auto"/>
              <w:jc w:val="left"/>
            </w:pPr>
            <w:r>
              <w:rPr>
                <w:rFonts w:cs="Times New Roman"/>
                <w:sz w:val="19"/>
              </w:rPr>
              <w:t>Persistence</w:t>
            </w:r>
          </w:p>
        </w:tc>
        <w:tc>
          <w:tcPr>
            <w:tcW w:w="6912" w:type="dxa"/>
          </w:tcPr>
          <w:p w:rsidR="002804CE" w:rsidRDefault="00D97399">
            <w:pPr>
              <w:spacing w:after="40" w:line="240" w:lineRule="auto"/>
              <w:jc w:val="left"/>
            </w:pPr>
            <w:r>
              <w:rPr>
                <w:rFonts w:cs="Times New Roman"/>
                <w:sz w:val="19"/>
              </w:rPr>
              <w:t>One pickle file for all users (</w:t>
            </w:r>
            <w:r>
              <w:rPr>
                <w:rFonts w:ascii="Consolas" w:eastAsia="Consolas" w:hAnsi="Consolas" w:cs="Consolas"/>
                <w:sz w:val="16"/>
              </w:rPr>
              <w:t>ml/expense_model.pkl</w:t>
            </w:r>
            <w:r>
              <w:rPr>
                <w:rFonts w:cs="Times New Roman"/>
                <w:sz w:val="19"/>
              </w:rPr>
              <w:t>, ignored by git)</w:t>
            </w:r>
          </w:p>
        </w:tc>
      </w:tr>
      <w:tr w:rsidR="002804CE">
        <w:trPr>
          <w:cantSplit/>
          <w:jc w:val="center"/>
        </w:trPr>
        <w:tc>
          <w:tcPr>
            <w:tcW w:w="2304" w:type="dxa"/>
          </w:tcPr>
          <w:p w:rsidR="002804CE" w:rsidRDefault="00D97399">
            <w:pPr>
              <w:spacing w:after="40" w:line="240" w:lineRule="auto"/>
              <w:jc w:val="left"/>
            </w:pPr>
            <w:r>
              <w:rPr>
                <w:rFonts w:cs="Times New Roman"/>
                <w:sz w:val="19"/>
              </w:rPr>
              <w:t>Fallback</w:t>
            </w:r>
          </w:p>
        </w:tc>
        <w:tc>
          <w:tcPr>
            <w:tcW w:w="6912" w:type="dxa"/>
          </w:tcPr>
          <w:p w:rsidR="002804CE" w:rsidRDefault="00D97399">
            <w:pPr>
              <w:spacing w:after="40" w:line="240" w:lineRule="auto"/>
              <w:jc w:val="left"/>
            </w:pPr>
            <w:r>
              <w:rPr>
                <w:rFonts w:cs="Times New Roman"/>
                <w:sz w:val="19"/>
              </w:rPr>
              <w:t>Keyword table, then 'Other'; the model itself never outputs 'Other'</w:t>
            </w:r>
          </w:p>
        </w:tc>
      </w:tr>
      <w:tr w:rsidR="002804CE">
        <w:trPr>
          <w:cantSplit/>
          <w:jc w:val="center"/>
        </w:trPr>
        <w:tc>
          <w:tcPr>
            <w:tcW w:w="2304" w:type="dxa"/>
          </w:tcPr>
          <w:p w:rsidR="002804CE" w:rsidRDefault="00D97399">
            <w:pPr>
              <w:spacing w:after="40" w:line="240" w:lineRule="auto"/>
              <w:jc w:val="left"/>
            </w:pPr>
            <w:r>
              <w:rPr>
                <w:rFonts w:cs="Times New Roman"/>
                <w:sz w:val="19"/>
              </w:rPr>
              <w:t>Hardware</w:t>
            </w:r>
          </w:p>
        </w:tc>
        <w:tc>
          <w:tcPr>
            <w:tcW w:w="6912" w:type="dxa"/>
          </w:tcPr>
          <w:p w:rsidR="002804CE" w:rsidRDefault="00D97399">
            <w:pPr>
              <w:spacing w:after="40" w:line="240" w:lineRule="auto"/>
              <w:jc w:val="left"/>
            </w:pPr>
            <w:r>
              <w:rPr>
                <w:rFonts w:cs="Times New Roman"/>
                <w:sz w:val="19"/>
              </w:rPr>
              <w:t xml:space="preserve">Intel Core i5-12500, 15.7 GB RAM, no GPU </w:t>
            </w:r>
            <w:r>
              <w:rPr>
                <w:rFonts w:cs="Times New Roman"/>
                <w:sz w:val="19"/>
              </w:rPr>
              <w:t>used; Python 3.11.9</w:t>
            </w:r>
          </w:p>
        </w:tc>
      </w:tr>
    </w:tbl>
    <w:p w:rsidR="002804CE" w:rsidRDefault="002804CE">
      <w:pPr>
        <w:spacing w:line="192" w:lineRule="auto"/>
      </w:pPr>
    </w:p>
    <w:p w:rsidR="002804CE" w:rsidRDefault="00D97399">
      <w:r>
        <w:rPr>
          <w:rFonts w:cs="Times New Roman"/>
        </w:rPr>
        <w:t xml:space="preserve">The forecast and the health score have no training stage: each request fits a line with </w:t>
      </w:r>
      <w:r>
        <w:rPr>
          <w:rFonts w:ascii="Consolas" w:eastAsia="Consolas" w:hAnsi="Consolas" w:cs="Consolas"/>
          <w:sz w:val="21"/>
        </w:rPr>
        <w:t>numpy.polyfit</w:t>
      </w:r>
      <w:r>
        <w:rPr>
          <w:rFonts w:cs="Times New Roman"/>
        </w:rPr>
        <w:t xml:space="preserve"> (the demo account's six months give INR 39,471 against a recent three-month average of INR 36,592), and the weights are constants in</w:t>
      </w:r>
      <w:r>
        <w:rPr>
          <w:rFonts w:cs="Times New Roman"/>
        </w:rPr>
        <w:t xml:space="preserve"> </w:t>
      </w:r>
      <w:r>
        <w:rPr>
          <w:rFonts w:ascii="Consolas" w:eastAsia="Consolas" w:hAnsi="Consolas" w:cs="Consolas"/>
          <w:sz w:val="21"/>
        </w:rPr>
        <w:t>ml/financial_health.py</w:t>
      </w:r>
      <w:r>
        <w:rPr>
          <w:rFonts w:cs="Times New Roman"/>
        </w:rPr>
        <w:t>.</w:t>
      </w:r>
    </w:p>
    <w:p w:rsidR="002804CE" w:rsidRDefault="00D97399">
      <w:pPr>
        <w:keepNext/>
        <w:spacing w:after="80" w:line="240" w:lineRule="auto"/>
        <w:jc w:val="center"/>
      </w:pPr>
      <w:r>
        <w:rPr>
          <w:noProof/>
        </w:rPr>
        <w:drawing>
          <wp:inline distT="0" distB="0" distL="0" distR="0">
            <wp:extent cx="4754880" cy="31122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health_score_model.png"/>
                    <pic:cNvPicPr/>
                  </pic:nvPicPr>
                  <pic:blipFill>
                    <a:blip r:embed="rId11"/>
                    <a:stretch>
                      <a:fillRect/>
                    </a:stretch>
                  </pic:blipFill>
                  <pic:spPr>
                    <a:xfrm>
                      <a:off x="0" y="0"/>
                      <a:ext cx="4754880" cy="3112285"/>
                    </a:xfrm>
                    <a:prstGeom prst="rect">
                      <a:avLst/>
                    </a:prstGeom>
                  </pic:spPr>
                </pic:pic>
              </a:graphicData>
            </a:graphic>
          </wp:inline>
        </w:drawing>
      </w:r>
    </w:p>
    <w:p w:rsidR="002804CE" w:rsidRDefault="00D9739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Financial health score model: six weighted components, clipped sum, rating band.</w:t>
      </w:r>
    </w:p>
    <w:p w:rsidR="002804CE" w:rsidRDefault="00D97399">
      <w:pPr>
        <w:pStyle w:val="Heading2"/>
      </w:pPr>
      <w:r>
        <w:lastRenderedPageBreak/>
        <w:t>1.7 Evaluation protocol</w:t>
      </w:r>
    </w:p>
    <w:p w:rsidR="002804CE" w:rsidRDefault="00D97399">
      <w:r>
        <w:rPr>
          <w:rFonts w:cs="Times New Roman"/>
        </w:rPr>
        <w:t xml:space="preserve">Because the product has no benchmark data, the evaluation was designed for this project; </w:t>
      </w:r>
      <w:r>
        <w:rPr>
          <w:rFonts w:cs="Times New Roman"/>
        </w:rPr>
        <w:t>each design is stated so that the numbers in Chapter 8 can be read correctly.</w:t>
      </w:r>
    </w:p>
    <w:p w:rsidR="002804CE" w:rsidRDefault="00D97399">
      <w:pPr>
        <w:spacing w:after="60"/>
        <w:ind w:left="720" w:hanging="360"/>
      </w:pPr>
      <w:r>
        <w:rPr>
          <w:rFonts w:cs="Times New Roman"/>
        </w:rPr>
        <w:t xml:space="preserve">•  </w:t>
      </w:r>
      <w:r>
        <w:rPr>
          <w:rFonts w:cs="Times New Roman"/>
          <w:b/>
        </w:rPr>
        <w:t>Categoriser.</w:t>
      </w:r>
      <w:r>
        <w:rPr>
          <w:rFonts w:cs="Times New Roman"/>
        </w:rPr>
        <w:t xml:space="preserve"> Accuracy, macro-precision, macro-recall and macro-F1 on the 198-description probe set, reported overall and per tier; compared with the keyword table and with alw</w:t>
      </w:r>
      <w:r>
        <w:rPr>
          <w:rFonts w:cs="Times New Roman"/>
        </w:rPr>
        <w:t xml:space="preserve">ays predicting the most common label (Food). Additional tests: leave-one-out on the 51 seed pairs, accuracy on the 34-row sample file, a confidence-threshold curve, learning from corrections (random subsets of tier C added to the training data, 30 draws), </w:t>
      </w:r>
      <w:r>
        <w:rPr>
          <w:rFonts w:cs="Times New Roman"/>
        </w:rPr>
        <w:t>and a repeat-merchant test (one correction, then the same merchant written three other ways).</w:t>
      </w:r>
    </w:p>
    <w:p w:rsidR="002804CE" w:rsidRDefault="00D97399">
      <w:pPr>
        <w:spacing w:after="60"/>
        <w:ind w:left="720" w:hanging="360"/>
      </w:pPr>
      <w:r>
        <w:rPr>
          <w:rFonts w:cs="Times New Roman"/>
        </w:rPr>
        <w:t xml:space="preserve">•  </w:t>
      </w:r>
      <w:r>
        <w:rPr>
          <w:rFonts w:cs="Times New Roman"/>
          <w:b/>
        </w:rPr>
        <w:t>Forecast.</w:t>
      </w:r>
      <w:r>
        <w:rPr>
          <w:rFonts w:cs="Times New Roman"/>
        </w:rPr>
        <w:t xml:space="preserve"> A one-step-ahead rolling-origin backtest on the demo account's six monthly totals (three test points: months 4 to 6), comparing the line with the mea</w:t>
      </w:r>
      <w:r>
        <w:rPr>
          <w:rFonts w:cs="Times New Roman"/>
        </w:rPr>
        <w:t>n of all history, the mean of the last three months and the last value; plus a synthetic simulation of 2,000 users per setting with 12-month histories (level, linear drift, Gaussian noise and an occasional +50 % spike) to see how the methods behave with mo</w:t>
      </w:r>
      <w:r>
        <w:rPr>
          <w:rFonts w:cs="Times New Roman"/>
        </w:rPr>
        <w:t>re data. The simulation is not real data.</w:t>
      </w:r>
    </w:p>
    <w:p w:rsidR="002804CE" w:rsidRDefault="00D97399">
      <w:pPr>
        <w:spacing w:after="60"/>
        <w:ind w:left="720" w:hanging="360"/>
      </w:pPr>
      <w:r>
        <w:rPr>
          <w:rFonts w:cs="Times New Roman"/>
        </w:rPr>
        <w:t xml:space="preserve">•  </w:t>
      </w:r>
      <w:r>
        <w:rPr>
          <w:rFonts w:cs="Times New Roman"/>
          <w:b/>
        </w:rPr>
        <w:t>Health score.</w:t>
      </w:r>
      <w:r>
        <w:rPr>
          <w:rFonts w:cs="Times New Roman"/>
        </w:rPr>
        <w:t xml:space="preserve"> Sensitivity sweeps from a baseline profile (score 80.7) and 5,000 random profiles to check bounds, rating distribution and monotonicity.</w:t>
      </w:r>
    </w:p>
    <w:p w:rsidR="002804CE" w:rsidRDefault="00D97399">
      <w:pPr>
        <w:spacing w:after="60"/>
        <w:ind w:left="720" w:hanging="360"/>
      </w:pPr>
      <w:r>
        <w:rPr>
          <w:rFonts w:cs="Times New Roman"/>
        </w:rPr>
        <w:t xml:space="preserve">•  </w:t>
      </w:r>
      <w:r>
        <w:rPr>
          <w:rFonts w:cs="Times New Roman"/>
          <w:b/>
        </w:rPr>
        <w:t>Assistant.</w:t>
      </w:r>
      <w:r>
        <w:rPr>
          <w:rFonts w:cs="Times New Roman"/>
        </w:rPr>
        <w:t xml:space="preserve"> 26 questions written by the team (20 answerabl</w:t>
      </w:r>
      <w:r>
        <w:rPr>
          <w:rFonts w:cs="Times New Roman"/>
        </w:rPr>
        <w:t>e from the user's data, 6 off-topic), with two numeric checks against direct sums.</w:t>
      </w:r>
    </w:p>
    <w:p w:rsidR="002804CE" w:rsidRDefault="00D97399">
      <w:pPr>
        <w:spacing w:after="60"/>
        <w:ind w:left="720" w:hanging="360"/>
      </w:pPr>
      <w:r>
        <w:rPr>
          <w:rFonts w:cs="Times New Roman"/>
        </w:rPr>
        <w:t xml:space="preserve">•  </w:t>
      </w:r>
      <w:r>
        <w:rPr>
          <w:rFonts w:cs="Times New Roman"/>
          <w:b/>
        </w:rPr>
        <w:t>Import and API.</w:t>
      </w:r>
      <w:r>
        <w:rPr>
          <w:rFonts w:cs="Times New Roman"/>
        </w:rPr>
        <w:t xml:space="preserve"> A 1,000-row file with 84 injected bad rows; latency of each endpoint on 127.0.0.1 over 30 repetitions (10 for reports and import).</w:t>
      </w:r>
    </w:p>
    <w:p w:rsidR="002804CE" w:rsidRDefault="00D97399">
      <w:pPr>
        <w:spacing w:after="60"/>
        <w:ind w:left="720" w:hanging="360"/>
      </w:pPr>
      <w:r>
        <w:rPr>
          <w:rFonts w:cs="Times New Roman"/>
        </w:rPr>
        <w:t xml:space="preserve">•  </w:t>
      </w:r>
      <w:r>
        <w:rPr>
          <w:rFonts w:cs="Times New Roman"/>
          <w:b/>
        </w:rPr>
        <w:t>Testing.</w:t>
      </w:r>
      <w:r>
        <w:rPr>
          <w:rFonts w:cs="Times New Roman"/>
        </w:rPr>
        <w:t xml:space="preserve"> 38 pytest tests and a 49-check smoke script (Chapter 7).</w:t>
      </w:r>
    </w:p>
    <w:p w:rsidR="002804CE" w:rsidRDefault="00D97399">
      <w:r>
        <w:rPr>
          <w:rFonts w:cs="Times New Roman"/>
        </w:rPr>
        <w:t>Two limits apply. The probe set and the seed were written by the same team and the demo account is fictional, so no figure estimates performance on real users; and three test points cannot rank fore</w:t>
      </w:r>
      <w:r>
        <w:rPr>
          <w:rFonts w:cs="Times New Roman"/>
        </w:rPr>
        <w:t>casting methods, so the simulation is used to say more. Cross-validation and bootstrap estimators [23] were not applied to the categoriser because 51 examples in 11 classes leave too few per fold; leave-one-out is reported instead and is itself a warning.</w:t>
      </w:r>
    </w:p>
    <w:p w:rsidR="002804CE" w:rsidRDefault="00D97399">
      <w:pPr>
        <w:keepNext/>
        <w:spacing w:after="80" w:line="240" w:lineRule="auto"/>
        <w:jc w:val="center"/>
      </w:pPr>
      <w:r>
        <w:rPr>
          <w:noProof/>
        </w:rPr>
        <w:lastRenderedPageBreak/>
        <w:drawing>
          <wp:inline distT="0" distB="0" distL="0" distR="0">
            <wp:extent cx="5303520" cy="32785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categoriser_pipeline.png"/>
                    <pic:cNvPicPr/>
                  </pic:nvPicPr>
                  <pic:blipFill>
                    <a:blip r:embed="rId10"/>
                    <a:stretch>
                      <a:fillRect/>
                    </a:stretch>
                  </pic:blipFill>
                  <pic:spPr>
                    <a:xfrm>
                      <a:off x="0" y="0"/>
                      <a:ext cx="5303520" cy="3278540"/>
                    </a:xfrm>
                    <a:prstGeom prst="rect">
                      <a:avLst/>
                    </a:prstGeom>
                  </pic:spPr>
                </pic:pic>
              </a:graphicData>
            </a:graphic>
          </wp:inline>
        </w:drawing>
      </w:r>
    </w:p>
    <w:p w:rsidR="002804CE" w:rsidRDefault="00D9739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Categoriser pipeline of FINJARVIS: TF-IDF, logistic regression, keyword fallback and learning from corrections.</w:t>
      </w:r>
    </w:p>
    <w:p w:rsidR="002804CE" w:rsidRDefault="00D97399">
      <w:pPr>
        <w:keepNext/>
        <w:spacing w:after="80" w:line="240" w:lineRule="auto"/>
        <w:jc w:val="center"/>
      </w:pPr>
      <w:r>
        <w:rPr>
          <w:noProof/>
        </w:rPr>
        <w:drawing>
          <wp:inline distT="0" distB="0" distL="0" distR="0">
            <wp:extent cx="4937760" cy="32319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health_score_model.png"/>
                    <pic:cNvPicPr/>
                  </pic:nvPicPr>
                  <pic:blipFill>
                    <a:blip r:embed="rId11"/>
                    <a:stretch>
                      <a:fillRect/>
                    </a:stretch>
                  </pic:blipFill>
                  <pic:spPr>
                    <a:xfrm>
                      <a:off x="0" y="0"/>
                      <a:ext cx="4937760" cy="3231988"/>
                    </a:xfrm>
                    <a:prstGeom prst="rect">
                      <a:avLst/>
                    </a:prstGeom>
                  </pic:spPr>
                </pic:pic>
              </a:graphicData>
            </a:graphic>
          </wp:inline>
        </w:drawing>
      </w:r>
    </w:p>
    <w:p w:rsidR="002804CE" w:rsidRDefault="00D9739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Structure of the six-component financial health score.</w:t>
      </w:r>
    </w:p>
    <w:p w:rsidR="002804CE" w:rsidRDefault="00D97399">
      <w:pPr>
        <w:keepNext/>
        <w:spacing w:after="80" w:line="240" w:lineRule="auto"/>
        <w:jc w:val="center"/>
      </w:pPr>
      <w:r>
        <w:rPr>
          <w:noProof/>
        </w:rPr>
        <w:lastRenderedPageBreak/>
        <w:drawing>
          <wp:inline distT="0" distB="0" distL="0" distR="0">
            <wp:extent cx="4754880" cy="46684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algorithm.png"/>
                    <pic:cNvPicPr/>
                  </pic:nvPicPr>
                  <pic:blipFill>
                    <a:blip r:embed="rId8"/>
                    <a:stretch>
                      <a:fillRect/>
                    </a:stretch>
                  </pic:blipFill>
                  <pic:spPr>
                    <a:xfrm>
                      <a:off x="0" y="0"/>
                      <a:ext cx="4754880" cy="4668428"/>
                    </a:xfrm>
                    <a:prstGeom prst="rect">
                      <a:avLst/>
                    </a:prstGeom>
                  </pic:spPr>
                </pic:pic>
              </a:graphicData>
            </a:graphic>
          </wp:inline>
        </w:drawing>
      </w:r>
    </w:p>
    <w:p w:rsidR="002804CE" w:rsidRDefault="00D9739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Flowchart of the core algorithm: adding a transaction, auto-categorising it and raising budget alerts.</w:t>
      </w:r>
    </w:p>
    <w:p w:rsidR="002804CE" w:rsidRDefault="00D97399">
      <w:pPr>
        <w:pStyle w:val="Heading1"/>
        <w:pageBreakBefore/>
      </w:pPr>
      <w:r>
        <w:lastRenderedPageBreak/>
        <w:t>2. NOVELTY AGAINST THE BASE PAPER</w:t>
      </w:r>
    </w:p>
    <w:p w:rsidR="002804CE" w:rsidRDefault="00D97399">
      <w:pPr>
        <w:pStyle w:val="Heading2"/>
      </w:pPr>
      <w:r>
        <w:t>2.1 What the base paper contributes</w:t>
      </w:r>
    </w:p>
    <w:p w:rsidR="002804CE" w:rsidRDefault="00D97399">
      <w:r>
        <w:rPr>
          <w:rFonts w:cs="Times New Roman"/>
        </w:rPr>
        <w:t>The registered base paper [1] describes a Smart Persona</w:t>
      </w:r>
      <w:r>
        <w:rPr>
          <w:rFonts w:cs="Times New Roman"/>
        </w:rPr>
        <w:t>l Finance Assistant built from four separately trained models: a fine-tuned BERT classifier that sorts transactions into 50 expense categories (with SMOTE to balance classes), a Q-learning agent that recommends a budget, an LSTM that forecasts savings, and</w:t>
      </w:r>
      <w:r>
        <w:rPr>
          <w:rFonts w:cs="Times New Roman"/>
        </w:rPr>
        <w:t xml:space="preserve"> an Isolation Forest that flags anomalous transactions. It reports an accuracy of 92.3 percent, precision 90.8 percent, recall 91.5 percent and F1 91.1 percent for the classifier, RMSE 137.2, MAE 89.5 and R2 0.63 for the forecaster, and precision 0.93, rec</w:t>
      </w:r>
      <w:r>
        <w:rPr>
          <w:rFonts w:cs="Times New Roman"/>
        </w:rPr>
        <w:t>all 0.94 and F1 0.94 for the anomaly detector. The data are synthetic or private and are not released, and the paper's interface is a Streamlit prototype.</w:t>
      </w:r>
    </w:p>
    <w:p w:rsidR="002804CE" w:rsidRDefault="00D97399">
      <w:pPr>
        <w:pStyle w:val="Heading2"/>
      </w:pPr>
      <w:r>
        <w:t>2.2 What this project does differently</w:t>
      </w:r>
    </w:p>
    <w:p w:rsidR="002804CE" w:rsidRDefault="00D97399">
      <w:r>
        <w:rPr>
          <w:rFonts w:cs="Times New Roman"/>
        </w:rPr>
        <w:t>FINJARVIS does not try to match those four models. It is delib</w:t>
      </w:r>
      <w:r>
        <w:rPr>
          <w:rFonts w:cs="Times New Roman"/>
        </w:rPr>
        <w:t>erately a smaller system, and it differs from the base paper in the following ways.</w:t>
      </w:r>
    </w:p>
    <w:p w:rsidR="002804CE" w:rsidRDefault="00D97399">
      <w:pPr>
        <w:spacing w:after="60"/>
        <w:ind w:left="720" w:hanging="360"/>
      </w:pPr>
      <w:r>
        <w:rPr>
          <w:rFonts w:cs="Times New Roman"/>
        </w:rPr>
        <w:t xml:space="preserve">•  </w:t>
      </w:r>
      <w:r>
        <w:rPr>
          <w:rFonts w:cs="Times New Roman"/>
          <w:b/>
        </w:rPr>
        <w:t>A complete, runnable web platform.</w:t>
      </w:r>
      <w:r>
        <w:rPr>
          <w:rFonts w:cs="Times New Roman"/>
        </w:rPr>
        <w:t xml:space="preserve"> A person can sign up, log in, import a statement, see a dashboard, set budgets and goals, ask questions and download reports. The base</w:t>
      </w:r>
      <w:r>
        <w:rPr>
          <w:rFonts w:cs="Times New Roman"/>
        </w:rPr>
        <w:t xml:space="preserve"> paper describes models and a prototype interface; this project delivers the application around the models.</w:t>
      </w:r>
    </w:p>
    <w:p w:rsidR="002804CE" w:rsidRDefault="00D97399">
      <w:pPr>
        <w:spacing w:after="60"/>
        <w:ind w:left="720" w:hanging="360"/>
      </w:pPr>
      <w:r>
        <w:rPr>
          <w:rFonts w:cs="Times New Roman"/>
        </w:rPr>
        <w:t xml:space="preserve">•  </w:t>
      </w:r>
      <w:r>
        <w:rPr>
          <w:rFonts w:cs="Times New Roman"/>
          <w:b/>
        </w:rPr>
        <w:t>Every module is simple enough to inspect.</w:t>
      </w:r>
      <w:r>
        <w:rPr>
          <w:rFonts w:cs="Times New Roman"/>
        </w:rPr>
        <w:t xml:space="preserve"> The categoriser is TF-IDF with logistic regression, the forecast is a least-squares line, the health sc</w:t>
      </w:r>
      <w:r>
        <w:rPr>
          <w:rFonts w:cs="Times New Roman"/>
        </w:rPr>
        <w:t>ore is six weighted sub-scores. Each can be explained in a sentence and reproduced with the code in the repository, at no licence or GPU cost.</w:t>
      </w:r>
    </w:p>
    <w:p w:rsidR="002804CE" w:rsidRDefault="00D97399">
      <w:pPr>
        <w:spacing w:after="60"/>
        <w:ind w:left="720" w:hanging="360"/>
      </w:pPr>
      <w:r>
        <w:rPr>
          <w:rFonts w:cs="Times New Roman"/>
        </w:rPr>
        <w:t xml:space="preserve">•  </w:t>
      </w:r>
      <w:r>
        <w:rPr>
          <w:rFonts w:cs="Times New Roman"/>
          <w:b/>
        </w:rPr>
        <w:t>An explainable financial health score.</w:t>
      </w:r>
      <w:r>
        <w:rPr>
          <w:rFonts w:cs="Times New Roman"/>
        </w:rPr>
        <w:t xml:space="preserve"> Six components with published weights (0.30, 0.20, 0.15, 0.15, 0.10, 0.</w:t>
      </w:r>
      <w:r>
        <w:rPr>
          <w:rFonts w:cs="Times New Roman"/>
        </w:rPr>
        <w:t>10) add up to a 0-100 score, and the screen shows the weakest component and a reason. The base paper has no equivalent summary measure.</w:t>
      </w:r>
    </w:p>
    <w:p w:rsidR="002804CE" w:rsidRDefault="00D97399">
      <w:pPr>
        <w:spacing w:after="60"/>
        <w:ind w:left="720" w:hanging="360"/>
      </w:pPr>
      <w:r>
        <w:rPr>
          <w:rFonts w:cs="Times New Roman"/>
        </w:rPr>
        <w:t xml:space="preserve">•  </w:t>
      </w:r>
      <w:r>
        <w:rPr>
          <w:rFonts w:cs="Times New Roman"/>
          <w:b/>
        </w:rPr>
        <w:t>Learning from the user's corrections.</w:t>
      </w:r>
      <w:r>
        <w:rPr>
          <w:rFonts w:cs="Times New Roman"/>
        </w:rPr>
        <w:t xml:space="preserve"> When a manual category differs from the model's prediction, the model is retrai</w:t>
      </w:r>
      <w:r>
        <w:rPr>
          <w:rFonts w:cs="Times New Roman"/>
        </w:rPr>
        <w:t>ned with the user's history and the correction. The measurement shows that this fixes repeat merchants completely and new merchants hardly at all.</w:t>
      </w:r>
    </w:p>
    <w:p w:rsidR="002804CE" w:rsidRDefault="00D97399">
      <w:pPr>
        <w:spacing w:after="60"/>
        <w:ind w:left="720" w:hanging="360"/>
      </w:pPr>
      <w:r>
        <w:rPr>
          <w:rFonts w:cs="Times New Roman"/>
        </w:rPr>
        <w:lastRenderedPageBreak/>
        <w:t xml:space="preserve">•  </w:t>
      </w:r>
      <w:r>
        <w:rPr>
          <w:rFonts w:cs="Times New Roman"/>
          <w:b/>
        </w:rPr>
        <w:t>An assistant grounded in the user's own data.</w:t>
      </w:r>
      <w:r>
        <w:rPr>
          <w:rFonts w:cs="Times New Roman"/>
        </w:rPr>
        <w:t xml:space="preserve"> Questions are routed to five analytics handlers that compute</w:t>
      </w:r>
      <w:r>
        <w:rPr>
          <w:rFonts w:cs="Times New Roman"/>
        </w:rPr>
        <w:t xml:space="preserve"> the answer from the user's transactions; an optional language-model layer is used only when a key is configured. Answers carry a disclaimer, and off-topic questions are declined.</w:t>
      </w:r>
    </w:p>
    <w:p w:rsidR="002804CE" w:rsidRDefault="00D97399">
      <w:pPr>
        <w:spacing w:after="60"/>
        <w:ind w:left="720" w:hanging="360"/>
      </w:pPr>
      <w:r>
        <w:rPr>
          <w:rFonts w:cs="Times New Roman"/>
        </w:rPr>
        <w:t xml:space="preserve">•  </w:t>
      </w:r>
      <w:r>
        <w:rPr>
          <w:rFonts w:cs="Times New Roman"/>
          <w:b/>
        </w:rPr>
        <w:t>Measured failure modes.</w:t>
      </w:r>
      <w:r>
        <w:rPr>
          <w:rFonts w:cs="Times New Roman"/>
        </w:rPr>
        <w:t xml:space="preserve"> The categoriser, the forecast, the health score, </w:t>
      </w:r>
      <w:r>
        <w:rPr>
          <w:rFonts w:cs="Times New Roman"/>
        </w:rPr>
        <w:t>the assistant and the import pipeline were each measured on inputs the team wrote or simulated, and the places where they fail are reported rather than hidden.</w:t>
      </w:r>
    </w:p>
    <w:p w:rsidR="002804CE" w:rsidRDefault="00D97399">
      <w:pPr>
        <w:pStyle w:val="Heading2"/>
      </w:pPr>
      <w:r>
        <w:t>2.3 What is not new, and what is missing</w:t>
      </w:r>
    </w:p>
    <w:p w:rsidR="002804CE" w:rsidRDefault="00D97399">
      <w:r>
        <w:rPr>
          <w:rFonts w:cs="Times New Roman"/>
        </w:rPr>
        <w:t>Nothing in the models is new. TF-IDF weighting [15], lo</w:t>
      </w:r>
      <w:r>
        <w:rPr>
          <w:rFonts w:cs="Times New Roman"/>
        </w:rPr>
        <w:t>gistic regression and a linear trend are standard tools, and the evaluation here is not comparable with the base paper's. The categoriser reaches 71.7 percent on a 198-description probe set the team wrote, against 92.3 percent reported for BERT on a differ</w:t>
      </w:r>
      <w:r>
        <w:rPr>
          <w:rFonts w:cs="Times New Roman"/>
        </w:rPr>
        <w:t>ent, larger data set with 50 classes. The forecast covers expenses only, and the base paper's savings forecast, reinforcement-learning budget recommender and anomaly detector are not implemented. The batch abstract also names Flask and MySQL; the system wa</w:t>
      </w:r>
      <w:r>
        <w:rPr>
          <w:rFonts w:cs="Times New Roman"/>
        </w:rPr>
        <w:t>s built with FastAPI and SQLite, and the abstract's loan tracking and scheduled digests are not implemented.</w:t>
      </w:r>
    </w:p>
    <w:p w:rsidR="002804CE" w:rsidRDefault="00D9739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Base paper modules against this project</w:t>
      </w:r>
    </w:p>
    <w:tbl>
      <w:tblPr>
        <w:tblStyle w:val="TableGrid"/>
        <w:tblW w:w="0" w:type="auto"/>
        <w:jc w:val="center"/>
        <w:tblLook w:val="04A0" w:firstRow="1" w:lastRow="0" w:firstColumn="1" w:lastColumn="0" w:noHBand="0" w:noVBand="1"/>
      </w:tblPr>
      <w:tblGrid>
        <w:gridCol w:w="2089"/>
        <w:gridCol w:w="2955"/>
        <w:gridCol w:w="3838"/>
      </w:tblGrid>
      <w:tr w:rsidR="002804CE">
        <w:trPr>
          <w:cantSplit/>
          <w:tblHeader/>
          <w:jc w:val="center"/>
        </w:trPr>
        <w:tc>
          <w:tcPr>
            <w:tcW w:w="2160" w:type="dxa"/>
            <w:shd w:val="clear" w:color="auto" w:fill="1B2A41"/>
          </w:tcPr>
          <w:p w:rsidR="002804CE" w:rsidRDefault="00D97399">
            <w:pPr>
              <w:spacing w:after="40" w:line="240" w:lineRule="auto"/>
              <w:jc w:val="center"/>
            </w:pPr>
            <w:r>
              <w:rPr>
                <w:rFonts w:cs="Times New Roman"/>
                <w:b/>
                <w:color w:val="FFFFFF"/>
                <w:sz w:val="20"/>
              </w:rPr>
              <w:t>Base paper module</w:t>
            </w:r>
          </w:p>
        </w:tc>
        <w:tc>
          <w:tcPr>
            <w:tcW w:w="3168" w:type="dxa"/>
            <w:shd w:val="clear" w:color="auto" w:fill="1B2A41"/>
          </w:tcPr>
          <w:p w:rsidR="002804CE" w:rsidRDefault="00D97399">
            <w:pPr>
              <w:spacing w:after="40" w:line="240" w:lineRule="auto"/>
              <w:jc w:val="center"/>
            </w:pPr>
            <w:r>
              <w:rPr>
                <w:rFonts w:cs="Times New Roman"/>
                <w:b/>
                <w:color w:val="FFFFFF"/>
                <w:sz w:val="20"/>
              </w:rPr>
              <w:t>Technique in the base paper</w:t>
            </w:r>
          </w:p>
        </w:tc>
        <w:tc>
          <w:tcPr>
            <w:tcW w:w="4176" w:type="dxa"/>
            <w:shd w:val="clear" w:color="auto" w:fill="1B2A41"/>
          </w:tcPr>
          <w:p w:rsidR="002804CE" w:rsidRDefault="00D97399">
            <w:pPr>
              <w:spacing w:after="40" w:line="240" w:lineRule="auto"/>
              <w:jc w:val="center"/>
            </w:pPr>
            <w:r>
              <w:rPr>
                <w:rFonts w:cs="Times New Roman"/>
                <w:b/>
                <w:color w:val="FFFFFF"/>
                <w:sz w:val="20"/>
              </w:rPr>
              <w:t>In FINJARVIS</w:t>
            </w:r>
          </w:p>
        </w:tc>
      </w:tr>
      <w:tr w:rsidR="002804CE">
        <w:trPr>
          <w:cantSplit/>
          <w:jc w:val="center"/>
        </w:trPr>
        <w:tc>
          <w:tcPr>
            <w:tcW w:w="2160" w:type="dxa"/>
          </w:tcPr>
          <w:p w:rsidR="002804CE" w:rsidRDefault="00D97399">
            <w:pPr>
              <w:spacing w:after="40" w:line="240" w:lineRule="auto"/>
              <w:jc w:val="left"/>
            </w:pPr>
            <w:r>
              <w:rPr>
                <w:rFonts w:cs="Times New Roman"/>
                <w:sz w:val="20"/>
              </w:rPr>
              <w:t xml:space="preserve">Expense </w:t>
            </w:r>
            <w:r>
              <w:rPr>
                <w:rFonts w:cs="Times New Roman"/>
                <w:sz w:val="20"/>
              </w:rPr>
              <w:t>categorisation</w:t>
            </w:r>
          </w:p>
        </w:tc>
        <w:tc>
          <w:tcPr>
            <w:tcW w:w="3168" w:type="dxa"/>
          </w:tcPr>
          <w:p w:rsidR="002804CE" w:rsidRDefault="00D97399">
            <w:pPr>
              <w:spacing w:after="40" w:line="240" w:lineRule="auto"/>
              <w:jc w:val="left"/>
            </w:pPr>
            <w:r>
              <w:rPr>
                <w:rFonts w:cs="Times New Roman"/>
                <w:sz w:val="20"/>
              </w:rPr>
              <w:t>Fine-tuned BERT, 50 categories, SMOTE</w:t>
            </w:r>
          </w:p>
        </w:tc>
        <w:tc>
          <w:tcPr>
            <w:tcW w:w="4176" w:type="dxa"/>
          </w:tcPr>
          <w:p w:rsidR="002804CE" w:rsidRDefault="00D97399">
            <w:pPr>
              <w:spacing w:after="40" w:line="240" w:lineRule="auto"/>
              <w:jc w:val="left"/>
            </w:pPr>
            <w:r>
              <w:rPr>
                <w:rFonts w:cs="Times New Roman"/>
                <w:sz w:val="20"/>
              </w:rPr>
              <w:t>TF-IDF + logistic regression, 11 categories + Other, 51 seed examples, retrains on corrections</w:t>
            </w:r>
          </w:p>
        </w:tc>
      </w:tr>
      <w:tr w:rsidR="002804CE">
        <w:trPr>
          <w:cantSplit/>
          <w:jc w:val="center"/>
        </w:trPr>
        <w:tc>
          <w:tcPr>
            <w:tcW w:w="2160" w:type="dxa"/>
          </w:tcPr>
          <w:p w:rsidR="002804CE" w:rsidRDefault="00D97399">
            <w:pPr>
              <w:spacing w:after="40" w:line="240" w:lineRule="auto"/>
              <w:jc w:val="left"/>
            </w:pPr>
            <w:r>
              <w:rPr>
                <w:rFonts w:cs="Times New Roman"/>
                <w:sz w:val="20"/>
              </w:rPr>
              <w:t>Budget recommendation</w:t>
            </w:r>
          </w:p>
        </w:tc>
        <w:tc>
          <w:tcPr>
            <w:tcW w:w="3168" w:type="dxa"/>
          </w:tcPr>
          <w:p w:rsidR="002804CE" w:rsidRDefault="00D97399">
            <w:pPr>
              <w:spacing w:after="40" w:line="240" w:lineRule="auto"/>
              <w:jc w:val="left"/>
            </w:pPr>
            <w:r>
              <w:rPr>
                <w:rFonts w:cs="Times New Roman"/>
                <w:sz w:val="20"/>
              </w:rPr>
              <w:t>Q-learning agent</w:t>
            </w:r>
          </w:p>
        </w:tc>
        <w:tc>
          <w:tcPr>
            <w:tcW w:w="4176" w:type="dxa"/>
          </w:tcPr>
          <w:p w:rsidR="002804CE" w:rsidRDefault="00D97399">
            <w:pPr>
              <w:spacing w:after="40" w:line="240" w:lineRule="auto"/>
              <w:jc w:val="left"/>
            </w:pPr>
            <w:r>
              <w:rPr>
                <w:rFonts w:cs="Times New Roman"/>
                <w:sz w:val="20"/>
              </w:rPr>
              <w:t>Not implemented: budgets are set by the user; alerts at 75, 90 and 1</w:t>
            </w:r>
            <w:r>
              <w:rPr>
                <w:rFonts w:cs="Times New Roman"/>
                <w:sz w:val="20"/>
              </w:rPr>
              <w:t>00 percent; rule-based trimming advice</w:t>
            </w:r>
          </w:p>
        </w:tc>
      </w:tr>
      <w:tr w:rsidR="002804CE">
        <w:trPr>
          <w:cantSplit/>
          <w:jc w:val="center"/>
        </w:trPr>
        <w:tc>
          <w:tcPr>
            <w:tcW w:w="2160" w:type="dxa"/>
          </w:tcPr>
          <w:p w:rsidR="002804CE" w:rsidRDefault="00D97399">
            <w:pPr>
              <w:spacing w:after="40" w:line="240" w:lineRule="auto"/>
              <w:jc w:val="left"/>
            </w:pPr>
            <w:r>
              <w:rPr>
                <w:rFonts w:cs="Times New Roman"/>
                <w:sz w:val="20"/>
              </w:rPr>
              <w:t>Savings forecasting</w:t>
            </w:r>
          </w:p>
        </w:tc>
        <w:tc>
          <w:tcPr>
            <w:tcW w:w="3168" w:type="dxa"/>
          </w:tcPr>
          <w:p w:rsidR="002804CE" w:rsidRDefault="00D97399">
            <w:pPr>
              <w:spacing w:after="40" w:line="240" w:lineRule="auto"/>
              <w:jc w:val="left"/>
            </w:pPr>
            <w:r>
              <w:rPr>
                <w:rFonts w:cs="Times New Roman"/>
                <w:sz w:val="20"/>
              </w:rPr>
              <w:t>LSTM on a synthetic series</w:t>
            </w:r>
          </w:p>
        </w:tc>
        <w:tc>
          <w:tcPr>
            <w:tcW w:w="4176" w:type="dxa"/>
          </w:tcPr>
          <w:p w:rsidR="002804CE" w:rsidRDefault="00D97399">
            <w:pPr>
              <w:spacing w:after="40" w:line="240" w:lineRule="auto"/>
              <w:jc w:val="left"/>
            </w:pPr>
            <w:r>
              <w:rPr>
                <w:rFonts w:cs="Times New Roman"/>
                <w:sz w:val="20"/>
              </w:rPr>
              <w:t>Least-squares line over monthly expense totals (expenses, not savings); refuses with fewer than 3 months</w:t>
            </w:r>
          </w:p>
        </w:tc>
      </w:tr>
      <w:tr w:rsidR="002804CE">
        <w:trPr>
          <w:cantSplit/>
          <w:jc w:val="center"/>
        </w:trPr>
        <w:tc>
          <w:tcPr>
            <w:tcW w:w="2160" w:type="dxa"/>
          </w:tcPr>
          <w:p w:rsidR="002804CE" w:rsidRDefault="00D97399">
            <w:pPr>
              <w:spacing w:after="40" w:line="240" w:lineRule="auto"/>
              <w:jc w:val="left"/>
            </w:pPr>
            <w:r>
              <w:rPr>
                <w:rFonts w:cs="Times New Roman"/>
                <w:sz w:val="20"/>
              </w:rPr>
              <w:t>Anomaly detection</w:t>
            </w:r>
          </w:p>
        </w:tc>
        <w:tc>
          <w:tcPr>
            <w:tcW w:w="3168" w:type="dxa"/>
          </w:tcPr>
          <w:p w:rsidR="002804CE" w:rsidRDefault="00D97399">
            <w:pPr>
              <w:spacing w:after="40" w:line="240" w:lineRule="auto"/>
              <w:jc w:val="left"/>
            </w:pPr>
            <w:r>
              <w:rPr>
                <w:rFonts w:cs="Times New Roman"/>
                <w:sz w:val="20"/>
              </w:rPr>
              <w:t>Isolation Forest, contamination 0.015</w:t>
            </w:r>
          </w:p>
        </w:tc>
        <w:tc>
          <w:tcPr>
            <w:tcW w:w="4176" w:type="dxa"/>
          </w:tcPr>
          <w:p w:rsidR="002804CE" w:rsidRDefault="00D97399">
            <w:pPr>
              <w:spacing w:after="40" w:line="240" w:lineRule="auto"/>
              <w:jc w:val="left"/>
            </w:pPr>
            <w:r>
              <w:rPr>
                <w:rFonts w:cs="Times New Roman"/>
                <w:sz w:val="20"/>
              </w:rPr>
              <w:t xml:space="preserve">Not </w:t>
            </w:r>
            <w:r>
              <w:rPr>
                <w:rFonts w:cs="Times New Roman"/>
                <w:sz w:val="20"/>
              </w:rPr>
              <w:t>implemented; only the largest expense in a window is shown</w:t>
            </w:r>
          </w:p>
        </w:tc>
      </w:tr>
      <w:tr w:rsidR="002804CE">
        <w:trPr>
          <w:cantSplit/>
          <w:jc w:val="center"/>
        </w:trPr>
        <w:tc>
          <w:tcPr>
            <w:tcW w:w="2160" w:type="dxa"/>
          </w:tcPr>
          <w:p w:rsidR="002804CE" w:rsidRDefault="00D97399">
            <w:pPr>
              <w:spacing w:after="40" w:line="240" w:lineRule="auto"/>
              <w:jc w:val="left"/>
            </w:pPr>
            <w:r>
              <w:rPr>
                <w:rFonts w:cs="Times New Roman"/>
                <w:sz w:val="20"/>
              </w:rPr>
              <w:t>User interface</w:t>
            </w:r>
          </w:p>
        </w:tc>
        <w:tc>
          <w:tcPr>
            <w:tcW w:w="3168" w:type="dxa"/>
          </w:tcPr>
          <w:p w:rsidR="002804CE" w:rsidRDefault="00D97399">
            <w:pPr>
              <w:spacing w:after="40" w:line="240" w:lineRule="auto"/>
              <w:jc w:val="left"/>
            </w:pPr>
            <w:r>
              <w:rPr>
                <w:rFonts w:cs="Times New Roman"/>
                <w:sz w:val="20"/>
              </w:rPr>
              <w:t>Streamlit</w:t>
            </w:r>
          </w:p>
        </w:tc>
        <w:tc>
          <w:tcPr>
            <w:tcW w:w="4176" w:type="dxa"/>
          </w:tcPr>
          <w:p w:rsidR="002804CE" w:rsidRDefault="00D97399">
            <w:pPr>
              <w:spacing w:after="40" w:line="240" w:lineRule="auto"/>
              <w:jc w:val="left"/>
            </w:pPr>
            <w:r>
              <w:rPr>
                <w:rFonts w:cs="Times New Roman"/>
                <w:sz w:val="20"/>
              </w:rPr>
              <w:t>React + FastAPI web application (the original Streamlit app is kept)</w:t>
            </w:r>
          </w:p>
        </w:tc>
      </w:tr>
      <w:tr w:rsidR="002804CE">
        <w:trPr>
          <w:cantSplit/>
          <w:jc w:val="center"/>
        </w:trPr>
        <w:tc>
          <w:tcPr>
            <w:tcW w:w="2160" w:type="dxa"/>
          </w:tcPr>
          <w:p w:rsidR="002804CE" w:rsidRDefault="00D97399">
            <w:pPr>
              <w:spacing w:after="40" w:line="240" w:lineRule="auto"/>
              <w:jc w:val="left"/>
            </w:pPr>
            <w:r>
              <w:rPr>
                <w:rFonts w:cs="Times New Roman"/>
                <w:sz w:val="20"/>
              </w:rPr>
              <w:t>Financial health</w:t>
            </w:r>
          </w:p>
        </w:tc>
        <w:tc>
          <w:tcPr>
            <w:tcW w:w="3168" w:type="dxa"/>
          </w:tcPr>
          <w:p w:rsidR="002804CE" w:rsidRDefault="00D97399">
            <w:pPr>
              <w:spacing w:after="40" w:line="240" w:lineRule="auto"/>
              <w:jc w:val="left"/>
            </w:pPr>
            <w:r>
              <w:rPr>
                <w:rFonts w:cs="Times New Roman"/>
                <w:sz w:val="20"/>
              </w:rPr>
              <w:t>Not present</w:t>
            </w:r>
          </w:p>
        </w:tc>
        <w:tc>
          <w:tcPr>
            <w:tcW w:w="4176" w:type="dxa"/>
          </w:tcPr>
          <w:p w:rsidR="002804CE" w:rsidRDefault="00D97399">
            <w:pPr>
              <w:spacing w:after="40" w:line="240" w:lineRule="auto"/>
              <w:jc w:val="left"/>
            </w:pPr>
            <w:r>
              <w:rPr>
                <w:rFonts w:cs="Times New Roman"/>
                <w:sz w:val="20"/>
              </w:rPr>
              <w:t>Six-component weighted score with explanation</w:t>
            </w:r>
          </w:p>
        </w:tc>
      </w:tr>
    </w:tbl>
    <w:p w:rsidR="002804CE" w:rsidRDefault="002804CE">
      <w:pPr>
        <w:spacing w:line="192" w:lineRule="auto"/>
      </w:pPr>
    </w:p>
    <w:p w:rsidR="002804CE" w:rsidRDefault="00D97399">
      <w:pPr>
        <w:pStyle w:val="Heading1"/>
        <w:pageBreakBefore/>
      </w:pPr>
      <w:r>
        <w:lastRenderedPageBreak/>
        <w:t>3. KEY CONTRIBUTIONS</w:t>
      </w:r>
    </w:p>
    <w:p w:rsidR="002804CE" w:rsidRDefault="00D97399">
      <w:r>
        <w:rPr>
          <w:rFonts w:cs="Times New Roman"/>
        </w:rPr>
        <w:t>The</w:t>
      </w:r>
      <w:r>
        <w:rPr>
          <w:rFonts w:cs="Times New Roman"/>
        </w:rPr>
        <w:t xml:space="preserve"> contributions of the project, stated as what was built and what was measured, are the following.</w:t>
      </w:r>
    </w:p>
    <w:p w:rsidR="002804CE" w:rsidRDefault="00D97399">
      <w:pPr>
        <w:spacing w:after="60"/>
        <w:ind w:left="720" w:hanging="432"/>
      </w:pPr>
      <w:r>
        <w:rPr>
          <w:rFonts w:cs="Times New Roman"/>
        </w:rPr>
        <w:t>1.  A full-stack personal finance web platform: a React and TypeScript front end with 13 pages, a FastAPI back end with 33 routes, a service layer shared with</w:t>
      </w:r>
      <w:r>
        <w:rPr>
          <w:rFonts w:cs="Times New Roman"/>
        </w:rPr>
        <w:t xml:space="preserve"> the original Streamlit application and a six-table SQLite database, with per-user data scoping and bcrypt-hashed passwords.</w:t>
      </w:r>
    </w:p>
    <w:p w:rsidR="002804CE" w:rsidRDefault="00D97399">
      <w:pPr>
        <w:spacing w:after="60"/>
        <w:ind w:left="720" w:hanging="432"/>
      </w:pPr>
      <w:r>
        <w:rPr>
          <w:rFonts w:cs="Times New Roman"/>
        </w:rPr>
        <w:t>2.  An expense categoriser (TF-IDF word 1-2-grams and logistic regression) with a keyword fallback and retraining on user correctio</w:t>
      </w:r>
      <w:r>
        <w:rPr>
          <w:rFonts w:cs="Times New Roman"/>
        </w:rPr>
        <w:t>ns, evaluated on a 198-description probe set in three difficulty tiers: 100 percent on seed-like text, 97 percent on statement strings and 18.2 percent on unseen merchants.</w:t>
      </w:r>
    </w:p>
    <w:p w:rsidR="002804CE" w:rsidRDefault="00D97399">
      <w:pPr>
        <w:spacing w:after="60"/>
        <w:ind w:left="720" w:hanging="432"/>
      </w:pPr>
      <w:r>
        <w:rPr>
          <w:rFonts w:cs="Times New Roman"/>
        </w:rPr>
        <w:t>3.  A spending forecast with per-category trends and a budget-overrun check, togeth</w:t>
      </w:r>
      <w:r>
        <w:rPr>
          <w:rFonts w:cs="Times New Roman"/>
        </w:rPr>
        <w:t>er with a backtest and a synthetic simulation showing that the linear trend is no better than a plain average until about seven months of history exist.</w:t>
      </w:r>
    </w:p>
    <w:p w:rsidR="002804CE" w:rsidRDefault="00D97399">
      <w:pPr>
        <w:spacing w:after="60"/>
        <w:ind w:left="720" w:hanging="432"/>
      </w:pPr>
      <w:r>
        <w:rPr>
          <w:rFonts w:cs="Times New Roman"/>
        </w:rPr>
        <w:t>4.  An explainable 0-100 financial health score of six weighted components, checked by sensitivity swee</w:t>
      </w:r>
      <w:r>
        <w:rPr>
          <w:rFonts w:cs="Times New Roman"/>
        </w:rPr>
        <w:t>ps and 5,000 random profiles (mean 60.3, range 8.7 to 98.2, no decrease when the savings rate rises).</w:t>
      </w:r>
    </w:p>
    <w:p w:rsidR="002804CE" w:rsidRDefault="00D97399">
      <w:pPr>
        <w:spacing w:after="60"/>
        <w:ind w:left="720" w:hanging="432"/>
      </w:pPr>
      <w:r>
        <w:rPr>
          <w:rFonts w:cs="Times New Roman"/>
        </w:rPr>
        <w:t xml:space="preserve">5.  An assistant that answers from the user's own data (14 of 20 answerable test questions handled, all 6 off-topic questions declined), automatic budget </w:t>
      </w:r>
      <w:r>
        <w:rPr>
          <w:rFonts w:cs="Times New Roman"/>
        </w:rPr>
        <w:t>alerts, goals, a manual investment portfolio, and PDF, Excel and CSV reports.</w:t>
      </w:r>
    </w:p>
    <w:p w:rsidR="002804CE" w:rsidRDefault="00D97399">
      <w:pPr>
        <w:spacing w:after="60"/>
        <w:ind w:left="720" w:hanging="432"/>
      </w:pPr>
      <w:r>
        <w:rPr>
          <w:rFonts w:cs="Times New Roman"/>
        </w:rPr>
        <w:t>6.  A CSV and Excel import pipeline with row-level validation: in a 1,000-row test with 84 injected bad rows, all 84 were skipped and 916 were imported and auto-categorised.</w:t>
      </w:r>
    </w:p>
    <w:p w:rsidR="002804CE" w:rsidRDefault="00D97399">
      <w:pPr>
        <w:spacing w:after="60"/>
        <w:ind w:left="720" w:hanging="432"/>
      </w:pPr>
      <w:r>
        <w:rPr>
          <w:rFonts w:cs="Times New Roman"/>
        </w:rPr>
        <w:t xml:space="preserve">7.  </w:t>
      </w:r>
      <w:r>
        <w:rPr>
          <w:rFonts w:cs="Times New Roman"/>
        </w:rPr>
        <w:t xml:space="preserve">A test and measurement harness: 38 pytest tests, a 49-check end-to-end smoke test, API latency measurements for every endpoint and a reproducible experiment script that writes </w:t>
      </w:r>
      <w:r>
        <w:rPr>
          <w:rFonts w:ascii="Consolas" w:eastAsia="Consolas" w:hAnsi="Consolas" w:cs="Consolas"/>
          <w:sz w:val="21"/>
        </w:rPr>
        <w:t>experiments/metrics.json</w:t>
      </w:r>
      <w:r>
        <w:rPr>
          <w:rFonts w:cs="Times New Roman"/>
        </w:rPr>
        <w:t>.</w:t>
      </w:r>
    </w:p>
    <w:p w:rsidR="002804CE" w:rsidRDefault="00D97399">
      <w:pPr>
        <w:spacing w:after="60"/>
        <w:ind w:left="720" w:hanging="432"/>
      </w:pPr>
      <w:r>
        <w:rPr>
          <w:rFonts w:cs="Times New Roman"/>
        </w:rPr>
        <w:t>8.  An honest account of what the system cannot do: un</w:t>
      </w:r>
      <w:r>
        <w:rPr>
          <w:rFonts w:cs="Times New Roman"/>
        </w:rPr>
        <w:t>seen merchants are mislabelled (mostly as Transport), there is no anomaly detection, no reinforcement-learning budgeting and no time-series model beyond a line.</w:t>
      </w:r>
    </w:p>
    <w:sectPr w:rsidR="002804CE" w:rsidSect="00034616">
      <w:headerReference w:type="default" r:id="rId12"/>
      <w:footerReference w:type="default" r:id="rId13"/>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D97399">
      <w:pPr>
        <w:spacing w:after="0" w:line="240" w:lineRule="auto"/>
      </w:pPr>
      <w:r>
        <w:separator/>
      </w:r>
    </w:p>
  </w:endnote>
  <w:endnote w:type="continuationSeparator" w:id="0">
    <w:p w:rsidR="00000000" w:rsidRDefault="00D973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04CE" w:rsidRDefault="00D97399">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D97399">
      <w:pPr>
        <w:spacing w:after="0" w:line="240" w:lineRule="auto"/>
      </w:pPr>
      <w:r>
        <w:separator/>
      </w:r>
    </w:p>
  </w:footnote>
  <w:footnote w:type="continuationSeparator" w:id="0">
    <w:p w:rsidR="00000000" w:rsidRDefault="00D973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04CE" w:rsidRDefault="00D97399">
    <w:pPr>
      <w:pStyle w:val="Header"/>
      <w:jc w:val="center"/>
    </w:pPr>
    <w:r>
      <w:rPr>
        <w:rFonts w:cs="Times New Roman"/>
        <w:i/>
        <w:color w:val="555555"/>
        <w:sz w:val="20"/>
      </w:rPr>
      <w:t xml:space="preserve">FINJARVIS  |  </w:t>
    </w:r>
    <w:r>
      <w:rPr>
        <w:rFonts w:cs="Times New Roman"/>
        <w:i/>
        <w:color w:val="555555"/>
        <w:sz w:val="20"/>
      </w:rPr>
      <w:t>Methodology, Novelty and Key Contributions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04CE"/>
    <w:rsid w:val="0029639D"/>
    <w:rsid w:val="00326F90"/>
    <w:rsid w:val="00AA1D8D"/>
    <w:rsid w:val="00B47730"/>
    <w:rsid w:val="00CB0664"/>
    <w:rsid w:val="00D973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C089DE68-E20E-48D1-9D40-4C34546E9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D97399"/>
    <w:pPr>
      <w:spacing w:after="0" w:line="240" w:lineRule="auto"/>
    </w:pPr>
    <w:rPr>
      <w:rFonts w:cs="Times New Roman"/>
      <w:sz w:val="21"/>
    </w:rPr>
  </w:style>
  <w:style w:type="paragraph" w:styleId="TOC2">
    <w:name w:val="toc 2"/>
    <w:basedOn w:val="Normal"/>
    <w:next w:val="Normal"/>
    <w:autoRedefine/>
    <w:uiPriority w:val="39"/>
    <w:semiHidden/>
    <w:unhideWhenUsed/>
    <w:rsid w:val="00D97399"/>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D97399"/>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741E4C-8300-4491-A3C4-D251521FEF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3547</Words>
  <Characters>18483</Characters>
  <Application>Microsoft Office Word</Application>
  <DocSecurity>0</DocSecurity>
  <Lines>450</Lines>
  <Paragraphs>216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2026-10-26T11:07:00Z</dcterms:modified>
  <cp:category/>
</cp:coreProperties>
</file>