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13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SafeGrid-AI: An Explainable Multi-Agent System for Dynamic Power Routing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Agentic artificial intelligence is rapidly emerging as a superior paradigm for smart grid management, replacing traditional static models with autonomous systems capable of real-time perception, multi-step planning, and explainable reasoning.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Recent research has demonstrated that LLM-driven multi-agent systems can achieve near-perfect success rates in resolving complex grid violations through structured tool-use and holistic decision-making.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However, deploying non-deterministic LLMs in physical infrastructure introduces severe security and operational risks; probabilistic tool calls can result in 'hallucinated' or unauthorized commands that violate strict electrical physics.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bridge this gap, this project proposes a Neuro-Symbolic Agentic architecture.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We utilize an LLM-based multi-agent system as the cognitive layer to dynamically optimize energy distribution, negotiate load balancing, and minimize costs.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Crucially, before any AI-generated tool call is executed, it is intercepted by a deterministic 'Symbolic Safety Shield'—a mathematical middleware layer (similar to a runtime guardian) that instantly validates and projects unsafe power requests into physically permissible bounds.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framework ensures the high adaptability and explainability of generative AI while mathematically guaranteeing zero physical constraint violations on the grid.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Agentic AI, Large Language Models (LLMs), Prompt Engineering, Multi-Agent Systems, Smart Grids, Neuro-Symbolic AI, Safety Shielding, Autonomous Control.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