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60"/>
      </w:pPr>
      <w:r>
        <w:drawing>
          <wp:inline xmlns:wp="http://schemas.openxmlformats.org/drawingml/2006/wordprocessingDrawing" distT="0" distB="0" distL="0" distR="0">
            <wp:extent cx="6188000" cy="447986"/>
            <wp:docPr id="1" name="H"/>
            <a:graphic xmlns:a="http://schemas.openxmlformats.org/drawingml/2006/main">
              <a:graphicData uri="http://schemas.openxmlformats.org/drawingml/2006/picture">
                <pic:pic xmlns:pic="http://schemas.openxmlformats.org/drawingml/2006/picture">
                  <pic:nvPicPr>
                    <pic:cNvPr id="1" name="H"/>
                    <pic:cNvPicPr/>
                  </pic:nvPicPr>
                  <pic:blipFill>
                    <a:blip xmlns:r="http://schemas.openxmlformats.org/officeDocument/2006/relationships" r:embed="rId10"/>
                    <a:stretch>
                      <a:fillRect/>
                    </a:stretch>
                  </pic:blipFill>
                  <pic:spPr>
                    <a:xfrm>
                      <a:off x="0" y="0"/>
                      <a:ext cx="6188000" cy="447986"/>
                    </a:xfrm>
                    <a:prstGeom prst="rect">
                      <a:avLst/>
                    </a:prstGeom>
                  </pic:spPr>
                </pic:pic>
              </a:graphicData>
            </a:graphic>
          </wp:inline>
        </w:drawing>
      </w:r>
    </w:p>
    <w:p>
      <w:pPr>
        <w:jc w:val="center"/>
        <w:spacing w:after="40" w:line="264" w:lineRule="auto"/>
      </w:pPr>
      <w:r>
        <w:rPr>
          <w:rFonts w:ascii="Cambria" w:hAnsi="Cambria"/>
          <w:b/>
          <w:color w:val="000000"/>
          <w:sz w:val="20"/>
        </w:rPr>
        <w:t xml:space="preserve">CSE-A   |   Batch 08</w:t>
      </w:r>
    </w:p>
    <w:p>
      <w:pPr>
        <w:jc w:val="center"/>
        <w:spacing w:after="200" w:line="264" w:lineRule="auto"/>
      </w:pPr>
      <w:r>
        <w:rPr>
          <w:rFonts w:ascii="Cambria" w:hAnsi="Cambria"/>
          <w:color w:val="666666"/>
          <w:sz w:val="21"/>
        </w:rPr>
        <w:t xml:space="preserve">AI-POWERED MEDICAL LAB REPORT ANALYSIS &amp; HEALTH INSIGHTS PLATFORM</w:t>
      </w:r>
    </w:p>
    <w:p>
      <w:pPr>
        <w:jc w:val="both"/>
        <w:spacing w:after="120" w:line="264" w:lineRule="auto"/>
      </w:pPr>
      <w:r>
        <w:rPr>
          <w:rFonts w:ascii="Calibri" w:hAnsi="Calibri"/>
          <w:color w:val="000000"/>
          <w:sz w:val="22"/>
        </w:rPr>
        <w:t xml:space="preserve">•  The AI-Powered Medical Lab Report Analysis &amp; Health Insights Platform is an intelligent, fully automated web application designed to eliminate the confusion and manual effort associated with medical laboratory reports.</w:t>
      </w:r>
    </w:p>
    <w:p>
      <w:pPr>
        <w:jc w:val="both"/>
        <w:spacing w:after="120" w:line="264" w:lineRule="auto"/>
      </w:pPr>
      <w:r>
        <w:rPr>
          <w:rFonts w:ascii="Calibri" w:hAnsi="Calibri"/>
          <w:color w:val="000000"/>
          <w:sz w:val="22"/>
        </w:rPr>
        <w:t xml:space="preserve">•  The system allows patients and healthcare providers to upload lab reports in PDF or scanned image format and instantly converts them into structured, understandable health information.</w:t>
      </w:r>
    </w:p>
    <w:p>
      <w:pPr>
        <w:jc w:val="both"/>
        <w:spacing w:after="120" w:line="264" w:lineRule="auto"/>
      </w:pPr>
      <w:r>
        <w:rPr>
          <w:rFonts w:ascii="Calibri" w:hAnsi="Calibri"/>
          <w:color w:val="000000"/>
          <w:sz w:val="22"/>
        </w:rPr>
        <w:t xml:space="preserve">•  Using a combination of PP-OCR for high-speed text extraction and CRF-based Named Entity Recognition (NER), the platform accurately identifies key components - test name, result value, unit, reference range, and abnormality status (Low/Normal/High).</w:t>
      </w:r>
    </w:p>
    <w:p>
      <w:pPr>
        <w:jc w:val="both"/>
        <w:spacing w:after="120" w:line="264" w:lineRule="auto"/>
      </w:pPr>
      <w:r>
        <w:rPr>
          <w:rFonts w:ascii="Calibri" w:hAnsi="Calibri"/>
          <w:color w:val="000000"/>
          <w:sz w:val="22"/>
        </w:rPr>
        <w:t xml:space="preserve">•  An AI-driven interpretation module automatically compares values against standard ranges and generates patient-friendly explanations, possible causes for abnormal results, and simple health recommendations in plain language.</w:t>
      </w:r>
    </w:p>
    <w:p>
      <w:pPr>
        <w:jc w:val="both"/>
        <w:spacing w:after="120" w:line="264" w:lineRule="auto"/>
      </w:pPr>
      <w:r>
        <w:rPr>
          <w:rFonts w:ascii="Calibri" w:hAnsi="Calibri"/>
          <w:color w:val="000000"/>
          <w:sz w:val="22"/>
        </w:rPr>
        <w:t xml:space="preserve">•  All processed reports are securely stored using Supabase, enabling long-term tracking and visualization of health trends through interactive dashboards built with React.js, Tailwind CSS, and Recharts.</w:t>
      </w:r>
    </w:p>
    <w:p>
      <w:pPr>
        <w:jc w:val="both"/>
        <w:spacing w:after="120" w:line="264" w:lineRule="auto"/>
      </w:pPr>
      <w:r>
        <w:rPr>
          <w:rFonts w:ascii="Calibri" w:hAnsi="Calibri"/>
          <w:color w:val="000000"/>
          <w:sz w:val="22"/>
        </w:rPr>
        <w:t xml:space="preserve">•  Users can view colour-coded results, historical graphs, critical alerts, and comparative analysis across multiple reports without any manual intervention.</w:t>
      </w:r>
    </w:p>
    <w:p>
      <w:pPr>
        <w:jc w:val="both"/>
        <w:spacing w:after="120" w:line="264" w:lineRule="auto"/>
      </w:pPr>
      <w:r>
        <w:rPr>
          <w:rFonts w:ascii="Calibri" w:hAnsi="Calibri"/>
          <w:color w:val="000000"/>
          <w:sz w:val="22"/>
        </w:rPr>
        <w:t xml:space="preserve">•  The proposed system significantly reduces human errors in data entry, saves time for hospitals and diagnostic centres, empowers patients with clear health insights, and supports early detection of deteriorating parameters through trend analysis.</w:t>
      </w:r>
    </w:p>
    <w:p>
      <w:pPr>
        <w:jc w:val="left"/>
        <w:spacing w:after="0" w:line="264" w:lineRule="auto"/>
      </w:pPr>
      <w:r>
        <w:rPr>
          <w:rFonts w:ascii="Calibri" w:hAnsi="Calibri"/>
          <w:color w:val="000000"/>
          <w:sz w:val="16"/>
        </w:rPr>
        <w:t xml:space="preserve"> </w:t>
      </w:r>
    </w:p>
    <w:p>
      <w:pPr>
        <w:jc w:val="both"/>
        <w:spacing w:after="60" w:line="264" w:lineRule="auto"/>
      </w:pPr>
      <w:r>
        <w:rPr>
          <w:rFonts w:ascii="Calibri" w:hAnsi="Calibri"/>
          <w:color w:val="666666"/>
          <w:sz w:val="19"/>
        </w:rPr>
        <w:t xml:space="preserve">Keywords :  Medical Lab Report Analysis, OCR, Named Entity Recognition (CRF), Health Insights, Trend Tracking, Serverless Cloud Functions, Supabase, React.js, Explainable Health AI.</w:t>
      </w:r>
    </w:p>
    <w:sectPr>
      <w:pgSz w:w="11906" w:h="16838"/>
      <w:pgMar w:top="720" w:right="1080" w:bottom="720" w:left="108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