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60"/>
      </w:pPr>
      <w:r>
        <w:drawing>
          <wp:inline xmlns:wp="http://schemas.openxmlformats.org/drawingml/2006/wordprocessingDrawing" distT="0" distB="0" distL="0" distR="0">
            <wp:extent cx="6188000" cy="447986"/>
            <wp:docPr id="1" name="H"/>
            <a:graphic xmlns:a="http://schemas.openxmlformats.org/drawingml/2006/main">
              <a:graphicData uri="http://schemas.openxmlformats.org/drawingml/2006/picture">
                <pic:pic xmlns:pic="http://schemas.openxmlformats.org/drawingml/2006/picture">
                  <pic:nvPicPr>
                    <pic:cNvPr id="1" name="H"/>
                    <pic:cNvPicPr/>
                  </pic:nvPicPr>
                  <pic:blipFill>
                    <a:blip xmlns:r="http://schemas.openxmlformats.org/officeDocument/2006/relationships" r:embed="rId10"/>
                    <a:stretch>
                      <a:fillRect/>
                    </a:stretch>
                  </pic:blipFill>
                  <pic:spPr>
                    <a:xfrm>
                      <a:off x="0" y="0"/>
                      <a:ext cx="6188000" cy="447986"/>
                    </a:xfrm>
                    <a:prstGeom prst="rect">
                      <a:avLst/>
                    </a:prstGeom>
                  </pic:spPr>
                </pic:pic>
              </a:graphicData>
            </a:graphic>
          </wp:inline>
        </w:drawing>
      </w:r>
    </w:p>
    <w:p>
      <w:pPr>
        <w:jc w:val="center"/>
        <w:spacing w:after="40" w:line="264" w:lineRule="auto"/>
      </w:pPr>
      <w:r>
        <w:rPr>
          <w:rFonts w:ascii="Cambria" w:hAnsi="Cambria"/>
          <w:b/>
          <w:color w:val="000000"/>
          <w:sz w:val="20"/>
        </w:rPr>
        <w:t xml:space="preserve">CSE-C   |   Batch C-12</w:t>
      </w:r>
    </w:p>
    <w:p>
      <w:pPr>
        <w:jc w:val="center"/>
        <w:spacing w:after="200" w:line="264" w:lineRule="auto"/>
      </w:pPr>
      <w:r>
        <w:rPr>
          <w:rFonts w:ascii="Cambria" w:hAnsi="Cambria"/>
          <w:color w:val="666666"/>
          <w:sz w:val="21"/>
        </w:rPr>
        <w:t xml:space="preserve">SymptoTrackAI: Hybrid RAG Based Symptom Tracking and Health Monitoring System</w:t>
      </w:r>
    </w:p>
    <w:p>
      <w:pPr>
        <w:jc w:val="both"/>
        <w:spacing w:after="120" w:line="264" w:lineRule="auto"/>
      </w:pPr>
      <w:r>
        <w:rPr>
          <w:rFonts w:ascii="Calibri" w:hAnsi="Calibri"/>
          <w:color w:val="000000"/>
          <w:sz w:val="22"/>
        </w:rPr>
        <w:t xml:space="preserve">•  Healthcare systems often face challenges such as delayed diagnosis, limited accessibility, and the lack of personalized health monitoring.</w:t>
      </w:r>
    </w:p>
    <w:p>
      <w:pPr>
        <w:jc w:val="both"/>
        <w:spacing w:after="120" w:line="264" w:lineRule="auto"/>
      </w:pPr>
      <w:r>
        <w:rPr>
          <w:rFonts w:ascii="Calibri" w:hAnsi="Calibri"/>
          <w:color w:val="000000"/>
          <w:sz w:val="22"/>
        </w:rPr>
        <w:t xml:space="preserve">•  With the rapid advancements in Artificial Intelligence (AI) and Natural Language Processing (NLP), intelligent healthcare assistants have emerged as effective solutions for improving patient engagement and symptom analysis.</w:t>
      </w:r>
    </w:p>
    <w:p>
      <w:pPr>
        <w:jc w:val="both"/>
        <w:spacing w:after="120" w:line="264" w:lineRule="auto"/>
      </w:pPr>
      <w:r>
        <w:rPr>
          <w:rFonts w:ascii="Calibri" w:hAnsi="Calibri"/>
          <w:color w:val="000000"/>
          <w:sz w:val="22"/>
        </w:rPr>
        <w:t xml:space="preserve">•  This project focuses on developing SymptoTrackAI, a Hybrid Retrieval-Augmented Generation (RAG)-based symptom tracking and health monitoring system.</w:t>
      </w:r>
    </w:p>
    <w:p>
      <w:pPr>
        <w:jc w:val="both"/>
        <w:spacing w:after="120" w:line="264" w:lineRule="auto"/>
      </w:pPr>
      <w:r>
        <w:rPr>
          <w:rFonts w:ascii="Calibri" w:hAnsi="Calibri"/>
          <w:color w:val="000000"/>
          <w:sz w:val="22"/>
        </w:rPr>
        <w:t xml:space="preserve">•  The proposed system enables users to input symptoms through a conversational chatbot interface and receive AI-driven health insights in real time.</w:t>
      </w:r>
    </w:p>
    <w:p>
      <w:pPr>
        <w:jc w:val="both"/>
        <w:spacing w:after="120" w:line="264" w:lineRule="auto"/>
      </w:pPr>
      <w:r>
        <w:rPr>
          <w:rFonts w:ascii="Calibri" w:hAnsi="Calibri"/>
          <w:color w:val="000000"/>
          <w:sz w:val="22"/>
        </w:rPr>
        <w:t xml:space="preserve">•  The system integrates FAISS-based semantic search, Query Expansion (HyDE), and Neural Reranking techniques to retrieve relevant medical information and generate accurate, context-aware responses.</w:t>
      </w:r>
    </w:p>
    <w:p>
      <w:pPr>
        <w:jc w:val="both"/>
        <w:spacing w:after="120" w:line="264" w:lineRule="auto"/>
      </w:pPr>
      <w:r>
        <w:rPr>
          <w:rFonts w:ascii="Calibri" w:hAnsi="Calibri"/>
          <w:color w:val="000000"/>
          <w:sz w:val="22"/>
        </w:rPr>
        <w:t xml:space="preserve">•  By analyzing symptom patterns, potential triggers, and historical symptom logs, the system provides personalized recommendations and preliminary health assessments.</w:t>
      </w:r>
    </w:p>
    <w:p>
      <w:pPr>
        <w:jc w:val="both"/>
        <w:spacing w:after="120" w:line="264" w:lineRule="auto"/>
      </w:pPr>
      <w:r>
        <w:rPr>
          <w:rFonts w:ascii="Calibri" w:hAnsi="Calibri"/>
          <w:color w:val="000000"/>
          <w:sz w:val="22"/>
        </w:rPr>
        <w:t xml:space="preserve">•  The Hybrid RAG architecture combines retrieval and generative AI models to enhance prediction accuracy and reduce misinformation.</w:t>
      </w:r>
    </w:p>
    <w:p>
      <w:pPr>
        <w:jc w:val="left"/>
        <w:spacing w:after="0" w:line="264" w:lineRule="auto"/>
      </w:pPr>
      <w:r>
        <w:rPr>
          <w:rFonts w:ascii="Calibri" w:hAnsi="Calibri"/>
          <w:color w:val="000000"/>
          <w:sz w:val="16"/>
        </w:rPr>
        <w:t xml:space="preserve"> </w:t>
      </w:r>
    </w:p>
    <w:p>
      <w:pPr>
        <w:jc w:val="both"/>
        <w:spacing w:after="60" w:line="264" w:lineRule="auto"/>
      </w:pPr>
      <w:r>
        <w:rPr>
          <w:rFonts w:ascii="Calibri" w:hAnsi="Calibri"/>
          <w:color w:val="666666"/>
          <w:sz w:val="19"/>
        </w:rPr>
        <w:t xml:space="preserve">Keywords :  Hybrid RAG, Symptom Monitoring, Artificial Intelligence (AI), Machine Learning (ML), Natural Language Processing (NLP), FAISS Semantic Search, Neural Reranking, Query Expansion (HyDE), Healthcare Chatbot, Personalized Health Insights, Early Disease Detection, Healthcare Analytics.</w:t>
      </w:r>
    </w:p>
    <w:sectPr>
      <w:pgSz w:w="11906" w:h="16838"/>
      <w:pgMar w:top="720" w:right="1080" w:bottom="720" w:left="1080"/>
    </w:sectPr>
  </w:body>
</w:document>
</file>

<file path=word/_rels/document.xml.rels><?xml version="1.0" encoding="UTF-8" standalone="yes"?><Relationships xmlns="http://schemas.openxmlformats.org/package/2006/relationships"><Relationship Id="rId10" Type="http://schemas.openxmlformats.org/officeDocument/2006/relationships/image" Target="media/header.png"/></Relationships>
</file>