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439D" w:rsidRDefault="004E439D">
      <w:pPr>
        <w:spacing w:after="480" w:line="240" w:lineRule="auto"/>
      </w:pPr>
      <w:bookmarkStart w:id="0" w:name="_GoBack"/>
      <w:bookmarkEnd w:id="0"/>
    </w:p>
    <w:p w:rsidR="004E439D" w:rsidRDefault="005D1EE1">
      <w:pPr>
        <w:jc w:val="center"/>
      </w:pPr>
      <w:r>
        <w:rPr>
          <w:rFonts w:cs="Times New Roman"/>
          <w:b/>
          <w:sz w:val="36"/>
        </w:rPr>
        <w:t>GRAPH NEURAL NETWORK ANALYSIS FOR SCALABLE FAKE PROFILE DETECTION AND BOTNETS</w:t>
      </w:r>
    </w:p>
    <w:p w:rsidR="004E439D" w:rsidRDefault="005D1EE1">
      <w:pPr>
        <w:spacing w:after="280"/>
        <w:jc w:val="center"/>
      </w:pPr>
      <w:r>
        <w:rPr>
          <w:rFonts w:cs="Times New Roman"/>
          <w:b/>
          <w:sz w:val="28"/>
        </w:rPr>
        <w:t>Block Diagrams (all)</w:t>
      </w:r>
    </w:p>
    <w:p w:rsidR="004E439D" w:rsidRDefault="005D1EE1">
      <w:pPr>
        <w:spacing w:after="40"/>
        <w:jc w:val="center"/>
      </w:pPr>
      <w:r>
        <w:rPr>
          <w:rFonts w:cs="Times New Roman"/>
        </w:rPr>
        <w:t>Department of Computer Science and Engineering, TKR College of Engineering &amp; Technology</w:t>
      </w:r>
    </w:p>
    <w:p w:rsidR="004E439D" w:rsidRDefault="005D1EE1">
      <w:pPr>
        <w:spacing w:after="240"/>
        <w:jc w:val="center"/>
      </w:pPr>
      <w:r>
        <w:rPr>
          <w:rFonts w:cs="Times New Roman"/>
        </w:rPr>
        <w:t>Batch A9 (CSE-A)  ·  Academic year [ACADEMIC YEAR]</w:t>
      </w:r>
    </w:p>
    <w:p w:rsidR="004E439D" w:rsidRDefault="005D1EE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4E439D">
        <w:trPr>
          <w:cantSplit/>
          <w:tblHeader/>
          <w:jc w:val="center"/>
        </w:trPr>
        <w:tc>
          <w:tcPr>
            <w:tcW w:w="1008" w:type="dxa"/>
            <w:shd w:val="clear" w:color="auto" w:fill="1B2A41"/>
          </w:tcPr>
          <w:p w:rsidR="004E439D" w:rsidRDefault="005D1EE1">
            <w:pPr>
              <w:spacing w:after="40" w:line="240" w:lineRule="auto"/>
              <w:jc w:val="center"/>
            </w:pPr>
            <w:r>
              <w:rPr>
                <w:rFonts w:cs="Times New Roman"/>
                <w:b/>
                <w:color w:val="FFFFFF"/>
                <w:sz w:val="22"/>
              </w:rPr>
              <w:t>S.No.</w:t>
            </w:r>
          </w:p>
        </w:tc>
        <w:tc>
          <w:tcPr>
            <w:tcW w:w="4896" w:type="dxa"/>
            <w:shd w:val="clear" w:color="auto" w:fill="1B2A41"/>
          </w:tcPr>
          <w:p w:rsidR="004E439D" w:rsidRDefault="005D1EE1">
            <w:pPr>
              <w:spacing w:after="40" w:line="240" w:lineRule="auto"/>
              <w:jc w:val="center"/>
            </w:pPr>
            <w:r>
              <w:rPr>
                <w:rFonts w:cs="Times New Roman"/>
                <w:b/>
                <w:color w:val="FFFFFF"/>
                <w:sz w:val="22"/>
              </w:rPr>
              <w:t>Student name</w:t>
            </w:r>
          </w:p>
        </w:tc>
        <w:tc>
          <w:tcPr>
            <w:tcW w:w="2592" w:type="dxa"/>
            <w:shd w:val="clear" w:color="auto" w:fill="1B2A41"/>
          </w:tcPr>
          <w:p w:rsidR="004E439D" w:rsidRDefault="005D1EE1">
            <w:pPr>
              <w:spacing w:after="40" w:line="240" w:lineRule="auto"/>
              <w:jc w:val="center"/>
            </w:pPr>
            <w:r>
              <w:rPr>
                <w:rFonts w:cs="Times New Roman"/>
                <w:b/>
                <w:color w:val="FFFFFF"/>
                <w:sz w:val="22"/>
              </w:rPr>
              <w:t>Roll number</w:t>
            </w:r>
          </w:p>
        </w:tc>
      </w:tr>
      <w:tr w:rsidR="004E439D">
        <w:trPr>
          <w:cantSplit/>
          <w:jc w:val="center"/>
        </w:trPr>
        <w:tc>
          <w:tcPr>
            <w:tcW w:w="1008" w:type="dxa"/>
          </w:tcPr>
          <w:p w:rsidR="004E439D" w:rsidRDefault="005D1EE1">
            <w:pPr>
              <w:spacing w:after="40" w:line="240" w:lineRule="auto"/>
              <w:jc w:val="center"/>
            </w:pPr>
            <w:r>
              <w:rPr>
                <w:rFonts w:cs="Times New Roman"/>
                <w:sz w:val="22"/>
              </w:rPr>
              <w:t>1</w:t>
            </w:r>
          </w:p>
        </w:tc>
        <w:tc>
          <w:tcPr>
            <w:tcW w:w="4896" w:type="dxa"/>
          </w:tcPr>
          <w:p w:rsidR="004E439D" w:rsidRDefault="005D1EE1">
            <w:pPr>
              <w:spacing w:after="40" w:line="240" w:lineRule="auto"/>
              <w:jc w:val="left"/>
            </w:pPr>
            <w:r>
              <w:rPr>
                <w:rFonts w:cs="Times New Roman"/>
                <w:sz w:val="22"/>
              </w:rPr>
              <w:t>Bijja Naga Lakshmi</w:t>
            </w:r>
          </w:p>
        </w:tc>
        <w:tc>
          <w:tcPr>
            <w:tcW w:w="2592" w:type="dxa"/>
          </w:tcPr>
          <w:p w:rsidR="004E439D" w:rsidRDefault="005D1EE1">
            <w:pPr>
              <w:spacing w:after="40" w:line="240" w:lineRule="auto"/>
              <w:jc w:val="center"/>
            </w:pPr>
            <w:r>
              <w:rPr>
                <w:rFonts w:cs="Times New Roman"/>
                <w:sz w:val="22"/>
              </w:rPr>
              <w:t>23K91A0538</w:t>
            </w:r>
          </w:p>
        </w:tc>
      </w:tr>
      <w:tr w:rsidR="004E439D">
        <w:trPr>
          <w:cantSplit/>
          <w:jc w:val="center"/>
        </w:trPr>
        <w:tc>
          <w:tcPr>
            <w:tcW w:w="1008" w:type="dxa"/>
          </w:tcPr>
          <w:p w:rsidR="004E439D" w:rsidRDefault="005D1EE1">
            <w:pPr>
              <w:spacing w:after="40" w:line="240" w:lineRule="auto"/>
              <w:jc w:val="center"/>
            </w:pPr>
            <w:r>
              <w:rPr>
                <w:rFonts w:cs="Times New Roman"/>
                <w:sz w:val="22"/>
              </w:rPr>
              <w:t>2</w:t>
            </w:r>
          </w:p>
        </w:tc>
        <w:tc>
          <w:tcPr>
            <w:tcW w:w="4896" w:type="dxa"/>
          </w:tcPr>
          <w:p w:rsidR="004E439D" w:rsidRDefault="005D1EE1">
            <w:pPr>
              <w:spacing w:after="40" w:line="240" w:lineRule="auto"/>
              <w:jc w:val="left"/>
            </w:pPr>
            <w:r>
              <w:rPr>
                <w:rFonts w:cs="Times New Roman"/>
                <w:sz w:val="22"/>
              </w:rPr>
              <w:t>Divvela Srivatshav</w:t>
            </w:r>
          </w:p>
        </w:tc>
        <w:tc>
          <w:tcPr>
            <w:tcW w:w="2592" w:type="dxa"/>
          </w:tcPr>
          <w:p w:rsidR="004E439D" w:rsidRDefault="005D1EE1">
            <w:pPr>
              <w:spacing w:after="40" w:line="240" w:lineRule="auto"/>
              <w:jc w:val="center"/>
            </w:pPr>
            <w:r>
              <w:rPr>
                <w:rFonts w:cs="Times New Roman"/>
                <w:sz w:val="22"/>
              </w:rPr>
              <w:t>23K91A0564</w:t>
            </w:r>
          </w:p>
        </w:tc>
      </w:tr>
      <w:tr w:rsidR="004E439D">
        <w:trPr>
          <w:cantSplit/>
          <w:jc w:val="center"/>
        </w:trPr>
        <w:tc>
          <w:tcPr>
            <w:tcW w:w="1008" w:type="dxa"/>
          </w:tcPr>
          <w:p w:rsidR="004E439D" w:rsidRDefault="005D1EE1">
            <w:pPr>
              <w:spacing w:after="40" w:line="240" w:lineRule="auto"/>
              <w:jc w:val="center"/>
            </w:pPr>
            <w:r>
              <w:rPr>
                <w:rFonts w:cs="Times New Roman"/>
                <w:sz w:val="22"/>
              </w:rPr>
              <w:t>3</w:t>
            </w:r>
          </w:p>
        </w:tc>
        <w:tc>
          <w:tcPr>
            <w:tcW w:w="4896" w:type="dxa"/>
          </w:tcPr>
          <w:p w:rsidR="004E439D" w:rsidRDefault="005D1EE1">
            <w:pPr>
              <w:spacing w:after="40" w:line="240" w:lineRule="auto"/>
              <w:jc w:val="left"/>
            </w:pPr>
            <w:r>
              <w:rPr>
                <w:rFonts w:cs="Times New Roman"/>
                <w:sz w:val="22"/>
              </w:rPr>
              <w:t>Adumulla Durga</w:t>
            </w:r>
          </w:p>
        </w:tc>
        <w:tc>
          <w:tcPr>
            <w:tcW w:w="2592" w:type="dxa"/>
          </w:tcPr>
          <w:p w:rsidR="004E439D" w:rsidRDefault="005D1EE1">
            <w:pPr>
              <w:spacing w:after="40" w:line="240" w:lineRule="auto"/>
              <w:jc w:val="center"/>
            </w:pPr>
            <w:r>
              <w:rPr>
                <w:rFonts w:cs="Times New Roman"/>
                <w:sz w:val="22"/>
              </w:rPr>
              <w:t>23K91A0504</w:t>
            </w:r>
          </w:p>
        </w:tc>
      </w:tr>
      <w:tr w:rsidR="004E439D">
        <w:trPr>
          <w:cantSplit/>
          <w:jc w:val="center"/>
        </w:trPr>
        <w:tc>
          <w:tcPr>
            <w:tcW w:w="1008" w:type="dxa"/>
          </w:tcPr>
          <w:p w:rsidR="004E439D" w:rsidRDefault="005D1EE1">
            <w:pPr>
              <w:spacing w:after="40" w:line="240" w:lineRule="auto"/>
              <w:jc w:val="center"/>
            </w:pPr>
            <w:r>
              <w:rPr>
                <w:rFonts w:cs="Times New Roman"/>
                <w:sz w:val="22"/>
              </w:rPr>
              <w:t>4</w:t>
            </w:r>
          </w:p>
        </w:tc>
        <w:tc>
          <w:tcPr>
            <w:tcW w:w="4896" w:type="dxa"/>
          </w:tcPr>
          <w:p w:rsidR="004E439D" w:rsidRDefault="005D1EE1">
            <w:pPr>
              <w:spacing w:after="40" w:line="240" w:lineRule="auto"/>
              <w:jc w:val="left"/>
            </w:pPr>
            <w:r>
              <w:rPr>
                <w:rFonts w:cs="Times New Roman"/>
                <w:sz w:val="22"/>
              </w:rPr>
              <w:t>Burugula Koushik</w:t>
            </w:r>
          </w:p>
        </w:tc>
        <w:tc>
          <w:tcPr>
            <w:tcW w:w="2592" w:type="dxa"/>
          </w:tcPr>
          <w:p w:rsidR="004E439D" w:rsidRDefault="005D1EE1">
            <w:pPr>
              <w:spacing w:after="40" w:line="240" w:lineRule="auto"/>
              <w:jc w:val="center"/>
            </w:pPr>
            <w:r>
              <w:rPr>
                <w:rFonts w:cs="Times New Roman"/>
                <w:sz w:val="22"/>
              </w:rPr>
              <w:t>23K91A0550</w:t>
            </w:r>
          </w:p>
        </w:tc>
      </w:tr>
    </w:tbl>
    <w:p w:rsidR="004E439D" w:rsidRDefault="004E439D">
      <w:pPr>
        <w:spacing w:line="192" w:lineRule="auto"/>
      </w:pPr>
    </w:p>
    <w:p w:rsidR="004E439D" w:rsidRDefault="005D1EE1">
      <w:pPr>
        <w:spacing w:after="200"/>
        <w:jc w:val="center"/>
      </w:pPr>
      <w:r>
        <w:rPr>
          <w:rFonts w:cs="Times New Roman"/>
          <w:b/>
        </w:rPr>
        <w:t>Project guide:</w:t>
      </w:r>
      <w:r>
        <w:rPr>
          <w:rFonts w:cs="Times New Roman"/>
        </w:rPr>
        <w:t xml:space="preserve"> Neelima</w:t>
      </w:r>
    </w:p>
    <w:p w:rsidR="004E439D" w:rsidRDefault="005D1EE1">
      <w:r>
        <w:rPr>
          <w:rFonts w:cs="Times New Roman"/>
          <w:i/>
          <w:sz w:val="21"/>
        </w:rPr>
        <w:t>Chapter and section numbers quoted</w:t>
      </w:r>
      <w:r>
        <w:rPr>
          <w:rFonts w:cs="Times New Roman"/>
          <w:i/>
          <w:sz w:val="21"/>
        </w:rPr>
        <w:t xml:space="preserve"> in the text (for example Chapter 8 or Section 6.2) refer to the full project report, 17.Final Document. Figures and tables in this document are numbered from 1.</w:t>
      </w:r>
    </w:p>
    <w:p w:rsidR="004E439D" w:rsidRDefault="005D1EE1">
      <w:pPr>
        <w:pStyle w:val="Heading1"/>
      </w:pPr>
      <w:r>
        <w:t>1. INDEX OF DIAGRAMS</w:t>
      </w:r>
    </w:p>
    <w:p w:rsidR="004E439D" w:rsidRDefault="005D1EE1">
      <w:r>
        <w:rPr>
          <w:rFonts w:cs="Times New Roman"/>
        </w:rPr>
        <w:t xml:space="preserve">Every diagram was generated from the real design by </w:t>
      </w:r>
      <w:r>
        <w:rPr>
          <w:rFonts w:ascii="Consolas" w:eastAsia="Consolas" w:hAnsi="Consolas" w:cs="Consolas"/>
          <w:sz w:val="21"/>
        </w:rPr>
        <w:t>scripts/docs_build/ma</w:t>
      </w:r>
      <w:r>
        <w:rPr>
          <w:rFonts w:ascii="Consolas" w:eastAsia="Consolas" w:hAnsi="Consolas" w:cs="Consolas"/>
          <w:sz w:val="21"/>
        </w:rPr>
        <w:t>ke_diagrams.py</w:t>
      </w:r>
      <w:r>
        <w:rPr>
          <w:rFonts w:cs="Times New Roman"/>
        </w:rPr>
        <w:t xml:space="preserve">, </w:t>
      </w:r>
      <w:r>
        <w:rPr>
          <w:rFonts w:ascii="Consolas" w:eastAsia="Consolas" w:hAnsi="Consolas" w:cs="Consolas"/>
          <w:sz w:val="21"/>
        </w:rPr>
        <w:t>diagrams_dfd.py</w:t>
      </w:r>
      <w:r>
        <w:rPr>
          <w:rFonts w:cs="Times New Roman"/>
        </w:rPr>
        <w:t xml:space="preserve"> and </w:t>
      </w:r>
      <w:r>
        <w:rPr>
          <w:rFonts w:ascii="Consolas" w:eastAsia="Consolas" w:hAnsi="Consolas" w:cs="Consolas"/>
          <w:sz w:val="21"/>
        </w:rPr>
        <w:t>diagrams_more.py</w:t>
      </w:r>
      <w:r>
        <w:rPr>
          <w:rFonts w:cs="Times New Roman"/>
        </w:rPr>
        <w:t xml:space="preserve"> (matplotlib, 150 dpi) and mirrors the code in </w:t>
      </w:r>
      <w:r>
        <w:rPr>
          <w:rFonts w:ascii="Consolas" w:eastAsia="Consolas" w:hAnsi="Consolas" w:cs="Consolas"/>
          <w:sz w:val="21"/>
        </w:rPr>
        <w:t>ml/</w:t>
      </w:r>
      <w:r>
        <w:rPr>
          <w:rFonts w:cs="Times New Roman"/>
        </w:rPr>
        <w:t xml:space="preserve">, </w:t>
      </w:r>
      <w:r>
        <w:rPr>
          <w:rFonts w:ascii="Consolas" w:eastAsia="Consolas" w:hAnsi="Consolas" w:cs="Consolas"/>
          <w:sz w:val="21"/>
        </w:rPr>
        <w:t>backend/app/</w:t>
      </w:r>
      <w:r>
        <w:rPr>
          <w:rFonts w:cs="Times New Roman"/>
        </w:rPr>
        <w:t xml:space="preserve"> and </w:t>
      </w:r>
      <w:r>
        <w:rPr>
          <w:rFonts w:ascii="Consolas" w:eastAsia="Consolas" w:hAnsi="Consolas" w:cs="Consolas"/>
          <w:sz w:val="21"/>
        </w:rPr>
        <w:t>frontend/src/</w:t>
      </w:r>
      <w:r>
        <w:rPr>
          <w:rFonts w:cs="Times New Roman"/>
        </w:rPr>
        <w:t xml:space="preserve">. BotGraph keeps three database tables (users, reviews, training_runs) in SQLite; the graph, the scores and the clusters </w:t>
      </w:r>
      <w:r>
        <w:rPr>
          <w:rFonts w:cs="Times New Roman"/>
        </w:rPr>
        <w:t>are files, so the entity-relationship diagram shows those as logical entities next to the tables.</w:t>
      </w:r>
    </w:p>
    <w:p w:rsidR="004E439D" w:rsidRDefault="005D1EE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95"/>
        <w:gridCol w:w="3913"/>
        <w:gridCol w:w="4274"/>
      </w:tblGrid>
      <w:tr w:rsidR="004E439D">
        <w:trPr>
          <w:cantSplit/>
          <w:tblHeader/>
          <w:jc w:val="center"/>
        </w:trPr>
        <w:tc>
          <w:tcPr>
            <w:tcW w:w="720" w:type="dxa"/>
            <w:shd w:val="clear" w:color="auto" w:fill="1B2A41"/>
          </w:tcPr>
          <w:p w:rsidR="004E439D" w:rsidRDefault="005D1EE1">
            <w:pPr>
              <w:spacing w:after="40" w:line="240" w:lineRule="auto"/>
              <w:jc w:val="center"/>
            </w:pPr>
            <w:r>
              <w:rPr>
                <w:rFonts w:cs="Times New Roman"/>
                <w:b/>
                <w:color w:val="FFFFFF"/>
                <w:sz w:val="21"/>
              </w:rPr>
              <w:t>No.</w:t>
            </w:r>
          </w:p>
        </w:tc>
        <w:tc>
          <w:tcPr>
            <w:tcW w:w="4320" w:type="dxa"/>
            <w:shd w:val="clear" w:color="auto" w:fill="1B2A41"/>
          </w:tcPr>
          <w:p w:rsidR="004E439D" w:rsidRDefault="005D1EE1">
            <w:pPr>
              <w:spacing w:after="40" w:line="240" w:lineRule="auto"/>
              <w:jc w:val="center"/>
            </w:pPr>
            <w:r>
              <w:rPr>
                <w:rFonts w:cs="Times New Roman"/>
                <w:b/>
                <w:color w:val="FFFFFF"/>
                <w:sz w:val="21"/>
              </w:rPr>
              <w:t>Diagram</w:t>
            </w:r>
          </w:p>
        </w:tc>
        <w:tc>
          <w:tcPr>
            <w:tcW w:w="4032" w:type="dxa"/>
            <w:shd w:val="clear" w:color="auto" w:fill="1B2A41"/>
          </w:tcPr>
          <w:p w:rsidR="004E439D" w:rsidRDefault="005D1EE1">
            <w:pPr>
              <w:spacing w:after="40" w:line="240" w:lineRule="auto"/>
              <w:jc w:val="center"/>
            </w:pPr>
            <w:r>
              <w:rPr>
                <w:rFonts w:cs="Times New Roman"/>
                <w:b/>
                <w:color w:val="FFFFFF"/>
                <w:sz w:val="21"/>
              </w:rPr>
              <w:t>Image file</w:t>
            </w:r>
          </w:p>
        </w:tc>
      </w:tr>
      <w:tr w:rsidR="004E439D">
        <w:trPr>
          <w:cantSplit/>
          <w:jc w:val="center"/>
        </w:trPr>
        <w:tc>
          <w:tcPr>
            <w:tcW w:w="720" w:type="dxa"/>
          </w:tcPr>
          <w:p w:rsidR="004E439D" w:rsidRDefault="005D1EE1">
            <w:pPr>
              <w:spacing w:after="40" w:line="240" w:lineRule="auto"/>
              <w:jc w:val="center"/>
            </w:pPr>
            <w:r>
              <w:rPr>
                <w:rFonts w:cs="Times New Roman"/>
                <w:sz w:val="21"/>
              </w:rPr>
              <w:t>1</w:t>
            </w:r>
          </w:p>
        </w:tc>
        <w:tc>
          <w:tcPr>
            <w:tcW w:w="4320" w:type="dxa"/>
          </w:tcPr>
          <w:p w:rsidR="004E439D" w:rsidRDefault="005D1EE1">
            <w:pPr>
              <w:spacing w:after="40" w:line="240" w:lineRule="auto"/>
              <w:jc w:val="left"/>
            </w:pPr>
            <w:r>
              <w:rPr>
                <w:rFonts w:cs="Times New Roman"/>
                <w:sz w:val="21"/>
              </w:rPr>
              <w:t>System architecture</w:t>
            </w:r>
          </w:p>
        </w:tc>
        <w:tc>
          <w:tcPr>
            <w:tcW w:w="4032" w:type="dxa"/>
          </w:tcPr>
          <w:p w:rsidR="004E439D" w:rsidRDefault="005D1EE1">
            <w:pPr>
              <w:spacing w:after="40" w:line="240" w:lineRule="auto"/>
              <w:jc w:val="left"/>
            </w:pPr>
            <w:r>
              <w:rPr>
                <w:rFonts w:ascii="Consolas" w:eastAsia="Consolas" w:hAnsi="Consolas" w:cs="Consolas"/>
                <w:sz w:val="18"/>
              </w:rPr>
              <w:t>docs/diagrams/01_system_architecture.png</w:t>
            </w:r>
          </w:p>
        </w:tc>
      </w:tr>
      <w:tr w:rsidR="004E439D">
        <w:trPr>
          <w:cantSplit/>
          <w:jc w:val="center"/>
        </w:trPr>
        <w:tc>
          <w:tcPr>
            <w:tcW w:w="720" w:type="dxa"/>
          </w:tcPr>
          <w:p w:rsidR="004E439D" w:rsidRDefault="005D1EE1">
            <w:pPr>
              <w:spacing w:after="40" w:line="240" w:lineRule="auto"/>
              <w:jc w:val="center"/>
            </w:pPr>
            <w:r>
              <w:rPr>
                <w:rFonts w:cs="Times New Roman"/>
                <w:sz w:val="21"/>
              </w:rPr>
              <w:t>2</w:t>
            </w:r>
          </w:p>
        </w:tc>
        <w:tc>
          <w:tcPr>
            <w:tcW w:w="4320" w:type="dxa"/>
          </w:tcPr>
          <w:p w:rsidR="004E439D" w:rsidRDefault="005D1EE1">
            <w:pPr>
              <w:spacing w:after="40" w:line="240" w:lineRule="auto"/>
              <w:jc w:val="left"/>
            </w:pPr>
            <w:r>
              <w:rPr>
                <w:rFonts w:cs="Times New Roman"/>
                <w:sz w:val="21"/>
              </w:rPr>
              <w:t>High-level workflow</w:t>
            </w:r>
          </w:p>
        </w:tc>
        <w:tc>
          <w:tcPr>
            <w:tcW w:w="4032" w:type="dxa"/>
          </w:tcPr>
          <w:p w:rsidR="004E439D" w:rsidRDefault="005D1EE1">
            <w:pPr>
              <w:spacing w:after="40" w:line="240" w:lineRule="auto"/>
              <w:jc w:val="left"/>
            </w:pPr>
            <w:r>
              <w:rPr>
                <w:rFonts w:ascii="Consolas" w:eastAsia="Consolas" w:hAnsi="Consolas" w:cs="Consolas"/>
                <w:sz w:val="18"/>
              </w:rPr>
              <w:t>docs/diagrams/02_high_level_workflow.png</w:t>
            </w:r>
          </w:p>
        </w:tc>
      </w:tr>
      <w:tr w:rsidR="004E439D">
        <w:trPr>
          <w:cantSplit/>
          <w:jc w:val="center"/>
        </w:trPr>
        <w:tc>
          <w:tcPr>
            <w:tcW w:w="720" w:type="dxa"/>
          </w:tcPr>
          <w:p w:rsidR="004E439D" w:rsidRDefault="005D1EE1">
            <w:pPr>
              <w:spacing w:after="40" w:line="240" w:lineRule="auto"/>
              <w:jc w:val="center"/>
            </w:pPr>
            <w:r>
              <w:rPr>
                <w:rFonts w:cs="Times New Roman"/>
                <w:sz w:val="21"/>
              </w:rPr>
              <w:t>3</w:t>
            </w:r>
          </w:p>
        </w:tc>
        <w:tc>
          <w:tcPr>
            <w:tcW w:w="4320" w:type="dxa"/>
          </w:tcPr>
          <w:p w:rsidR="004E439D" w:rsidRDefault="005D1EE1">
            <w:pPr>
              <w:spacing w:after="40" w:line="240" w:lineRule="auto"/>
              <w:jc w:val="left"/>
            </w:pPr>
            <w:r>
              <w:rPr>
                <w:rFonts w:cs="Times New Roman"/>
                <w:sz w:val="21"/>
              </w:rPr>
              <w:t>Data flow diagram, level 0</w:t>
            </w:r>
          </w:p>
        </w:tc>
        <w:tc>
          <w:tcPr>
            <w:tcW w:w="4032" w:type="dxa"/>
          </w:tcPr>
          <w:p w:rsidR="004E439D" w:rsidRDefault="005D1EE1">
            <w:pPr>
              <w:spacing w:after="40" w:line="240" w:lineRule="auto"/>
              <w:jc w:val="left"/>
            </w:pPr>
            <w:r>
              <w:rPr>
                <w:rFonts w:ascii="Consolas" w:eastAsia="Consolas" w:hAnsi="Consolas" w:cs="Consolas"/>
                <w:sz w:val="18"/>
              </w:rPr>
              <w:t>docs/diagrams/03_dfd_level0.png</w:t>
            </w:r>
          </w:p>
        </w:tc>
      </w:tr>
      <w:tr w:rsidR="004E439D">
        <w:trPr>
          <w:cantSplit/>
          <w:jc w:val="center"/>
        </w:trPr>
        <w:tc>
          <w:tcPr>
            <w:tcW w:w="720" w:type="dxa"/>
          </w:tcPr>
          <w:p w:rsidR="004E439D" w:rsidRDefault="005D1EE1">
            <w:pPr>
              <w:spacing w:after="40" w:line="240" w:lineRule="auto"/>
              <w:jc w:val="center"/>
            </w:pPr>
            <w:r>
              <w:rPr>
                <w:rFonts w:cs="Times New Roman"/>
                <w:sz w:val="21"/>
              </w:rPr>
              <w:lastRenderedPageBreak/>
              <w:t>4</w:t>
            </w:r>
          </w:p>
        </w:tc>
        <w:tc>
          <w:tcPr>
            <w:tcW w:w="4320" w:type="dxa"/>
          </w:tcPr>
          <w:p w:rsidR="004E439D" w:rsidRDefault="005D1EE1">
            <w:pPr>
              <w:spacing w:after="40" w:line="240" w:lineRule="auto"/>
              <w:jc w:val="left"/>
            </w:pPr>
            <w:r>
              <w:rPr>
                <w:rFonts w:cs="Times New Roman"/>
                <w:sz w:val="21"/>
              </w:rPr>
              <w:t>Data flow diagram, level 1</w:t>
            </w:r>
          </w:p>
        </w:tc>
        <w:tc>
          <w:tcPr>
            <w:tcW w:w="4032" w:type="dxa"/>
          </w:tcPr>
          <w:p w:rsidR="004E439D" w:rsidRDefault="005D1EE1">
            <w:pPr>
              <w:spacing w:after="40" w:line="240" w:lineRule="auto"/>
              <w:jc w:val="left"/>
            </w:pPr>
            <w:r>
              <w:rPr>
                <w:rFonts w:ascii="Consolas" w:eastAsia="Consolas" w:hAnsi="Consolas" w:cs="Consolas"/>
                <w:sz w:val="18"/>
              </w:rPr>
              <w:t>docs/diagrams/04_dfd_level1.png</w:t>
            </w:r>
          </w:p>
        </w:tc>
      </w:tr>
      <w:tr w:rsidR="004E439D">
        <w:trPr>
          <w:cantSplit/>
          <w:jc w:val="center"/>
        </w:trPr>
        <w:tc>
          <w:tcPr>
            <w:tcW w:w="720" w:type="dxa"/>
          </w:tcPr>
          <w:p w:rsidR="004E439D" w:rsidRDefault="005D1EE1">
            <w:pPr>
              <w:spacing w:after="40" w:line="240" w:lineRule="auto"/>
              <w:jc w:val="center"/>
            </w:pPr>
            <w:r>
              <w:rPr>
                <w:rFonts w:cs="Times New Roman"/>
                <w:sz w:val="21"/>
              </w:rPr>
              <w:t>5</w:t>
            </w:r>
          </w:p>
        </w:tc>
        <w:tc>
          <w:tcPr>
            <w:tcW w:w="4320" w:type="dxa"/>
          </w:tcPr>
          <w:p w:rsidR="004E439D" w:rsidRDefault="005D1EE1">
            <w:pPr>
              <w:spacing w:after="40" w:line="240" w:lineRule="auto"/>
              <w:jc w:val="left"/>
            </w:pPr>
            <w:r>
              <w:rPr>
                <w:rFonts w:cs="Times New Roman"/>
                <w:sz w:val="21"/>
              </w:rPr>
              <w:t>Data flow diagram, level 2</w:t>
            </w:r>
          </w:p>
        </w:tc>
        <w:tc>
          <w:tcPr>
            <w:tcW w:w="4032" w:type="dxa"/>
          </w:tcPr>
          <w:p w:rsidR="004E439D" w:rsidRDefault="005D1EE1">
            <w:pPr>
              <w:spacing w:after="40" w:line="240" w:lineRule="auto"/>
              <w:jc w:val="left"/>
            </w:pPr>
            <w:r>
              <w:rPr>
                <w:rFonts w:ascii="Consolas" w:eastAsia="Consolas" w:hAnsi="Consolas" w:cs="Consolas"/>
                <w:sz w:val="18"/>
              </w:rPr>
              <w:t>docs/diagrams/05_dfd_level2.png</w:t>
            </w:r>
          </w:p>
        </w:tc>
      </w:tr>
      <w:tr w:rsidR="004E439D">
        <w:trPr>
          <w:cantSplit/>
          <w:jc w:val="center"/>
        </w:trPr>
        <w:tc>
          <w:tcPr>
            <w:tcW w:w="720" w:type="dxa"/>
          </w:tcPr>
          <w:p w:rsidR="004E439D" w:rsidRDefault="005D1EE1">
            <w:pPr>
              <w:spacing w:after="40" w:line="240" w:lineRule="auto"/>
              <w:jc w:val="center"/>
            </w:pPr>
            <w:r>
              <w:rPr>
                <w:rFonts w:cs="Times New Roman"/>
                <w:sz w:val="21"/>
              </w:rPr>
              <w:t>6</w:t>
            </w:r>
          </w:p>
        </w:tc>
        <w:tc>
          <w:tcPr>
            <w:tcW w:w="4320" w:type="dxa"/>
          </w:tcPr>
          <w:p w:rsidR="004E439D" w:rsidRDefault="005D1EE1">
            <w:pPr>
              <w:spacing w:after="40" w:line="240" w:lineRule="auto"/>
              <w:jc w:val="left"/>
            </w:pPr>
            <w:r>
              <w:rPr>
                <w:rFonts w:cs="Times New Roman"/>
                <w:sz w:val="21"/>
              </w:rPr>
              <w:t xml:space="preserve">UML </w:t>
            </w:r>
            <w:r>
              <w:rPr>
                <w:rFonts w:cs="Times New Roman"/>
                <w:sz w:val="21"/>
              </w:rPr>
              <w:t>class diagram</w:t>
            </w:r>
          </w:p>
        </w:tc>
        <w:tc>
          <w:tcPr>
            <w:tcW w:w="4032" w:type="dxa"/>
          </w:tcPr>
          <w:p w:rsidR="004E439D" w:rsidRDefault="005D1EE1">
            <w:pPr>
              <w:spacing w:after="40" w:line="240" w:lineRule="auto"/>
              <w:jc w:val="left"/>
            </w:pPr>
            <w:r>
              <w:rPr>
                <w:rFonts w:ascii="Consolas" w:eastAsia="Consolas" w:hAnsi="Consolas" w:cs="Consolas"/>
                <w:sz w:val="18"/>
              </w:rPr>
              <w:t>docs/diagrams/06_uml_class.png</w:t>
            </w:r>
          </w:p>
        </w:tc>
      </w:tr>
      <w:tr w:rsidR="004E439D">
        <w:trPr>
          <w:cantSplit/>
          <w:jc w:val="center"/>
        </w:trPr>
        <w:tc>
          <w:tcPr>
            <w:tcW w:w="720" w:type="dxa"/>
          </w:tcPr>
          <w:p w:rsidR="004E439D" w:rsidRDefault="005D1EE1">
            <w:pPr>
              <w:spacing w:after="40" w:line="240" w:lineRule="auto"/>
              <w:jc w:val="center"/>
            </w:pPr>
            <w:r>
              <w:rPr>
                <w:rFonts w:cs="Times New Roman"/>
                <w:sz w:val="21"/>
              </w:rPr>
              <w:t>7</w:t>
            </w:r>
          </w:p>
        </w:tc>
        <w:tc>
          <w:tcPr>
            <w:tcW w:w="4320" w:type="dxa"/>
          </w:tcPr>
          <w:p w:rsidR="004E439D" w:rsidRDefault="005D1EE1">
            <w:pPr>
              <w:spacing w:after="40" w:line="240" w:lineRule="auto"/>
              <w:jc w:val="left"/>
            </w:pPr>
            <w:r>
              <w:rPr>
                <w:rFonts w:cs="Times New Roman"/>
                <w:sz w:val="21"/>
              </w:rPr>
              <w:t>Sequence diagram of the main flow</w:t>
            </w:r>
          </w:p>
        </w:tc>
        <w:tc>
          <w:tcPr>
            <w:tcW w:w="4032" w:type="dxa"/>
          </w:tcPr>
          <w:p w:rsidR="004E439D" w:rsidRDefault="005D1EE1">
            <w:pPr>
              <w:spacing w:after="40" w:line="240" w:lineRule="auto"/>
              <w:jc w:val="left"/>
            </w:pPr>
            <w:r>
              <w:rPr>
                <w:rFonts w:ascii="Consolas" w:eastAsia="Consolas" w:hAnsi="Consolas" w:cs="Consolas"/>
                <w:sz w:val="18"/>
              </w:rPr>
              <w:t>docs/diagrams/07_sequence_flow.png</w:t>
            </w:r>
          </w:p>
        </w:tc>
      </w:tr>
      <w:tr w:rsidR="004E439D">
        <w:trPr>
          <w:cantSplit/>
          <w:jc w:val="center"/>
        </w:trPr>
        <w:tc>
          <w:tcPr>
            <w:tcW w:w="720" w:type="dxa"/>
          </w:tcPr>
          <w:p w:rsidR="004E439D" w:rsidRDefault="005D1EE1">
            <w:pPr>
              <w:spacing w:after="40" w:line="240" w:lineRule="auto"/>
              <w:jc w:val="center"/>
            </w:pPr>
            <w:r>
              <w:rPr>
                <w:rFonts w:cs="Times New Roman"/>
                <w:sz w:val="21"/>
              </w:rPr>
              <w:t>8</w:t>
            </w:r>
          </w:p>
        </w:tc>
        <w:tc>
          <w:tcPr>
            <w:tcW w:w="4320" w:type="dxa"/>
          </w:tcPr>
          <w:p w:rsidR="004E439D" w:rsidRDefault="005D1EE1">
            <w:pPr>
              <w:spacing w:after="40" w:line="240" w:lineRule="auto"/>
              <w:jc w:val="left"/>
            </w:pPr>
            <w:r>
              <w:rPr>
                <w:rFonts w:cs="Times New Roman"/>
                <w:sz w:val="21"/>
              </w:rPr>
              <w:t>Use-case diagram</w:t>
            </w:r>
          </w:p>
        </w:tc>
        <w:tc>
          <w:tcPr>
            <w:tcW w:w="4032" w:type="dxa"/>
          </w:tcPr>
          <w:p w:rsidR="004E439D" w:rsidRDefault="005D1EE1">
            <w:pPr>
              <w:spacing w:after="40" w:line="240" w:lineRule="auto"/>
              <w:jc w:val="left"/>
            </w:pPr>
            <w:r>
              <w:rPr>
                <w:rFonts w:ascii="Consolas" w:eastAsia="Consolas" w:hAnsi="Consolas" w:cs="Consolas"/>
                <w:sz w:val="18"/>
              </w:rPr>
              <w:t>docs/diagrams/08_use_case.png</w:t>
            </w:r>
          </w:p>
        </w:tc>
      </w:tr>
      <w:tr w:rsidR="004E439D">
        <w:trPr>
          <w:cantSplit/>
          <w:jc w:val="center"/>
        </w:trPr>
        <w:tc>
          <w:tcPr>
            <w:tcW w:w="720" w:type="dxa"/>
          </w:tcPr>
          <w:p w:rsidR="004E439D" w:rsidRDefault="005D1EE1">
            <w:pPr>
              <w:spacing w:after="40" w:line="240" w:lineRule="auto"/>
              <w:jc w:val="center"/>
            </w:pPr>
            <w:r>
              <w:rPr>
                <w:rFonts w:cs="Times New Roman"/>
                <w:sz w:val="21"/>
              </w:rPr>
              <w:t>9</w:t>
            </w:r>
          </w:p>
        </w:tc>
        <w:tc>
          <w:tcPr>
            <w:tcW w:w="4320" w:type="dxa"/>
          </w:tcPr>
          <w:p w:rsidR="004E439D" w:rsidRDefault="005D1EE1">
            <w:pPr>
              <w:spacing w:after="40" w:line="240" w:lineRule="auto"/>
              <w:jc w:val="left"/>
            </w:pPr>
            <w:r>
              <w:rPr>
                <w:rFonts w:cs="Times New Roman"/>
                <w:sz w:val="21"/>
              </w:rPr>
              <w:t>ER diagram</w:t>
            </w:r>
          </w:p>
        </w:tc>
        <w:tc>
          <w:tcPr>
            <w:tcW w:w="4032" w:type="dxa"/>
          </w:tcPr>
          <w:p w:rsidR="004E439D" w:rsidRDefault="005D1EE1">
            <w:pPr>
              <w:spacing w:after="40" w:line="240" w:lineRule="auto"/>
              <w:jc w:val="left"/>
            </w:pPr>
            <w:r>
              <w:rPr>
                <w:rFonts w:ascii="Consolas" w:eastAsia="Consolas" w:hAnsi="Consolas" w:cs="Consolas"/>
                <w:sz w:val="18"/>
              </w:rPr>
              <w:t>docs/diagrams/09_er_diagram.png</w:t>
            </w:r>
          </w:p>
        </w:tc>
      </w:tr>
      <w:tr w:rsidR="004E439D">
        <w:trPr>
          <w:cantSplit/>
          <w:jc w:val="center"/>
        </w:trPr>
        <w:tc>
          <w:tcPr>
            <w:tcW w:w="720" w:type="dxa"/>
          </w:tcPr>
          <w:p w:rsidR="004E439D" w:rsidRDefault="005D1EE1">
            <w:pPr>
              <w:spacing w:after="40" w:line="240" w:lineRule="auto"/>
              <w:jc w:val="center"/>
            </w:pPr>
            <w:r>
              <w:rPr>
                <w:rFonts w:cs="Times New Roman"/>
                <w:sz w:val="21"/>
              </w:rPr>
              <w:t>10</w:t>
            </w:r>
          </w:p>
        </w:tc>
        <w:tc>
          <w:tcPr>
            <w:tcW w:w="4320" w:type="dxa"/>
          </w:tcPr>
          <w:p w:rsidR="004E439D" w:rsidRDefault="005D1EE1">
            <w:pPr>
              <w:spacing w:after="40" w:line="240" w:lineRule="auto"/>
              <w:jc w:val="left"/>
            </w:pPr>
            <w:r>
              <w:rPr>
                <w:rFonts w:cs="Times New Roman"/>
                <w:sz w:val="21"/>
              </w:rPr>
              <w:t>Flowchart of the core pipeline</w:t>
            </w:r>
          </w:p>
        </w:tc>
        <w:tc>
          <w:tcPr>
            <w:tcW w:w="4032" w:type="dxa"/>
          </w:tcPr>
          <w:p w:rsidR="004E439D" w:rsidRDefault="005D1EE1">
            <w:pPr>
              <w:spacing w:after="40" w:line="240" w:lineRule="auto"/>
              <w:jc w:val="left"/>
            </w:pPr>
            <w:r>
              <w:rPr>
                <w:rFonts w:ascii="Consolas" w:eastAsia="Consolas" w:hAnsi="Consolas" w:cs="Consolas"/>
                <w:sz w:val="18"/>
              </w:rPr>
              <w:t>docs/diagrams/10_flowchart_pipeline.png</w:t>
            </w:r>
          </w:p>
        </w:tc>
      </w:tr>
      <w:tr w:rsidR="004E439D">
        <w:trPr>
          <w:cantSplit/>
          <w:jc w:val="center"/>
        </w:trPr>
        <w:tc>
          <w:tcPr>
            <w:tcW w:w="720" w:type="dxa"/>
          </w:tcPr>
          <w:p w:rsidR="004E439D" w:rsidRDefault="005D1EE1">
            <w:pPr>
              <w:spacing w:after="40" w:line="240" w:lineRule="auto"/>
              <w:jc w:val="center"/>
            </w:pPr>
            <w:r>
              <w:rPr>
                <w:rFonts w:cs="Times New Roman"/>
                <w:sz w:val="21"/>
              </w:rPr>
              <w:t>11</w:t>
            </w:r>
          </w:p>
        </w:tc>
        <w:tc>
          <w:tcPr>
            <w:tcW w:w="4320" w:type="dxa"/>
          </w:tcPr>
          <w:p w:rsidR="004E439D" w:rsidRDefault="005D1EE1">
            <w:pPr>
              <w:spacing w:after="40" w:line="240" w:lineRule="auto"/>
              <w:jc w:val="left"/>
            </w:pPr>
            <w:r>
              <w:rPr>
                <w:rFonts w:cs="Times New Roman"/>
                <w:sz w:val="21"/>
              </w:rPr>
              <w:t>Flowchart of botnet cluster detection</w:t>
            </w:r>
          </w:p>
        </w:tc>
        <w:tc>
          <w:tcPr>
            <w:tcW w:w="4032" w:type="dxa"/>
          </w:tcPr>
          <w:p w:rsidR="004E439D" w:rsidRDefault="005D1EE1">
            <w:pPr>
              <w:spacing w:after="40" w:line="240" w:lineRule="auto"/>
              <w:jc w:val="left"/>
            </w:pPr>
            <w:r>
              <w:rPr>
                <w:rFonts w:ascii="Consolas" w:eastAsia="Consolas" w:hAnsi="Consolas" w:cs="Consolas"/>
                <w:sz w:val="18"/>
              </w:rPr>
              <w:t>docs/diagrams/11_flowchart_clustering.png</w:t>
            </w:r>
          </w:p>
        </w:tc>
      </w:tr>
      <w:tr w:rsidR="004E439D">
        <w:trPr>
          <w:cantSplit/>
          <w:jc w:val="center"/>
        </w:trPr>
        <w:tc>
          <w:tcPr>
            <w:tcW w:w="720" w:type="dxa"/>
          </w:tcPr>
          <w:p w:rsidR="004E439D" w:rsidRDefault="005D1EE1">
            <w:pPr>
              <w:spacing w:after="40" w:line="240" w:lineRule="auto"/>
              <w:jc w:val="center"/>
            </w:pPr>
            <w:r>
              <w:rPr>
                <w:rFonts w:cs="Times New Roman"/>
                <w:sz w:val="21"/>
              </w:rPr>
              <w:t>12</w:t>
            </w:r>
          </w:p>
        </w:tc>
        <w:tc>
          <w:tcPr>
            <w:tcW w:w="4320" w:type="dxa"/>
          </w:tcPr>
          <w:p w:rsidR="004E439D" w:rsidRDefault="005D1EE1">
            <w:pPr>
              <w:spacing w:after="40" w:line="240" w:lineRule="auto"/>
              <w:jc w:val="left"/>
            </w:pPr>
            <w:r>
              <w:rPr>
                <w:rFonts w:cs="Times New Roman"/>
                <w:sz w:val="21"/>
              </w:rPr>
              <w:t>Model architecture</w:t>
            </w:r>
          </w:p>
        </w:tc>
        <w:tc>
          <w:tcPr>
            <w:tcW w:w="4032" w:type="dxa"/>
          </w:tcPr>
          <w:p w:rsidR="004E439D" w:rsidRDefault="005D1EE1">
            <w:pPr>
              <w:spacing w:after="40" w:line="240" w:lineRule="auto"/>
              <w:jc w:val="left"/>
            </w:pPr>
            <w:r>
              <w:rPr>
                <w:rFonts w:ascii="Consolas" w:eastAsia="Consolas" w:hAnsi="Consolas" w:cs="Consolas"/>
                <w:sz w:val="18"/>
              </w:rPr>
              <w:t>docs/diagrams/12_model_architecture.png</w:t>
            </w:r>
          </w:p>
        </w:tc>
      </w:tr>
    </w:tbl>
    <w:p w:rsidR="004E439D" w:rsidRDefault="004E439D">
      <w:pPr>
        <w:spacing w:line="192" w:lineRule="auto"/>
      </w:pPr>
    </w:p>
    <w:p w:rsidR="004E439D" w:rsidRDefault="005D1EE1">
      <w:pPr>
        <w:pStyle w:val="Heading1"/>
        <w:pageBreakBefore/>
      </w:pPr>
      <w:r>
        <w:lastRenderedPageBreak/>
        <w:t>2. DIAGRAMS</w:t>
      </w:r>
    </w:p>
    <w:p w:rsidR="004E439D" w:rsidRDefault="005D1EE1">
      <w:pPr>
        <w:pStyle w:val="Heading2"/>
      </w:pPr>
      <w:r>
        <w:t>System architecture</w:t>
      </w:r>
    </w:p>
    <w:p w:rsidR="004E439D" w:rsidRDefault="005D1EE1">
      <w:pPr>
        <w:keepNext/>
        <w:spacing w:after="80" w:line="240" w:lineRule="auto"/>
        <w:jc w:val="center"/>
      </w:pPr>
      <w:r>
        <w:rPr>
          <w:noProof/>
        </w:rPr>
        <w:drawing>
          <wp:inline distT="0" distB="0" distL="0" distR="0">
            <wp:extent cx="5303520" cy="4773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773168"/>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BotGraph: React web app, FastAPI application, core modules with in-memory state, and the SQLite database plus files.</w:t>
      </w:r>
    </w:p>
    <w:p w:rsidR="004E439D" w:rsidRDefault="005D1EE1">
      <w:r>
        <w:rPr>
          <w:rFonts w:cs="Times New Roman"/>
        </w:rPr>
        <w:t>The presentation tier is the React 18 and Vite 5 web app on port 5309; its pages are loaded on demand and a Vit</w:t>
      </w:r>
      <w:r>
        <w:rPr>
          <w:rFonts w:cs="Times New Roman"/>
        </w:rPr>
        <w:t>e proxy forwards every /api call to the API. The FastAPI application on 127.0.0.1:8309 groups the routes (core, accounts, clusters, queue, models) and auth.py, which checks bcrypt password hashes and issues HS256 tokens valid for 12 hours. Below it, servic</w:t>
      </w:r>
      <w:r>
        <w:rPr>
          <w:rFonts w:cs="Times New Roman"/>
        </w:rPr>
        <w:t>es/store.py loads the graph, scores, clusters and metrics once at start-up, and the ml package holds the graph builder, the three GNN layers, training, clustering and evaluation, all written in plain PyTorch sparse operations. Retraining runs in a backgrou</w:t>
      </w:r>
      <w:r>
        <w:rPr>
          <w:rFonts w:cs="Times New Roman"/>
        </w:rPr>
        <w:t>nd thread, one run at a time. The data tier is one SQLite file for users, moderator decisions and training runs, plus the processed graph, the trained weights and scores, and the experiment JSON files.</w:t>
      </w:r>
    </w:p>
    <w:p w:rsidR="004E439D" w:rsidRDefault="005D1EE1">
      <w:pPr>
        <w:pStyle w:val="Heading2"/>
      </w:pPr>
      <w:r>
        <w:lastRenderedPageBreak/>
        <w:t>High-level workflow</w:t>
      </w:r>
    </w:p>
    <w:p w:rsidR="004E439D" w:rsidRDefault="005D1EE1">
      <w:pPr>
        <w:keepNext/>
        <w:spacing w:after="80" w:line="240" w:lineRule="auto"/>
        <w:jc w:val="center"/>
      </w:pPr>
      <w:r>
        <w:rPr>
          <w:noProof/>
        </w:rPr>
        <w:drawing>
          <wp:inline distT="0" distB="0" distL="0" distR="0">
            <wp:extent cx="45720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72000" cy="3017520"/>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Two lanes: the offline pipeline that builds and trains, and the running application where moderators review and retrain.</w:t>
      </w:r>
    </w:p>
    <w:p w:rsidR="004E439D" w:rsidRDefault="005D1EE1">
      <w:r>
        <w:rPr>
          <w:rFonts w:cs="Times New Roman"/>
        </w:rPr>
        <w:t xml:space="preserve">Lane A takes the public datasets, builds the graph with the seeded botnets, assembles the 23 node features, trains the baseline and </w:t>
      </w:r>
      <w:r>
        <w:rPr>
          <w:rFonts w:cs="Times New Roman"/>
        </w:rPr>
        <w:t>the three GNNs for three seeds on a 60/20/20 split, keeps the best graph model by validation F1, clusters its embeddings with Louvain and writes the artefacts. Lane B loads those artefacts once, signs the user in, lets them review ranked accounts and clust</w:t>
      </w:r>
      <w:r>
        <w:rPr>
          <w:rFonts w:cs="Times New Roman"/>
        </w:rPr>
        <w:t>ers, records confirm or dismiss decisions, retrains on the decisions and reloads the new scores. The retrain step calls the same training code as Lane A, which is how the moderator feedback loop closes.</w:t>
      </w:r>
    </w:p>
    <w:p w:rsidR="004E439D" w:rsidRDefault="005D1EE1">
      <w:pPr>
        <w:pStyle w:val="Heading2"/>
      </w:pPr>
      <w:r>
        <w:lastRenderedPageBreak/>
        <w:t>Data flow diagram, level 0</w:t>
      </w:r>
    </w:p>
    <w:p w:rsidR="004E439D" w:rsidRDefault="005D1EE1">
      <w:pPr>
        <w:keepNext/>
        <w:spacing w:after="80" w:line="240" w:lineRule="auto"/>
        <w:jc w:val="center"/>
      </w:pPr>
      <w:r>
        <w:rPr>
          <w:noProof/>
        </w:rPr>
        <w:drawing>
          <wp:inline distT="0" distB="0" distL="0" distR="0">
            <wp:extent cx="5303520" cy="30760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3076042"/>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with the analyst, the moderator and the public datasets.</w:t>
      </w:r>
    </w:p>
    <w:p w:rsidR="004E439D" w:rsidRDefault="005D1EE1">
      <w:r>
        <w:rPr>
          <w:rFonts w:cs="Times New Roman"/>
        </w:rPr>
        <w:t>At level 0 the whole product is one process. The analyst or researcher sends sign-in details and queries and receives scores, reasons, clusters, the graph sum</w:t>
      </w:r>
      <w:r>
        <w:rPr>
          <w:rFonts w:cs="Times New Roman"/>
        </w:rPr>
        <w:t>mary and the model metrics. The moderator also sends confirm or dismiss decisions and the retrain command, and receives the decision log, the new scores and the F1 before and after retraining. The public datasets enter only through the graph builder, which</w:t>
      </w:r>
      <w:r>
        <w:rPr>
          <w:rFonts w:cs="Times New Roman"/>
        </w:rPr>
        <w:t xml:space="preserve"> reads files from data/raw; no external service is called at run time.</w:t>
      </w:r>
    </w:p>
    <w:p w:rsidR="004E439D" w:rsidRDefault="005D1EE1">
      <w:pPr>
        <w:pStyle w:val="Heading2"/>
      </w:pPr>
      <w:r>
        <w:lastRenderedPageBreak/>
        <w:t>Data flow diagram, level 1</w:t>
      </w:r>
    </w:p>
    <w:p w:rsidR="004E439D" w:rsidRDefault="005D1EE1">
      <w:pPr>
        <w:keepNext/>
        <w:spacing w:after="80" w:line="240" w:lineRule="auto"/>
        <w:jc w:val="center"/>
      </w:pPr>
      <w:r>
        <w:rPr>
          <w:noProof/>
        </w:rPr>
        <w:drawing>
          <wp:inline distT="0" distB="0" distL="0" distR="0">
            <wp:extent cx="5303520" cy="49853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4985309"/>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seven processes and four data stores.</w:t>
      </w:r>
    </w:p>
    <w:p w:rsidR="004E439D" w:rsidRDefault="005D1EE1">
      <w:r>
        <w:rPr>
          <w:rFonts w:cs="Times New Roman"/>
        </w:rPr>
        <w:t>Level 1 splits the product into seven processes. Process 1.0 authentic</w:t>
      </w:r>
      <w:r>
        <w:rPr>
          <w:rFonts w:cs="Times New Roman"/>
        </w:rPr>
        <w:t>ates the user and checks the role against the users table (D1). Process 5.0 serves scores, accounts, clusters and metrics from the artefacts (D4) and joins the moderator decisions from D1; process 6.0 records those decisions. Process 2.0 builds the graph a</w:t>
      </w:r>
      <w:r>
        <w:rPr>
          <w:rFonts w:cs="Times New Roman"/>
        </w:rPr>
        <w:t>nd features from the raw files (D2) into the processed graph (D3), 3.0 trains and evaluates the four models from D3 and writes weights, scores and metrics to D4, and 4.0 detects botnet clusters and writes clusters.json. Process 7.0 reads the logged decisio</w:t>
      </w:r>
      <w:r>
        <w:rPr>
          <w:rFonts w:cs="Times New Roman"/>
        </w:rPr>
        <w:t>ns from D1 as labels, reuses the training and clustering code and writes new artefacts.</w:t>
      </w:r>
    </w:p>
    <w:p w:rsidR="004E439D" w:rsidRDefault="005D1EE1">
      <w:pPr>
        <w:pStyle w:val="Heading2"/>
      </w:pPr>
      <w:r>
        <w:lastRenderedPageBreak/>
        <w:t>Data flow diagram, level 2</w:t>
      </w:r>
    </w:p>
    <w:p w:rsidR="004E439D" w:rsidRDefault="005D1EE1">
      <w:pPr>
        <w:keepNext/>
        <w:spacing w:after="80" w:line="240" w:lineRule="auto"/>
        <w:jc w:val="center"/>
      </w:pPr>
      <w:r>
        <w:rPr>
          <w:noProof/>
        </w:rPr>
        <w:drawing>
          <wp:inline distT="0" distB="0" distL="0" distR="0">
            <wp:extent cx="5303520" cy="4030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4030675"/>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the serving process 5.0 expanded into six sub-processes.</w:t>
      </w:r>
    </w:p>
    <w:p w:rsidR="004E439D" w:rsidRDefault="005D1EE1">
      <w:r>
        <w:rPr>
          <w:rFonts w:cs="Times New Roman"/>
        </w:rPr>
        <w:t xml:space="preserve">Level 2 follows the account and </w:t>
      </w:r>
      <w:r>
        <w:rPr>
          <w:rFonts w:cs="Times New Roman"/>
        </w:rPr>
        <w:t>cluster routes. Sub-process 5.1 decodes the bearer token and checks the role. Sub-process 5.2 ranks, filters and pages the accounts by score, status, cluster and search text, using the stored scores and the served threshold. Sub-process 5.3 joins the lates</w:t>
      </w:r>
      <w:r>
        <w:rPr>
          <w:rFonts w:cs="Times New Roman"/>
        </w:rPr>
        <w:t xml:space="preserve">t moderator decision to each account from the reviews table. For one account, 5.4 computes the gradient-times-input explanation through the loaded GraphSAGE weights and 5.5 builds the neighbourhood from the highest-scoring ties and the links between them. </w:t>
      </w:r>
      <w:r>
        <w:rPr>
          <w:rFonts w:cs="Times New Roman"/>
        </w:rPr>
        <w:t>Sub-process 5.6 returns a cluster with its members, shared behaviour and graph from clusters.json.</w:t>
      </w:r>
    </w:p>
    <w:p w:rsidR="004E439D" w:rsidRDefault="005D1EE1">
      <w:pPr>
        <w:pStyle w:val="Heading2"/>
      </w:pPr>
      <w:r>
        <w:lastRenderedPageBreak/>
        <w:t>UML class diagram</w:t>
      </w:r>
    </w:p>
    <w:p w:rsidR="004E439D" w:rsidRDefault="005D1EE1">
      <w:pPr>
        <w:keepNext/>
        <w:spacing w:after="80" w:line="240" w:lineRule="auto"/>
        <w:jc w:val="center"/>
      </w:pPr>
      <w:r>
        <w:rPr>
          <w:noProof/>
        </w:rPr>
        <w:drawing>
          <wp:inline distT="0" distB="0" distL="0" distR="0">
            <wp:extent cx="5303520" cy="4667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4667098"/>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three database models, the in-memory Store, the routers, and the graph and netw</w:t>
      </w:r>
      <w:r>
        <w:rPr>
          <w:rFonts w:cs="Times New Roman"/>
        </w:rPr>
        <w:t>ork classes of the ml package.</w:t>
      </w:r>
    </w:p>
    <w:p w:rsidR="004E439D" w:rsidRDefault="005D1EE1">
      <w:r>
        <w:rPr>
          <w:rFonts w:cs="Times New Roman"/>
        </w:rPr>
        <w:t>User, Review and TrainingRun are the SQLAlchemy models; a user makes many reviews and starts many training runs, and a review records the training run that used it in used_in_run, which is a logical link without a foreign key</w:t>
      </w:r>
      <w:r>
        <w:rPr>
          <w:rFonts w:cs="Times New Roman"/>
        </w:rPr>
        <w:t>. The Store singleton holds the graph, scores, clusters and metrics in memory and offers neighbour lookup, the neighbourhood edges and the gradient-times-input explanation. The routers read the Store and write Review and TrainingRun rows; the retrain route</w:t>
      </w:r>
      <w:r>
        <w:rPr>
          <w:rFonts w:cs="Times New Roman"/>
        </w:rPr>
        <w:t xml:space="preserve"> starts train.fit_all in a thread and then reloads the Store. Net is the two-layer network built from GCN, GraphSAGE or GAT layers over a sparse Graph object.</w:t>
      </w:r>
    </w:p>
    <w:p w:rsidR="004E439D" w:rsidRDefault="005D1EE1">
      <w:pPr>
        <w:pStyle w:val="Heading2"/>
      </w:pPr>
      <w:r>
        <w:lastRenderedPageBreak/>
        <w:t>Sequence diagram of the main flow</w:t>
      </w:r>
    </w:p>
    <w:p w:rsidR="004E439D" w:rsidRDefault="005D1EE1">
      <w:pPr>
        <w:keepNext/>
        <w:spacing w:after="80" w:line="240" w:lineRule="auto"/>
        <w:jc w:val="center"/>
      </w:pPr>
      <w:r>
        <w:rPr>
          <w:noProof/>
        </w:rPr>
        <w:drawing>
          <wp:inline distT="0" distB="0" distL="0" distR="0">
            <wp:extent cx="4572000" cy="438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572000" cy="4389120"/>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sign in,</w:t>
      </w:r>
      <w:r>
        <w:rPr>
          <w:rFonts w:cs="Times New Roman"/>
        </w:rPr>
        <w:t xml:space="preserve"> score and explain an account, record a moderator decision, retrain on the decisions.</w:t>
      </w:r>
    </w:p>
    <w:p w:rsidR="004E439D" w:rsidRDefault="005D1EE1">
      <w:r>
        <w:rPr>
          <w:rFonts w:cs="Times New Roman"/>
        </w:rPr>
        <w:t>The login request is checked against the users table with bcrypt and answered with a signed token. Every later call carries the token, which auth.py decodes before the ro</w:t>
      </w:r>
      <w:r>
        <w:rPr>
          <w:rFonts w:cs="Times New Roman"/>
        </w:rPr>
        <w:t xml:space="preserve">ute reads the Store; the account detail returns the score, the reasons from the gradient-times-input explanation, the neighbourhood and the decision history. A moderator decision passes require_moderator, which returns 403 for an analyst, and is stored as </w:t>
      </w:r>
      <w:r>
        <w:rPr>
          <w:rFonts w:cs="Times New Roman"/>
        </w:rPr>
        <w:t>a Review row. The retrain request collects the labels from the reviews, records a running TrainingRun, answers 202, and a background thread trains, writes the artefacts, reloads the Store and finally stores F1 after retraining and marks the used decisions.</w:t>
      </w:r>
    </w:p>
    <w:p w:rsidR="004E439D" w:rsidRDefault="005D1EE1">
      <w:pPr>
        <w:pStyle w:val="Heading2"/>
      </w:pPr>
      <w:r>
        <w:lastRenderedPageBreak/>
        <w:t>Use-case diagram</w:t>
      </w:r>
    </w:p>
    <w:p w:rsidR="004E439D" w:rsidRDefault="005D1EE1">
      <w:pPr>
        <w:keepNext/>
        <w:spacing w:after="80" w:line="240" w:lineRule="auto"/>
        <w:jc w:val="center"/>
      </w:pPr>
      <w:r>
        <w:rPr>
          <w:noProof/>
        </w:rPr>
        <w:drawing>
          <wp:inline distT="0" distB="0" distL="0" distR="0">
            <wp:extent cx="4572000" cy="347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474720"/>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analyst, the moderator (who inherits the analyst's use cases) and the researcher.</w:t>
      </w:r>
    </w:p>
    <w:p w:rsidR="004E439D" w:rsidRDefault="005D1EE1">
      <w:r>
        <w:rPr>
          <w:rFonts w:cs="Times New Roman"/>
        </w:rPr>
        <w:t xml:space="preserve">Everyone signs in with one of the two demo logins. The analyst can view the overview and the </w:t>
      </w:r>
      <w:r>
        <w:rPr>
          <w:rFonts w:cs="Times New Roman"/>
        </w:rPr>
        <w:t>graph and features, browse and search ranked accounts, inspect an account with its reasons and neighbourhood, explore botnet clusters and compare the models and the scalability results. The moderator can do all of that and also confirm or dismiss an accoun</w:t>
      </w:r>
      <w:r>
        <w:rPr>
          <w:rFonts w:cs="Times New Roman"/>
        </w:rPr>
        <w:t>t or a whole cluster, undo a decision that no training run has used, and start a retraining run. The researcher is a way of using the analyst login for the model comparison, not a separate role in the code.</w:t>
      </w:r>
    </w:p>
    <w:p w:rsidR="004E439D" w:rsidRDefault="005D1EE1">
      <w:pPr>
        <w:pStyle w:val="Heading2"/>
      </w:pPr>
      <w:r>
        <w:lastRenderedPageBreak/>
        <w:t>ER diagram</w:t>
      </w:r>
    </w:p>
    <w:p w:rsidR="004E439D" w:rsidRDefault="005D1EE1">
      <w:pPr>
        <w:keepNext/>
        <w:spacing w:after="80" w:line="240" w:lineRule="auto"/>
        <w:jc w:val="center"/>
      </w:pPr>
      <w:r>
        <w:rPr>
          <w:noProof/>
        </w:rPr>
        <w:drawing>
          <wp:inline distT="0" distB="0" distL="0" distR="0">
            <wp:extent cx="5303520" cy="46670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667098"/>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w:t>
      </w:r>
      <w:r>
        <w:rPr>
          <w:rFonts w:cs="Times New Roman"/>
        </w:rPr>
        <w:t>ntity-relationship diagram: the three SQLite tables and the file-based graph artefacts treated as logical entities.</w:t>
      </w:r>
    </w:p>
    <w:p w:rsidR="004E439D" w:rsidRDefault="005D1EE1">
      <w:r>
        <w:rPr>
          <w:rFonts w:cs="Times New Roman"/>
        </w:rPr>
        <w:t>Only users, reviews and training_runs are database tables. Both reviews and training_runs carry a foreign key user_id to users, and reviews.</w:t>
      </w:r>
      <w:r>
        <w:rPr>
          <w:rFonts w:cs="Times New Roman"/>
        </w:rPr>
        <w:t xml:space="preserve">used_in_run holds the id of the training run that used the decision, without a database constraint. The graph itself is stored in files: the accounts with their 23 features and labels, the ties (each with an edge_kind of real or injected), the clusters in </w:t>
      </w:r>
      <w:r>
        <w:rPr>
          <w:rFonts w:cs="Times New Roman"/>
        </w:rPr>
        <w:t>clusters.json and the scores of every model in scores.npz. A review points into those files through target_id and the list of member account ids, so a decision on a cluster fans out to every member.</w:t>
      </w:r>
    </w:p>
    <w:p w:rsidR="004E439D" w:rsidRDefault="005D1EE1">
      <w:pPr>
        <w:pStyle w:val="Heading2"/>
      </w:pPr>
      <w:r>
        <w:lastRenderedPageBreak/>
        <w:t>Flowchart of the core pipeline</w:t>
      </w:r>
    </w:p>
    <w:p w:rsidR="004E439D" w:rsidRDefault="005D1EE1">
      <w:pPr>
        <w:keepNext/>
        <w:spacing w:after="80" w:line="240" w:lineRule="auto"/>
        <w:jc w:val="center"/>
      </w:pPr>
      <w:r>
        <w:rPr>
          <w:noProof/>
        </w:rPr>
        <w:drawing>
          <wp:inline distT="0" distB="0" distL="0" distR="0">
            <wp:extent cx="5303520" cy="5727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pipeline.png"/>
                    <pic:cNvPicPr/>
                  </pic:nvPicPr>
                  <pic:blipFill>
                    <a:blip r:embed="rId17"/>
                    <a:stretch>
                      <a:fillRect/>
                    </a:stretch>
                  </pic:blipFill>
                  <pic:spPr>
                    <a:xfrm>
                      <a:off x="0" y="0"/>
                      <a:ext cx="5303520" cy="5727802"/>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build the graph, train four models for three seeds, tune the threshold on validation, serve the best.</w:t>
      </w:r>
    </w:p>
    <w:p w:rsidR="004E439D" w:rsidRDefault="005D1EE1">
      <w:r>
        <w:rPr>
          <w:rFonts w:cs="Times New Roman"/>
        </w:rPr>
        <w:t>The builder keeps the 3,963 real accounts and 88,156 ties, adds eight botnets and 150 lone spammers with a fi</w:t>
      </w:r>
      <w:r>
        <w:rPr>
          <w:rFonts w:cs="Times New Roman"/>
        </w:rPr>
        <w:t xml:space="preserve">xed seed, gives each account its profile, posting, timing and interaction features and camouflages part of the bots, which gives 4,533 accounts and 94,456 ties. Features are standardised and the stratified split is 2,719, 906 and 908 accounts. Each of the </w:t>
      </w:r>
      <w:r>
        <w:rPr>
          <w:rFonts w:cs="Times New Roman"/>
        </w:rPr>
        <w:t>four models is trained for seeds 0, 1 and 2 with a class-weighted loss, early stopping on validation F1 and a threshold tuned on the validation set; test metrics are averaged over the seeds. The graph model with the best validation F1 is served, and its em</w:t>
      </w:r>
      <w:r>
        <w:rPr>
          <w:rFonts w:cs="Times New Roman"/>
        </w:rPr>
        <w:t>beddings feed cluster detection.</w:t>
      </w:r>
    </w:p>
    <w:p w:rsidR="004E439D" w:rsidRDefault="005D1EE1">
      <w:pPr>
        <w:pStyle w:val="Heading2"/>
      </w:pPr>
      <w:r>
        <w:lastRenderedPageBreak/>
        <w:t>Flowchart of botnet cluster detection</w:t>
      </w:r>
    </w:p>
    <w:p w:rsidR="004E439D" w:rsidRDefault="005D1EE1">
      <w:pPr>
        <w:keepNext/>
        <w:spacing w:after="80" w:line="240" w:lineRule="auto"/>
        <w:jc w:val="center"/>
      </w:pPr>
      <w:r>
        <w:rPr>
          <w:noProof/>
        </w:rPr>
        <w:drawing>
          <wp:inline distT="0" distB="0" distL="0" distR="0">
            <wp:extent cx="5303520" cy="55156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clustering.png"/>
                    <pic:cNvPicPr/>
                  </pic:nvPicPr>
                  <pic:blipFill>
                    <a:blip r:embed="rId18"/>
                    <a:stretch>
                      <a:fillRect/>
                    </a:stretch>
                  </pic:blipFill>
                  <pic:spPr>
                    <a:xfrm>
                      <a:off x="0" y="0"/>
                      <a:ext cx="5303520" cy="5515661"/>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cluster detection: candidates, similarity graph plus real ties, Louvain, size filter, description and the coordinated or diffuse label</w:t>
      </w:r>
      <w:r>
        <w:rPr>
          <w:rFonts w:cs="Times New Roman"/>
        </w:rPr>
        <w:t>.</w:t>
      </w:r>
    </w:p>
    <w:p w:rsidR="004E439D" w:rsidRDefault="005D1EE1">
      <w:r>
        <w:rPr>
          <w:rFonts w:cs="Times New Roman"/>
        </w:rPr>
        <w:t>Accounts with a fake-probability of at least 0.30 become candidates. Each candidate is linked to its five most cosine-similar candidates in the 64-dimensional embedding space, and every real tie between two candidates adds a weight of 1.0. Louvain commun</w:t>
      </w:r>
      <w:r>
        <w:rPr>
          <w:rFonts w:cs="Times New Roman"/>
        </w:rPr>
        <w:t xml:space="preserve">ity detection groups this weighted graph, groups with fewer than five accounts are dropped, and each remaining group is described by its size, mean score, tie density and shared behaviour. A group with a tie density of at least 5% is labelled coordinated, </w:t>
      </w:r>
      <w:r>
        <w:rPr>
          <w:rFonts w:cs="Times New Roman"/>
        </w:rPr>
        <w:t>otherwise diffuse; on the served model this gives nine groups, the eight injected botnets and one loose group of 160 accounts.</w:t>
      </w:r>
    </w:p>
    <w:p w:rsidR="004E439D" w:rsidRDefault="005D1EE1">
      <w:pPr>
        <w:pStyle w:val="Heading2"/>
      </w:pPr>
      <w:r>
        <w:lastRenderedPageBreak/>
        <w:t>Model architecture</w:t>
      </w:r>
    </w:p>
    <w:p w:rsidR="004E439D" w:rsidRDefault="005D1EE1">
      <w:pPr>
        <w:keepNext/>
        <w:spacing w:after="80" w:line="240" w:lineRule="auto"/>
        <w:jc w:val="center"/>
      </w:pPr>
      <w:r>
        <w:rPr>
          <w:noProof/>
        </w:rPr>
        <w:drawing>
          <wp:inline distT="0" distB="0" distL="0" distR="0">
            <wp:extent cx="5303520" cy="39246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5303520" cy="3924605"/>
                    </a:xfrm>
                    <a:prstGeom prst="rect">
                      <a:avLst/>
                    </a:prstGeom>
                  </pic:spPr>
                </pic:pic>
              </a:graphicData>
            </a:graphic>
          </wp:inline>
        </w:drawing>
      </w:r>
    </w:p>
    <w:p w:rsidR="004E439D" w:rsidRDefault="005D1EE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Architecture of the node classifiers: two message-passing layers, a </w:t>
      </w:r>
      <w:r>
        <w:rPr>
          <w:rFonts w:cs="Times New Roman"/>
        </w:rPr>
        <w:t>linear head, and the layer formulas for the baseline, GCN, GraphSAGE and GAT.</w:t>
      </w:r>
    </w:p>
    <w:p w:rsidR="004E439D" w:rsidRDefault="005D1EE1">
      <w:r>
        <w:rPr>
          <w:rFonts w:cs="Times New Roman"/>
        </w:rPr>
        <w:t>All four models share one shape. The standardised 23 features pass through dropout 0.3, a first layer from 23 to 64 units with ELU, dropout, a second layer from 64 to 64 units wi</w:t>
      </w:r>
      <w:r>
        <w:rPr>
          <w:rFonts w:cs="Times New Roman"/>
        </w:rPr>
        <w:t>th ELU, dropout and a linear layer to two outputs, followed by a softmax that gives the fake-probability. The output of the second layer is the 64-dimensional embedding used for botnet clustering. The baseline replaces the layers with dense ones that ignor</w:t>
      </w:r>
      <w:r>
        <w:rPr>
          <w:rFonts w:cs="Times New Roman"/>
        </w:rPr>
        <w:t>e neighbours; GCN multiplies by the symmetrically normalised adjacency with self-loops; GraphSAGE keeps separate weights for the account itself and the mean of its neighbours; GAT weighs each neighbour with a learned attention.</w:t>
      </w:r>
    </w:p>
    <w:sectPr w:rsidR="004E439D"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D1EE1">
      <w:pPr>
        <w:spacing w:after="0" w:line="240" w:lineRule="auto"/>
      </w:pPr>
      <w:r>
        <w:separator/>
      </w:r>
    </w:p>
  </w:endnote>
  <w:endnote w:type="continuationSeparator" w:id="0">
    <w:p w:rsidR="00000000" w:rsidRDefault="005D1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439D" w:rsidRDefault="005D1EE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D1EE1">
      <w:pPr>
        <w:spacing w:after="0" w:line="240" w:lineRule="auto"/>
      </w:pPr>
      <w:r>
        <w:separator/>
      </w:r>
    </w:p>
  </w:footnote>
  <w:footnote w:type="continuationSeparator" w:id="0">
    <w:p w:rsidR="00000000" w:rsidRDefault="005D1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439D" w:rsidRDefault="005D1EE1">
    <w:pPr>
      <w:pStyle w:val="Header"/>
      <w:jc w:val="center"/>
    </w:pPr>
    <w:r>
      <w:rPr>
        <w:rFonts w:cs="Times New Roman"/>
        <w:i/>
        <w:color w:val="555555"/>
        <w:sz w:val="20"/>
      </w:rPr>
      <w:t>BotGraph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39D"/>
    <w:rsid w:val="005D1E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805B814-05B7-4C2E-8692-BDD38A15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5D1EE1"/>
    <w:pPr>
      <w:spacing w:after="0" w:line="240" w:lineRule="auto"/>
    </w:pPr>
    <w:rPr>
      <w:rFonts w:cs="Times New Roman"/>
      <w:sz w:val="21"/>
    </w:rPr>
  </w:style>
  <w:style w:type="paragraph" w:styleId="TOC2">
    <w:name w:val="toc 2"/>
    <w:basedOn w:val="Normal"/>
    <w:next w:val="Normal"/>
    <w:autoRedefine/>
    <w:uiPriority w:val="39"/>
    <w:semiHidden/>
    <w:unhideWhenUsed/>
    <w:rsid w:val="005D1EE1"/>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5D1EE1"/>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86EAB8-1669-482E-873F-D326FA500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1752</Words>
  <Characters>9564</Characters>
  <Application>Microsoft Office Word</Application>
  <DocSecurity>0</DocSecurity>
  <Lines>216</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2026-10-26T05:52:00Z</dcterms:modified>
  <cp:category/>
</cp:coreProperties>
</file>