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43E5" w:rsidRDefault="004143E5">
      <w:pPr>
        <w:spacing w:after="480" w:line="240" w:lineRule="auto"/>
      </w:pPr>
      <w:bookmarkStart w:id="0" w:name="_GoBack"/>
      <w:bookmarkEnd w:id="0"/>
    </w:p>
    <w:p w:rsidR="004143E5" w:rsidRDefault="00140A06">
      <w:pPr>
        <w:jc w:val="center"/>
      </w:pPr>
      <w:r>
        <w:rPr>
          <w:rFonts w:cs="Times New Roman"/>
          <w:b/>
          <w:sz w:val="36"/>
        </w:rPr>
        <w:t>DETECTING AI GENERATED IMAGES WITH CNN AND INTERPRETATION USING EXPLAINABLE AI</w:t>
      </w:r>
    </w:p>
    <w:p w:rsidR="004143E5" w:rsidRDefault="00140A06">
      <w:pPr>
        <w:spacing w:after="280"/>
        <w:jc w:val="center"/>
      </w:pPr>
      <w:r>
        <w:rPr>
          <w:rFonts w:cs="Times New Roman"/>
          <w:b/>
          <w:sz w:val="28"/>
        </w:rPr>
        <w:t>Conclusion, Future Scope and References</w:t>
      </w:r>
    </w:p>
    <w:p w:rsidR="004143E5" w:rsidRDefault="00140A06">
      <w:pPr>
        <w:spacing w:after="40"/>
        <w:jc w:val="center"/>
      </w:pPr>
      <w:r>
        <w:rPr>
          <w:rFonts w:cs="Times New Roman"/>
        </w:rPr>
        <w:t>Department of Computer Science and Engineering, [COLLEGE NAME]</w:t>
      </w:r>
    </w:p>
    <w:p w:rsidR="004143E5" w:rsidRDefault="00140A06">
      <w:pPr>
        <w:spacing w:after="240"/>
        <w:jc w:val="center"/>
      </w:pPr>
      <w:r>
        <w:rPr>
          <w:rFonts w:cs="Times New Roman"/>
        </w:rPr>
        <w:t>Batch C14 (CSE-C)  ·  Academic year [ACADEMIC YEAR]</w:t>
      </w:r>
    </w:p>
    <w:p w:rsidR="004143E5" w:rsidRDefault="00140A06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4143E5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4143E5" w:rsidRDefault="00140A06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4143E5" w:rsidRDefault="00140A06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4143E5" w:rsidRDefault="00140A06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4143E5">
        <w:trPr>
          <w:cantSplit/>
          <w:jc w:val="center"/>
        </w:trPr>
        <w:tc>
          <w:tcPr>
            <w:tcW w:w="1008" w:type="dxa"/>
          </w:tcPr>
          <w:p w:rsidR="004143E5" w:rsidRDefault="00140A0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4143E5" w:rsidRDefault="00140A06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Ponugoti Viduranandan</w:t>
            </w:r>
          </w:p>
        </w:tc>
        <w:tc>
          <w:tcPr>
            <w:tcW w:w="2592" w:type="dxa"/>
          </w:tcPr>
          <w:p w:rsidR="004143E5" w:rsidRDefault="00140A0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23K91A05J5</w:t>
            </w:r>
          </w:p>
        </w:tc>
      </w:tr>
      <w:tr w:rsidR="004143E5">
        <w:trPr>
          <w:cantSplit/>
          <w:jc w:val="center"/>
        </w:trPr>
        <w:tc>
          <w:tcPr>
            <w:tcW w:w="1008" w:type="dxa"/>
          </w:tcPr>
          <w:p w:rsidR="004143E5" w:rsidRDefault="00140A0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4143E5" w:rsidRDefault="00140A06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Naina Baherji</w:t>
            </w:r>
          </w:p>
        </w:tc>
        <w:tc>
          <w:tcPr>
            <w:tcW w:w="2592" w:type="dxa"/>
          </w:tcPr>
          <w:p w:rsidR="004143E5" w:rsidRDefault="00140A0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23K91A05G9</w:t>
            </w:r>
          </w:p>
        </w:tc>
      </w:tr>
      <w:tr w:rsidR="004143E5">
        <w:trPr>
          <w:cantSplit/>
          <w:jc w:val="center"/>
        </w:trPr>
        <w:tc>
          <w:tcPr>
            <w:tcW w:w="1008" w:type="dxa"/>
          </w:tcPr>
          <w:p w:rsidR="004143E5" w:rsidRDefault="00140A0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4143E5" w:rsidRDefault="00140A06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Likki Pranathi</w:t>
            </w:r>
          </w:p>
        </w:tc>
        <w:tc>
          <w:tcPr>
            <w:tcW w:w="2592" w:type="dxa"/>
          </w:tcPr>
          <w:p w:rsidR="004143E5" w:rsidRDefault="00140A0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23K91A05D2</w:t>
            </w:r>
          </w:p>
        </w:tc>
      </w:tr>
      <w:tr w:rsidR="004143E5">
        <w:trPr>
          <w:cantSplit/>
          <w:jc w:val="center"/>
        </w:trPr>
        <w:tc>
          <w:tcPr>
            <w:tcW w:w="1008" w:type="dxa"/>
          </w:tcPr>
          <w:p w:rsidR="004143E5" w:rsidRDefault="00140A0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4143E5" w:rsidRDefault="00140A06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Motasani Sathish</w:t>
            </w:r>
          </w:p>
        </w:tc>
        <w:tc>
          <w:tcPr>
            <w:tcW w:w="2592" w:type="dxa"/>
          </w:tcPr>
          <w:p w:rsidR="004143E5" w:rsidRDefault="00140A0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23K91A05G0</w:t>
            </w:r>
          </w:p>
        </w:tc>
      </w:tr>
    </w:tbl>
    <w:p w:rsidR="004143E5" w:rsidRDefault="004143E5">
      <w:pPr>
        <w:spacing w:line="192" w:lineRule="auto"/>
      </w:pPr>
    </w:p>
    <w:p w:rsidR="004143E5" w:rsidRDefault="00140A06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M Thanmayee</w:t>
      </w:r>
    </w:p>
    <w:p w:rsidR="004143E5" w:rsidRDefault="00140A06">
      <w:r>
        <w:rPr>
          <w:rFonts w:cs="Times New Roman"/>
          <w:i/>
          <w:sz w:val="21"/>
        </w:rPr>
        <w:t xml:space="preserve">Chapter and section numbers </w:t>
      </w:r>
      <w:r>
        <w:rPr>
          <w:rFonts w:cs="Times New Roman"/>
          <w:i/>
          <w:sz w:val="21"/>
        </w:rPr>
        <w:t>quoted in the text (for example Chapter 8 or Section 6.2) refer to the full project report, 17.Final Document. Figures and tables in this document are numbered from 1.</w:t>
      </w:r>
    </w:p>
    <w:p w:rsidR="004143E5" w:rsidRDefault="00140A06">
      <w:pPr>
        <w:pStyle w:val="Heading1"/>
      </w:pPr>
      <w:r>
        <w:t>1. CONCLUSION</w:t>
      </w:r>
    </w:p>
    <w:p w:rsidR="004143E5" w:rsidRDefault="00140A06">
      <w:pPr>
        <w:pStyle w:val="Heading2"/>
      </w:pPr>
      <w:r>
        <w:t>1.1 Summary of the work</w:t>
      </w:r>
    </w:p>
    <w:p w:rsidR="004143E5" w:rsidRDefault="00140A06">
      <w:r>
        <w:rPr>
          <w:rFonts w:cs="Times New Roman"/>
        </w:rPr>
        <w:t xml:space="preserve">The project set out to detect AI-generated images </w:t>
      </w:r>
      <w:r>
        <w:rPr>
          <w:rFonts w:cs="Times New Roman"/>
        </w:rPr>
        <w:t xml:space="preserve">with convolutional neural networks and to explain each decision with Grad-CAM. The result is VeriVision AI: four ImageNet-pretrained CNN routes (EfficientNet-B0 with two augmentation regimes, ResNet50 at 320 px and MobileNetV3-Large), fused in logit space </w:t>
      </w:r>
      <w:r>
        <w:rPr>
          <w:rFonts w:cs="Times New Roman"/>
        </w:rPr>
        <w:t xml:space="preserve">with two deterministic gates, together with Grad-CAM heat maps, a per-image robustness check and a Flask and React application that runs entirely on the user's machine. The shipped models were first trained on synthetic demonstration images, whose perfect </w:t>
      </w:r>
      <w:r>
        <w:rPr>
          <w:rFonts w:cs="Times New Roman"/>
        </w:rPr>
        <w:t>scores carry no meaning; they were replaced for this report by models trained on a real data subset, and every number in the report comes from those models.</w:t>
      </w:r>
    </w:p>
    <w:p w:rsidR="004143E5" w:rsidRDefault="00140A06">
      <w:r>
        <w:rPr>
          <w:rFonts w:cs="Times New Roman"/>
        </w:rPr>
        <w:t xml:space="preserve">On a class-balanced subset of the CIFAKE benchmark [8] (6,000 training, 1,200 validation and 2,000 </w:t>
      </w:r>
      <w:r>
        <w:rPr>
          <w:rFonts w:cs="Times New Roman"/>
        </w:rPr>
        <w:t xml:space="preserve">held-out test images) the ensemble reached an accuracy of 92.35% </w:t>
      </w:r>
      <w:r>
        <w:rPr>
          <w:rFonts w:cs="Times New Roman"/>
        </w:rPr>
        <w:lastRenderedPageBreak/>
        <w:t xml:space="preserve">(95% interval 91.1% to 93.5%), F1 0.9275 and ROC-AUC 0.9865. A single analysis through the API takes a median of 0.25 s for the verdict alone and 1.70 s with the heat maps and the robustness </w:t>
      </w:r>
      <w:r>
        <w:rPr>
          <w:rFonts w:cs="Times New Roman"/>
        </w:rPr>
        <w:t>check, on a desktop CPU.</w:t>
      </w:r>
    </w:p>
    <w:p w:rsidR="004143E5" w:rsidRDefault="00140A06">
      <w:pPr>
        <w:pStyle w:val="Heading2"/>
      </w:pPr>
      <w:r>
        <w:t>1.2 Objectives achieved</w:t>
      </w:r>
    </w:p>
    <w:p w:rsidR="004143E5" w:rsidRDefault="00140A06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Objectives of the project against the measured outcome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634"/>
        <w:gridCol w:w="1418"/>
        <w:gridCol w:w="4260"/>
      </w:tblGrid>
      <w:tr w:rsidR="004143E5">
        <w:trPr>
          <w:cantSplit/>
          <w:tblHeader/>
          <w:jc w:val="center"/>
        </w:trPr>
        <w:tc>
          <w:tcPr>
            <w:tcW w:w="576" w:type="dxa"/>
            <w:shd w:val="clear" w:color="auto" w:fill="1B2A41"/>
          </w:tcPr>
          <w:p w:rsidR="004143E5" w:rsidRDefault="00140A06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No.</w:t>
            </w:r>
          </w:p>
        </w:tc>
        <w:tc>
          <w:tcPr>
            <w:tcW w:w="2736" w:type="dxa"/>
            <w:shd w:val="clear" w:color="auto" w:fill="1B2A41"/>
          </w:tcPr>
          <w:p w:rsidR="004143E5" w:rsidRDefault="00140A06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Objective</w:t>
            </w:r>
          </w:p>
        </w:tc>
        <w:tc>
          <w:tcPr>
            <w:tcW w:w="1440" w:type="dxa"/>
            <w:shd w:val="clear" w:color="auto" w:fill="1B2A41"/>
          </w:tcPr>
          <w:p w:rsidR="004143E5" w:rsidRDefault="00140A06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Status</w:t>
            </w:r>
          </w:p>
        </w:tc>
        <w:tc>
          <w:tcPr>
            <w:tcW w:w="4464" w:type="dxa"/>
            <w:shd w:val="clear" w:color="auto" w:fill="1B2A41"/>
          </w:tcPr>
          <w:p w:rsidR="004143E5" w:rsidRDefault="00140A06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Evidence</w:t>
            </w:r>
          </w:p>
        </w:tc>
      </w:tr>
      <w:tr w:rsidR="004143E5">
        <w:trPr>
          <w:cantSplit/>
          <w:jc w:val="center"/>
        </w:trPr>
        <w:tc>
          <w:tcPr>
            <w:tcW w:w="576" w:type="dxa"/>
          </w:tcPr>
          <w:p w:rsidR="004143E5" w:rsidRDefault="00140A06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1</w:t>
            </w:r>
          </w:p>
        </w:tc>
        <w:tc>
          <w:tcPr>
            <w:tcW w:w="2736" w:type="dxa"/>
          </w:tcPr>
          <w:p w:rsidR="004143E5" w:rsidRDefault="00140A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Assemble a dataset of real photographs and AI-generated images</w:t>
            </w:r>
          </w:p>
        </w:tc>
        <w:tc>
          <w:tcPr>
            <w:tcW w:w="1440" w:type="dxa"/>
          </w:tcPr>
          <w:p w:rsidR="004143E5" w:rsidRDefault="00140A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Partly met</w:t>
            </w:r>
          </w:p>
        </w:tc>
        <w:tc>
          <w:tcPr>
            <w:tcW w:w="4464" w:type="dxa"/>
          </w:tcPr>
          <w:p w:rsidR="004143E5" w:rsidRDefault="00140A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 xml:space="preserve">CIFAKE </w:t>
            </w:r>
            <w:r>
              <w:rPr>
                <w:rFonts w:cs="Times New Roman"/>
                <w:sz w:val="18"/>
              </w:rPr>
              <w:t>subset (one generator, 32 px) plus a 600-image full-resolution probe from another source; not several generators</w:t>
            </w:r>
          </w:p>
        </w:tc>
      </w:tr>
      <w:tr w:rsidR="004143E5">
        <w:trPr>
          <w:cantSplit/>
          <w:jc w:val="center"/>
        </w:trPr>
        <w:tc>
          <w:tcPr>
            <w:tcW w:w="576" w:type="dxa"/>
          </w:tcPr>
          <w:p w:rsidR="004143E5" w:rsidRDefault="00140A06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2</w:t>
            </w:r>
          </w:p>
        </w:tc>
        <w:tc>
          <w:tcPr>
            <w:tcW w:w="2736" w:type="dxa"/>
          </w:tcPr>
          <w:p w:rsidR="004143E5" w:rsidRDefault="00140A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Preprocess and augment the images</w:t>
            </w:r>
          </w:p>
        </w:tc>
        <w:tc>
          <w:tcPr>
            <w:tcW w:w="1440" w:type="dxa"/>
          </w:tcPr>
          <w:p w:rsidR="004143E5" w:rsidRDefault="00140A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Met</w:t>
            </w:r>
          </w:p>
        </w:tc>
        <w:tc>
          <w:tcPr>
            <w:tcW w:w="4464" w:type="dxa"/>
          </w:tcPr>
          <w:p w:rsidR="004143E5" w:rsidRDefault="00140A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 xml:space="preserve">Per-route resizing, ImageNet normalisation and augmentation; the distortion-hardened route did not </w:t>
            </w:r>
            <w:r>
              <w:rPr>
                <w:rFonts w:cs="Times New Roman"/>
                <w:sz w:val="18"/>
              </w:rPr>
              <w:t>improve resize/blur robustness</w:t>
            </w:r>
          </w:p>
        </w:tc>
      </w:tr>
      <w:tr w:rsidR="004143E5">
        <w:trPr>
          <w:cantSplit/>
          <w:jc w:val="center"/>
        </w:trPr>
        <w:tc>
          <w:tcPr>
            <w:tcW w:w="576" w:type="dxa"/>
          </w:tcPr>
          <w:p w:rsidR="004143E5" w:rsidRDefault="00140A06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3</w:t>
            </w:r>
          </w:p>
        </w:tc>
        <w:tc>
          <w:tcPr>
            <w:tcW w:w="2736" w:type="dxa"/>
          </w:tcPr>
          <w:p w:rsidR="004143E5" w:rsidRDefault="00140A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Train CNN classifiers</w:t>
            </w:r>
          </w:p>
        </w:tc>
        <w:tc>
          <w:tcPr>
            <w:tcW w:w="1440" w:type="dxa"/>
          </w:tcPr>
          <w:p w:rsidR="004143E5" w:rsidRDefault="00140A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Met</w:t>
            </w:r>
          </w:p>
        </w:tc>
        <w:tc>
          <w:tcPr>
            <w:tcW w:w="4464" w:type="dxa"/>
          </w:tcPr>
          <w:p w:rsidR="004143E5" w:rsidRDefault="00140A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Four routes; ensemble accuracy 92.35%, F1 0.9275, ROC-AUC 0.9865 on 2,000 held-out images</w:t>
            </w:r>
          </w:p>
        </w:tc>
      </w:tr>
      <w:tr w:rsidR="004143E5">
        <w:trPr>
          <w:cantSplit/>
          <w:jc w:val="center"/>
        </w:trPr>
        <w:tc>
          <w:tcPr>
            <w:tcW w:w="576" w:type="dxa"/>
          </w:tcPr>
          <w:p w:rsidR="004143E5" w:rsidRDefault="00140A06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4</w:t>
            </w:r>
          </w:p>
        </w:tc>
        <w:tc>
          <w:tcPr>
            <w:tcW w:w="2736" w:type="dxa"/>
          </w:tcPr>
          <w:p w:rsidR="004143E5" w:rsidRDefault="00140A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Evaluate cross-generator performance</w:t>
            </w:r>
          </w:p>
        </w:tc>
        <w:tc>
          <w:tcPr>
            <w:tcW w:w="1440" w:type="dxa"/>
          </w:tcPr>
          <w:p w:rsidR="004143E5" w:rsidRDefault="00140A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Measured, not achieved</w:t>
            </w:r>
          </w:p>
        </w:tc>
        <w:tc>
          <w:tcPr>
            <w:tcW w:w="4464" w:type="dxa"/>
          </w:tcPr>
          <w:p w:rsidR="004143E5" w:rsidRDefault="00140A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Cross-domain probe: accuracy 51.0%, ROC-AUC</w:t>
            </w:r>
            <w:r>
              <w:rPr>
                <w:rFonts w:cs="Times New Roman"/>
                <w:sz w:val="18"/>
              </w:rPr>
              <w:t xml:space="preserve"> 0.499 (chance level); generator and domain shift not separable</w:t>
            </w:r>
          </w:p>
        </w:tc>
      </w:tr>
      <w:tr w:rsidR="004143E5">
        <w:trPr>
          <w:cantSplit/>
          <w:jc w:val="center"/>
        </w:trPr>
        <w:tc>
          <w:tcPr>
            <w:tcW w:w="576" w:type="dxa"/>
          </w:tcPr>
          <w:p w:rsidR="004143E5" w:rsidRDefault="00140A06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5</w:t>
            </w:r>
          </w:p>
        </w:tc>
        <w:tc>
          <w:tcPr>
            <w:tcW w:w="2736" w:type="dxa"/>
          </w:tcPr>
          <w:p w:rsidR="004143E5" w:rsidRDefault="00140A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Apply Grad-CAM</w:t>
            </w:r>
          </w:p>
        </w:tc>
        <w:tc>
          <w:tcPr>
            <w:tcW w:w="1440" w:type="dxa"/>
          </w:tcPr>
          <w:p w:rsidR="004143E5" w:rsidRDefault="00140A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Met (qualitative)</w:t>
            </w:r>
          </w:p>
        </w:tc>
        <w:tc>
          <w:tcPr>
            <w:tcW w:w="4464" w:type="dxa"/>
          </w:tcPr>
          <w:p w:rsidR="004143E5" w:rsidRDefault="00140A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Heat maps for three routes in every analysis; faithfulness not measured</w:t>
            </w:r>
          </w:p>
        </w:tc>
      </w:tr>
      <w:tr w:rsidR="004143E5">
        <w:trPr>
          <w:cantSplit/>
          <w:jc w:val="center"/>
        </w:trPr>
        <w:tc>
          <w:tcPr>
            <w:tcW w:w="576" w:type="dxa"/>
          </w:tcPr>
          <w:p w:rsidR="004143E5" w:rsidRDefault="00140A06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6</w:t>
            </w:r>
          </w:p>
        </w:tc>
        <w:tc>
          <w:tcPr>
            <w:tcW w:w="2736" w:type="dxa"/>
          </w:tcPr>
          <w:p w:rsidR="004143E5" w:rsidRDefault="00140A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Deploy an interface with verdict, confidence and explanation</w:t>
            </w:r>
          </w:p>
        </w:tc>
        <w:tc>
          <w:tcPr>
            <w:tcW w:w="1440" w:type="dxa"/>
          </w:tcPr>
          <w:p w:rsidR="004143E5" w:rsidRDefault="00140A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Met</w:t>
            </w:r>
          </w:p>
        </w:tc>
        <w:tc>
          <w:tcPr>
            <w:tcW w:w="4464" w:type="dxa"/>
          </w:tcPr>
          <w:p w:rsidR="004143E5" w:rsidRDefault="00140A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 xml:space="preserve">Flask API + React app; </w:t>
            </w:r>
            <w:r>
              <w:rPr>
                <w:rFonts w:ascii="Consolas" w:eastAsia="Consolas" w:hAnsi="Consolas" w:cs="Consolas"/>
                <w:sz w:val="15"/>
              </w:rPr>
              <w:t>/api/analyze</w:t>
            </w:r>
            <w:r>
              <w:rPr>
                <w:rFonts w:cs="Times New Roman"/>
                <w:sz w:val="18"/>
              </w:rPr>
              <w:t xml:space="preserve"> median 1.70 s on CPU; 19/19 tests, 29/29 smoke checks</w:t>
            </w:r>
          </w:p>
        </w:tc>
      </w:tr>
    </w:tbl>
    <w:p w:rsidR="004143E5" w:rsidRDefault="004143E5">
      <w:pPr>
        <w:spacing w:line="192" w:lineRule="auto"/>
      </w:pPr>
    </w:p>
    <w:p w:rsidR="004143E5" w:rsidRDefault="00140A06">
      <w:pPr>
        <w:pStyle w:val="Heading2"/>
      </w:pPr>
      <w:r>
        <w:t>1.3 Key findings</w:t>
      </w:r>
    </w:p>
    <w:p w:rsidR="004143E5" w:rsidRDefault="00140A06">
      <w:pPr>
        <w:spacing w:after="60"/>
        <w:ind w:left="720" w:hanging="432"/>
      </w:pPr>
      <w:r>
        <w:rPr>
          <w:rFonts w:cs="Times New Roman"/>
        </w:rPr>
        <w:t>1.  The ensemble is the best model by ROC-AUC (0.9865), but its accuracy advantage over the best single route (A1, 91.80%) is not statistically dis</w:t>
      </w:r>
      <w:r>
        <w:rPr>
          <w:rFonts w:cs="Times New Roman"/>
        </w:rPr>
        <w:t>tinguishable: the two bootstrap intervals overlap.</w:t>
      </w:r>
    </w:p>
    <w:p w:rsidR="004143E5" w:rsidRDefault="00140A06">
      <w:pPr>
        <w:spacing w:after="60"/>
        <w:ind w:left="720" w:hanging="432"/>
      </w:pPr>
      <w:r>
        <w:rPr>
          <w:rFonts w:cs="Times New Roman"/>
        </w:rPr>
        <w:t>1.  The fusion gates did not help. Gate 1 fired on 7 of 2,000 images and Gate 2 on 0; the ensemble without gates scored 92.45%. Logit-space fusion matched probability averaging on accuracy and beat it, and</w:t>
      </w:r>
      <w:r>
        <w:rPr>
          <w:rFonts w:cs="Times New Roman"/>
        </w:rPr>
        <w:t xml:space="preserve"> majority voting, on ROC-AUC.</w:t>
      </w:r>
    </w:p>
    <w:p w:rsidR="004143E5" w:rsidRDefault="00140A06">
      <w:pPr>
        <w:spacing w:after="60"/>
        <w:ind w:left="720" w:hanging="432"/>
      </w:pPr>
      <w:r>
        <w:rPr>
          <w:rFonts w:cs="Times New Roman"/>
        </w:rPr>
        <w:t>1.  Errors lean toward the AI-generated class (false-positive rate 13.1%, false-negative rate 2.2%). Wrong answers lie close to the decision boundary (mean fused margin 1.09 against 3.56 for correct answers), and all four rout</w:t>
      </w:r>
      <w:r>
        <w:rPr>
          <w:rFonts w:cs="Times New Roman"/>
        </w:rPr>
        <w:t>es agree on 81.2% of images.</w:t>
      </w:r>
    </w:p>
    <w:p w:rsidR="004143E5" w:rsidRDefault="00140A06">
      <w:pPr>
        <w:spacing w:after="60"/>
        <w:ind w:left="720" w:hanging="432"/>
      </w:pPr>
      <w:r>
        <w:rPr>
          <w:rFonts w:cs="Times New Roman"/>
        </w:rPr>
        <w:t>1.  Resizing and blurring remove the detectable cue on 32 px images: the ensemble falls to 61.0% and 58.3%, while JPEG q=60 and noise cost about four to five points. Distortion-hardened training did not change this.</w:t>
      </w:r>
    </w:p>
    <w:p w:rsidR="004143E5" w:rsidRDefault="00140A06">
      <w:pPr>
        <w:spacing w:after="60"/>
        <w:ind w:left="720" w:hanging="432"/>
      </w:pPr>
      <w:r>
        <w:rPr>
          <w:rFonts w:cs="Times New Roman"/>
        </w:rPr>
        <w:t xml:space="preserve">1.  The </w:t>
      </w:r>
      <w:r>
        <w:rPr>
          <w:rFonts w:cs="Times New Roman"/>
        </w:rPr>
        <w:t>models do not transfer: on 600 full-resolution images from another source the ensemble scored 51.0% (ROC-AUC 0.499). Strong in-domain scores on CIFAKE therefore say little about modern generators.</w:t>
      </w:r>
    </w:p>
    <w:p w:rsidR="004143E5" w:rsidRDefault="00140A06">
      <w:pPr>
        <w:spacing w:after="60"/>
        <w:ind w:left="720" w:hanging="432"/>
      </w:pPr>
      <w:r>
        <w:rPr>
          <w:rFonts w:cs="Times New Roman"/>
        </w:rPr>
        <w:lastRenderedPageBreak/>
        <w:t>1.  Compared with the base paper [1] the only like-for-like</w:t>
      </w:r>
      <w:r>
        <w:rPr>
          <w:rFonts w:cs="Times New Roman"/>
        </w:rPr>
        <w:t xml:space="preserve"> figure is ROC-AUC: 98.65% here in-domain on CIFAKE against 98.9% on FaceForensics++ in the paper. The paper's DFDC figure (77.0%) and this project's cross-domain figure (49.9%) both fall when the data change, but the tasks, data and training regimes diffe</w:t>
      </w:r>
      <w:r>
        <w:rPr>
          <w:rFonts w:cs="Times New Roman"/>
        </w:rPr>
        <w:t>r, so neither is evidence that one method is better.</w:t>
      </w:r>
    </w:p>
    <w:p w:rsidR="004143E5" w:rsidRDefault="00140A06">
      <w:pPr>
        <w:pStyle w:val="Heading2"/>
      </w:pPr>
      <w:r>
        <w:t>1.4 Practical applications</w:t>
      </w:r>
    </w:p>
    <w:p w:rsidR="004143E5" w:rsidRDefault="00140A06">
      <w:r>
        <w:rPr>
          <w:rFonts w:cs="Times New Roman"/>
        </w:rPr>
        <w:t>As built, the tool suits teaching and demonstration: it shows how an ensemble, an explanation and a robustness check can be combined into one interface that runs offline. For a</w:t>
      </w:r>
      <w:r>
        <w:rPr>
          <w:rFonts w:cs="Times New Roman"/>
        </w:rPr>
        <w:t>n analyst it is a second opinion on small, compressed images similar to its training data, to be read together with the per-route votes, the heat map and the consistency score. It should not be used to decide a dispute on its own.</w:t>
      </w:r>
    </w:p>
    <w:p w:rsidR="004143E5" w:rsidRDefault="00140A06">
      <w:pPr>
        <w:pStyle w:val="Heading2"/>
      </w:pPr>
      <w:r>
        <w:t>1.5 Known limitations</w:t>
      </w:r>
    </w:p>
    <w:p w:rsidR="004143E5" w:rsidRDefault="00140A06">
      <w:r>
        <w:rPr>
          <w:rFonts w:cs="Times New Roman"/>
        </w:rPr>
        <w:t>The</w:t>
      </w:r>
      <w:r>
        <w:rPr>
          <w:rFonts w:cs="Times New Roman"/>
        </w:rPr>
        <w:t xml:space="preserve"> limits that matter most are the small low-resolution single-generator training data, the chance-level cross-domain result, the fragility to resizing and blur, the bias toward the AI-generated class, the untuned gates and thresholds, the single training ru</w:t>
      </w:r>
      <w:r>
        <w:rPr>
          <w:rFonts w:cs="Times New Roman"/>
        </w:rPr>
        <w:t>n per route, the qualitative explanations and the demonstration-grade sign-in. They are discussed in Chapters 1 and 8 and in the scope and limitations document, and the items that were not measured are listed there.</w:t>
      </w:r>
    </w:p>
    <w:p w:rsidR="004143E5" w:rsidRDefault="00140A06">
      <w:r>
        <w:rPr>
          <w:rFonts w:cs="Times New Roman"/>
        </w:rPr>
        <w:t xml:space="preserve">The results behind the key findings are </w:t>
      </w:r>
      <w:r>
        <w:rPr>
          <w:rFonts w:cs="Times New Roman"/>
        </w:rPr>
        <w:t>shown below: the accuracy, F1 and ROC-AUC of each route and of the ensemble on the held-out test subset, and the fusion ablation that shows the two gates did not improve the result.</w:t>
      </w:r>
    </w:p>
    <w:p w:rsidR="004143E5" w:rsidRDefault="00140A06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937760" cy="28504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2_branch_metric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5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3E5" w:rsidRDefault="00140A06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Accuracy, F1 and ROC-AUC of the four </w:t>
      </w:r>
      <w:r>
        <w:rPr>
          <w:rFonts w:cs="Times New Roman"/>
        </w:rPr>
        <w:t>routes and the ensemble on the 2,000-image held-out test subset.</w:t>
      </w:r>
    </w:p>
    <w:p w:rsidR="004143E5" w:rsidRDefault="00140A06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4937760" cy="25854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6_fusion_ab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8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3E5" w:rsidRDefault="00140A06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Fusion ablation on the same logits: weights only, gates, equal weights, probability averaging and majority vote.</w:t>
      </w:r>
    </w:p>
    <w:p w:rsidR="004143E5" w:rsidRDefault="00140A06">
      <w:pPr>
        <w:pStyle w:val="Heading1"/>
        <w:pageBreakBefore/>
      </w:pPr>
      <w:r>
        <w:lastRenderedPageBreak/>
        <w:t>2. FUTURE SCOPE</w:t>
      </w:r>
    </w:p>
    <w:p w:rsidR="004143E5" w:rsidRDefault="00140A06">
      <w:pPr>
        <w:pStyle w:val="Heading2"/>
      </w:pPr>
      <w:r>
        <w:t>2.1 Improvements to the e</w:t>
      </w:r>
      <w:r>
        <w:t>xisting system</w:t>
      </w:r>
    </w:p>
    <w:p w:rsidR="004143E5" w:rsidRDefault="00140A06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Train on the full data and on more generators.</w:t>
      </w:r>
      <w:r>
        <w:rPr>
          <w:rFonts w:cs="Times New Roman"/>
        </w:rPr>
        <w:t xml:space="preserve"> Use all 100,000 CIFAKE training images and add GAN and newer diffusion generators at several resolutions, then report accuracy per generator. This is the direct remedy for the chance-level c</w:t>
      </w:r>
      <w:r>
        <w:rPr>
          <w:rFonts w:cs="Times New Roman"/>
        </w:rPr>
        <w:t>ross-domain result (51.0%).</w:t>
      </w:r>
    </w:p>
    <w:p w:rsidR="004143E5" w:rsidRDefault="00140A06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Tune the operating point on a validation set.</w:t>
      </w:r>
      <w:r>
        <w:rPr>
          <w:rFonts w:cs="Times New Roman"/>
        </w:rPr>
        <w:t xml:space="preserve"> Choose the decision threshold, the fusion weights and the gate thresholds on held-out validation data, not on the test set. The sweep suggests that a threshold of 0.7 would lower</w:t>
      </w:r>
      <w:r>
        <w:rPr>
          <w:rFonts w:cs="Times New Roman"/>
        </w:rPr>
        <w:t xml:space="preserve"> the false-positive rate from 13.1% to 7.2%; this must be confirmed on separate data.</w:t>
      </w:r>
    </w:p>
    <w:p w:rsidR="004143E5" w:rsidRDefault="00140A06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Add features that survive resizing.</w:t>
      </w:r>
      <w:r>
        <w:rPr>
          <w:rFonts w:cs="Times New Roman"/>
        </w:rPr>
        <w:t xml:space="preserve"> Frequency-domain inputs [14] or frozen foundation-model features with a linear probe [13] transfer better across generators in the</w:t>
      </w:r>
      <w:r>
        <w:rPr>
          <w:rFonts w:cs="Times New Roman"/>
        </w:rPr>
        <w:t xml:space="preserve"> literature and could be added as a fifth route; whether they survive the half-size resample that defeated the CNNs here is an experiment to run.</w:t>
      </w:r>
    </w:p>
    <w:p w:rsidR="004143E5" w:rsidRDefault="00140A06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Calibrate the probabilities.</w:t>
      </w:r>
      <w:r>
        <w:rPr>
          <w:rFonts w:cs="Times New Roman"/>
        </w:rPr>
        <w:t xml:space="preserve"> Apply temperature scaling per route and to the fused logits so that the confi</w:t>
      </w:r>
      <w:r>
        <w:rPr>
          <w:rFonts w:cs="Times New Roman"/>
        </w:rPr>
        <w:t>dence words (High, Moderate, Low) correspond to measured accuracy [25].</w:t>
      </w:r>
    </w:p>
    <w:p w:rsidR="004143E5" w:rsidRDefault="00140A06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Run a seed study.</w:t>
      </w:r>
      <w:r>
        <w:rPr>
          <w:rFonts w:cs="Times New Roman"/>
        </w:rPr>
        <w:t xml:space="preserve"> Repeat training with five or more seeds, report mean and spread, and re-test whether the ensemble gain and the A2 result survive.</w:t>
      </w:r>
    </w:p>
    <w:p w:rsidR="004143E5" w:rsidRDefault="00140A06">
      <w:pPr>
        <w:pStyle w:val="Heading2"/>
      </w:pPr>
      <w:r>
        <w:t>2.2 Additional features</w:t>
      </w:r>
    </w:p>
    <w:p w:rsidR="004143E5" w:rsidRDefault="00140A06">
      <w:pPr>
        <w:spacing w:after="60"/>
        <w:ind w:left="720" w:hanging="360"/>
      </w:pPr>
      <w:r>
        <w:rPr>
          <w:rFonts w:cs="Times New Roman"/>
        </w:rPr>
        <w:t>•  A per</w:t>
      </w:r>
      <w:r>
        <w:rPr>
          <w:rFonts w:cs="Times New Roman"/>
        </w:rPr>
        <w:t>-generator or per-source breakdown on the Insights page once data from several generators exist.</w:t>
      </w:r>
    </w:p>
    <w:p w:rsidR="004143E5" w:rsidRDefault="00140A06">
      <w:pPr>
        <w:spacing w:after="60"/>
        <w:ind w:left="720" w:hanging="360"/>
      </w:pPr>
      <w:r>
        <w:rPr>
          <w:rFonts w:cs="Times New Roman"/>
        </w:rPr>
        <w:t>•  Batch upload and a downloadable report (verdict, votes, heat maps, robustness) for an analyst's case file.</w:t>
      </w:r>
    </w:p>
    <w:p w:rsidR="004143E5" w:rsidRDefault="00140A06">
      <w:pPr>
        <w:spacing w:after="60"/>
        <w:ind w:left="720" w:hanging="360"/>
      </w:pPr>
      <w:r>
        <w:rPr>
          <w:rFonts w:cs="Times New Roman"/>
        </w:rPr>
        <w:t>•  A saved-analysis history with per-user account</w:t>
      </w:r>
      <w:r>
        <w:rPr>
          <w:rFonts w:cs="Times New Roman"/>
        </w:rPr>
        <w:t>s and a database, with an explicit retention policy.</w:t>
      </w:r>
    </w:p>
    <w:p w:rsidR="004143E5" w:rsidRDefault="00140A06">
      <w:pPr>
        <w:spacing w:after="60"/>
        <w:ind w:left="720" w:hanging="360"/>
      </w:pPr>
      <w:r>
        <w:rPr>
          <w:rFonts w:cs="Times New Roman"/>
        </w:rPr>
        <w:t>•  Heat maps for route A2 and a switch between Grad-CAM variants, together with a short plain-language reading of each map.</w:t>
      </w:r>
    </w:p>
    <w:p w:rsidR="004143E5" w:rsidRDefault="00140A06">
      <w:pPr>
        <w:spacing w:after="60"/>
        <w:ind w:left="720" w:hanging="360"/>
      </w:pPr>
      <w:r>
        <w:rPr>
          <w:rFonts w:cs="Times New Roman"/>
        </w:rPr>
        <w:lastRenderedPageBreak/>
        <w:t xml:space="preserve">•  A "cannot decide" outcome when the routes disagree or when the image is far </w:t>
      </w:r>
      <w:r>
        <w:rPr>
          <w:rFonts w:cs="Times New Roman"/>
        </w:rPr>
        <w:t>from the training resolution, instead of always returning a label.</w:t>
      </w:r>
    </w:p>
    <w:p w:rsidR="004143E5" w:rsidRDefault="00140A06">
      <w:pPr>
        <w:pStyle w:val="Heading2"/>
      </w:pPr>
      <w:r>
        <w:t>2.3 Scalability and deployment</w:t>
      </w:r>
    </w:p>
    <w:p w:rsidR="004143E5" w:rsidRDefault="00140A06">
      <w:r>
        <w:rPr>
          <w:rFonts w:cs="Times New Roman"/>
        </w:rPr>
        <w:t>The analysis is CPU-bound and takes a median of 1.70 s with explanations. A deployment for several users would run the API behind a production WSGI server wit</w:t>
      </w:r>
      <w:r>
        <w:rPr>
          <w:rFonts w:cs="Times New Roman"/>
        </w:rPr>
        <w:t>h a request queue, move the heat-map and robustness work to a background job, load models once per worker and cache results by image hash. A GPU would shorten training from hours to minutes and allow larger backbones and the full dataset. Before any shared</w:t>
      </w:r>
      <w:r>
        <w:rPr>
          <w:rFonts w:cs="Times New Roman"/>
        </w:rPr>
        <w:t xml:space="preserve"> deployment the demo account must be replaced with real authentication, the secret key must be set through the environment, and the demo credentials must no longer be returned by </w:t>
      </w:r>
      <w:r>
        <w:rPr>
          <w:rFonts w:ascii="Consolas" w:eastAsia="Consolas" w:hAnsi="Consolas" w:cs="Consolas"/>
          <w:sz w:val="21"/>
        </w:rPr>
        <w:t>/api/config</w:t>
      </w:r>
      <w:r>
        <w:rPr>
          <w:rFonts w:cs="Times New Roman"/>
        </w:rPr>
        <w:t>.</w:t>
      </w:r>
    </w:p>
    <w:p w:rsidR="004143E5" w:rsidRDefault="00140A06">
      <w:pPr>
        <w:pStyle w:val="Heading2"/>
      </w:pPr>
      <w:r>
        <w:t>2.4 Further research</w:t>
      </w:r>
    </w:p>
    <w:p w:rsidR="004143E5" w:rsidRDefault="00140A06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Quantitative faithfulness of the explan</w:t>
      </w:r>
      <w:r>
        <w:rPr>
          <w:rFonts w:cs="Times New Roman"/>
          <w:b/>
        </w:rPr>
        <w:t>ations.</w:t>
      </w:r>
      <w:r>
        <w:rPr>
          <w:rFonts w:cs="Times New Roman"/>
        </w:rPr>
        <w:t xml:space="preserve"> Test the Grad-CAM maps with deletion and insertion curves and with a small user study, and compare them with other attribution methods.</w:t>
      </w:r>
    </w:p>
    <w:p w:rsidR="004143E5" w:rsidRDefault="00140A06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Separating generator shift from domain shift.</w:t>
      </w:r>
      <w:r>
        <w:rPr>
          <w:rFonts w:cs="Times New Roman"/>
        </w:rPr>
        <w:t xml:space="preserve"> Build a probe in which the real and fake images share content and resolution but differ in generator, so that the cause of the cross-domain failure can be identified.</w:t>
      </w:r>
    </w:p>
    <w:p w:rsidR="004143E5" w:rsidRDefault="00140A06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Adversarial and post-processing robustness.</w:t>
      </w:r>
      <w:r>
        <w:rPr>
          <w:rFonts w:cs="Times New Roman"/>
        </w:rPr>
        <w:t xml:space="preserve"> Measure the detector under compression c</w:t>
      </w:r>
      <w:r>
        <w:rPr>
          <w:rFonts w:cs="Times New Roman"/>
        </w:rPr>
        <w:t>hains, screenshots, resizing pipelines and deliberate attacks designed to remove generation traces.</w:t>
      </w:r>
    </w:p>
    <w:p w:rsidR="004143E5" w:rsidRDefault="00140A06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One-class and pseudo-fake training for general images.</w:t>
      </w:r>
      <w:r>
        <w:rPr>
          <w:rFonts w:cs="Times New Roman"/>
        </w:rPr>
        <w:t xml:space="preserve"> The base paper's one-class idea [1] was developed for faces; testing whether pseudo-fake training</w:t>
      </w:r>
      <w:r>
        <w:rPr>
          <w:rFonts w:cs="Times New Roman"/>
        </w:rPr>
        <w:t xml:space="preserve"> helps a general-image detector to generalise is an open question that this project did not address.</w:t>
      </w:r>
    </w:p>
    <w:p w:rsidR="004143E5" w:rsidRDefault="00140A06">
      <w:pPr>
        <w:pStyle w:val="Heading1"/>
        <w:pageBreakBefore/>
      </w:pPr>
      <w:r>
        <w:lastRenderedPageBreak/>
        <w:t>3. REFERENCES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>[1]  N. Larue, V. Struc, P. Peer and N.-S. Vu, "Learning the manifold of authenticity: hybrid-curvature representation learning for generaliz</w:t>
      </w:r>
      <w:r>
        <w:rPr>
          <w:rFonts w:cs="Times New Roman"/>
          <w:sz w:val="20"/>
        </w:rPr>
        <w:t xml:space="preserve">able deepfake detection," </w:t>
      </w:r>
      <w:r>
        <w:rPr>
          <w:rFonts w:cs="Times New Roman"/>
          <w:i/>
          <w:sz w:val="20"/>
        </w:rPr>
        <w:t>IEEE Access</w:t>
      </w:r>
      <w:r>
        <w:rPr>
          <w:rFonts w:cs="Times New Roman"/>
          <w:sz w:val="20"/>
        </w:rPr>
        <w:t>, vol. 14, pp. 101988-102001, 2026, doi: 10.1109/ACCESS.2026.3702429.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>[2]  F. Wu, D. Lu, M. Yao, X. Xu and F. Guo, "HEDGE: Heterogeneous ensemble for detection of AI-generated images in the wild," arXiv:2604.03555, Apr.</w:t>
      </w:r>
      <w:r>
        <w:rPr>
          <w:rFonts w:cs="Times New Roman"/>
          <w:sz w:val="20"/>
        </w:rPr>
        <w:t xml:space="preserve"> 2026.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>[3]  N. Tasnim, K. Uddin and K. M. Malik, "AI-generated image detection: an empirical study and future research directions," arXiv:2511.02791, Nov. 2025.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[4]  "Deepfake and AI-generated image detection system," </w:t>
      </w:r>
      <w:r>
        <w:rPr>
          <w:rFonts w:cs="Times New Roman"/>
          <w:i/>
          <w:sz w:val="20"/>
        </w:rPr>
        <w:t>Int. J. Multidisciplinary Research (IJ</w:t>
      </w:r>
      <w:r>
        <w:rPr>
          <w:rFonts w:cs="Times New Roman"/>
          <w:i/>
          <w:sz w:val="20"/>
        </w:rPr>
        <w:t>FMR)</w:t>
      </w:r>
      <w:r>
        <w:rPr>
          <w:rFonts w:cs="Times New Roman"/>
          <w:sz w:val="20"/>
        </w:rPr>
        <w:t>, 2025. [unverified: listed as recorded in the batch survey; authors, volume and pages not confirmed]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>[5]  "Deepfake tweet detection using CNN and FastText embeddings: leveraging deep learning to identify AI-generated tweets," 2025. [unverified: listed</w:t>
      </w:r>
      <w:r>
        <w:rPr>
          <w:rFonts w:cs="Times New Roman"/>
          <w:sz w:val="20"/>
        </w:rPr>
        <w:t xml:space="preserve"> as recorded in the batch survey; text-based study, authors and venue not confirmed]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[6]  "Multimodal deepfake detection across cultures and languages," in </w:t>
      </w:r>
      <w:r>
        <w:rPr>
          <w:rFonts w:cs="Times New Roman"/>
          <w:i/>
          <w:sz w:val="20"/>
        </w:rPr>
        <w:t>Proc. 1st Deepfake Forensics Workshop: Detection, Attribution, Recognition, and Adversarial Challeng</w:t>
      </w:r>
      <w:r>
        <w:rPr>
          <w:rFonts w:cs="Times New Roman"/>
          <w:i/>
          <w:sz w:val="20"/>
        </w:rPr>
        <w:t>es in the Era of AI-Generated Media</w:t>
      </w:r>
      <w:r>
        <w:rPr>
          <w:rFonts w:cs="Times New Roman"/>
          <w:sz w:val="20"/>
        </w:rPr>
        <w:t>, 2025. [unverified: listed as recorded in the batch survey; authors and pages not confirmed]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>[7]  "Deepfake detection using deep learning: a neural network-based approach to identifying AI-generated media," 2025. [unveri</w:t>
      </w:r>
      <w:r>
        <w:rPr>
          <w:rFonts w:cs="Times New Roman"/>
          <w:sz w:val="20"/>
        </w:rPr>
        <w:t>fied: listed as recorded in the batch survey; authors and venue not confirmed]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[8]  J. J. Bird and A. Lotfi, "CIFAKE: image classification and explainable identification of AI-generated synthetic images," </w:t>
      </w:r>
      <w:r>
        <w:rPr>
          <w:rFonts w:cs="Times New Roman"/>
          <w:i/>
          <w:sz w:val="20"/>
        </w:rPr>
        <w:t>IEEE Access</w:t>
      </w:r>
      <w:r>
        <w:rPr>
          <w:rFonts w:cs="Times New Roman"/>
          <w:sz w:val="20"/>
        </w:rPr>
        <w:t>, vol. 12, pp. 15642-15650, 2024 (arXiv:</w:t>
      </w:r>
      <w:r>
        <w:rPr>
          <w:rFonts w:cs="Times New Roman"/>
          <w:sz w:val="20"/>
        </w:rPr>
        <w:t>2303.14126).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>[9]  A. Krizhevsky, "Learning multiple layers of features from tiny images," Univ. Toronto, Toronto, ON, Canada, Tech. Rep., 2009.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>[10]  R. Rombach, A. Blattmann, D. Lorenz, P. Esser and B. Ommer, "High-resolution image synthesis with latent d</w:t>
      </w:r>
      <w:r>
        <w:rPr>
          <w:rFonts w:cs="Times New Roman"/>
          <w:sz w:val="20"/>
        </w:rPr>
        <w:t xml:space="preserve">iffusion models," in </w:t>
      </w:r>
      <w:r>
        <w:rPr>
          <w:rFonts w:cs="Times New Roman"/>
          <w:i/>
          <w:sz w:val="20"/>
        </w:rPr>
        <w:t>Proc. IEEE/CVF Conf. Comput. Vis. Pattern Recognit. (CVPR)</w:t>
      </w:r>
      <w:r>
        <w:rPr>
          <w:rFonts w:cs="Times New Roman"/>
          <w:sz w:val="20"/>
        </w:rPr>
        <w:t>, 2022, pp. 10684-10695.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[11]  I. Goodfellow </w:t>
      </w:r>
      <w:r>
        <w:rPr>
          <w:rFonts w:cs="Times New Roman"/>
          <w:i/>
          <w:sz w:val="20"/>
        </w:rPr>
        <w:t>et al.</w:t>
      </w:r>
      <w:r>
        <w:rPr>
          <w:rFonts w:cs="Times New Roman"/>
          <w:sz w:val="20"/>
        </w:rPr>
        <w:t xml:space="preserve">, "Generative adversarial nets," in </w:t>
      </w:r>
      <w:r>
        <w:rPr>
          <w:rFonts w:cs="Times New Roman"/>
          <w:i/>
          <w:sz w:val="20"/>
        </w:rPr>
        <w:t>Proc. Adv. Neural Inf. Process. Syst. (NeurIPS)</w:t>
      </w:r>
      <w:r>
        <w:rPr>
          <w:rFonts w:cs="Times New Roman"/>
          <w:sz w:val="20"/>
        </w:rPr>
        <w:t>, vol. 27, 2014, pp. 2672-2680.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>[12]  S.-Y.</w:t>
      </w:r>
      <w:r>
        <w:rPr>
          <w:rFonts w:cs="Times New Roman"/>
          <w:sz w:val="20"/>
        </w:rPr>
        <w:t xml:space="preserve"> Wang, O. Wang, R. Zhang, A. Owens and A. A. Efros, "CNN-generated images are surprisingly easy to spot... for now," in </w:t>
      </w:r>
      <w:r>
        <w:rPr>
          <w:rFonts w:cs="Times New Roman"/>
          <w:i/>
          <w:sz w:val="20"/>
        </w:rPr>
        <w:t>Proc. IEEE/CVF CVPR</w:t>
      </w:r>
      <w:r>
        <w:rPr>
          <w:rFonts w:cs="Times New Roman"/>
          <w:sz w:val="20"/>
        </w:rPr>
        <w:t>, 2020, pp. 8695-8704.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>[13]  U. Ojha, Y. Li and Y. J. Lee, "Towards universal fake image detectors that generalize ac</w:t>
      </w:r>
      <w:r>
        <w:rPr>
          <w:rFonts w:cs="Times New Roman"/>
          <w:sz w:val="20"/>
        </w:rPr>
        <w:t xml:space="preserve">ross generative models," in </w:t>
      </w:r>
      <w:r>
        <w:rPr>
          <w:rFonts w:cs="Times New Roman"/>
          <w:i/>
          <w:sz w:val="20"/>
        </w:rPr>
        <w:t>Proc. IEEE/CVF CVPR</w:t>
      </w:r>
      <w:r>
        <w:rPr>
          <w:rFonts w:cs="Times New Roman"/>
          <w:sz w:val="20"/>
        </w:rPr>
        <w:t>, 2023, pp. 24480-24489.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[14]  J. Frank, T. Eisenhofer, L. Schonherr, A. Fischer, D. Kolossa and T. Holz, "Leveraging frequency analysis for deep fake image recognition," in </w:t>
      </w:r>
      <w:r>
        <w:rPr>
          <w:rFonts w:cs="Times New Roman"/>
          <w:i/>
          <w:sz w:val="20"/>
        </w:rPr>
        <w:t xml:space="preserve">Proc. 37th Int. Conf. Mach. Learn. </w:t>
      </w:r>
      <w:r>
        <w:rPr>
          <w:rFonts w:cs="Times New Roman"/>
          <w:i/>
          <w:sz w:val="20"/>
        </w:rPr>
        <w:t>(ICML)</w:t>
      </w:r>
      <w:r>
        <w:rPr>
          <w:rFonts w:cs="Times New Roman"/>
          <w:sz w:val="20"/>
        </w:rPr>
        <w:t>, PMLR vol. 119, 2020, pp. 3247-3258.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[15]  R. Corvi, D. Cozzolino, G. Zingarini, G. Poggi, K. Nagano and L. Verdoliva, "On the detection of synthetic images generated by diffusion models," in </w:t>
      </w:r>
      <w:r>
        <w:rPr>
          <w:rFonts w:cs="Times New Roman"/>
          <w:i/>
          <w:sz w:val="20"/>
        </w:rPr>
        <w:t>Proc. IEEE Int. Conf. Acoust., Speech Signal Process. (IC</w:t>
      </w:r>
      <w:r>
        <w:rPr>
          <w:rFonts w:cs="Times New Roman"/>
          <w:i/>
          <w:sz w:val="20"/>
        </w:rPr>
        <w:t>ASSP)</w:t>
      </w:r>
      <w:r>
        <w:rPr>
          <w:rFonts w:cs="Times New Roman"/>
          <w:sz w:val="20"/>
        </w:rPr>
        <w:t>, 2023, pp. 1-5.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[16]  D. Gragnaniello, D. Cozzolino, F. Marra, G. Poggi and L. Verdoliva, "Are GAN generated images easy to detect? A critical analysis of the state-of-the-art," in </w:t>
      </w:r>
      <w:r>
        <w:rPr>
          <w:rFonts w:cs="Times New Roman"/>
          <w:i/>
          <w:sz w:val="20"/>
        </w:rPr>
        <w:t>Proc. IEEE Int. Conf. Multimedia Expo (ICME)</w:t>
      </w:r>
      <w:r>
        <w:rPr>
          <w:rFonts w:cs="Times New Roman"/>
          <w:sz w:val="20"/>
        </w:rPr>
        <w:t>, 2021, pp. 1-6.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>[17]  A.</w:t>
      </w:r>
      <w:r>
        <w:rPr>
          <w:rFonts w:cs="Times New Roman"/>
          <w:sz w:val="20"/>
        </w:rPr>
        <w:t xml:space="preserve"> Rossler, D. Cozzolino, L. Verdoliva, C. Riess, J. Thies and M. Niessner, "FaceForensics++: learning to detect manipulated facial images," in </w:t>
      </w:r>
      <w:r>
        <w:rPr>
          <w:rFonts w:cs="Times New Roman"/>
          <w:i/>
          <w:sz w:val="20"/>
        </w:rPr>
        <w:t>Proc. IEEE/CVF Int. Conf. Comput. Vis. (ICCV)</w:t>
      </w:r>
      <w:r>
        <w:rPr>
          <w:rFonts w:cs="Times New Roman"/>
          <w:sz w:val="20"/>
        </w:rPr>
        <w:t>, 2019, pp. 1-11.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lastRenderedPageBreak/>
        <w:t>[18]  Y. Li, X. Yang, P. Sun, H. Qi and S. Lyu, "Ce</w:t>
      </w:r>
      <w:r>
        <w:rPr>
          <w:rFonts w:cs="Times New Roman"/>
          <w:sz w:val="20"/>
        </w:rPr>
        <w:t xml:space="preserve">leb-DF: a large-scale challenging dataset for DeepFake forensics," in </w:t>
      </w:r>
      <w:r>
        <w:rPr>
          <w:rFonts w:cs="Times New Roman"/>
          <w:i/>
          <w:sz w:val="20"/>
        </w:rPr>
        <w:t>Proc. IEEE/CVF CVPR</w:t>
      </w:r>
      <w:r>
        <w:rPr>
          <w:rFonts w:cs="Times New Roman"/>
          <w:sz w:val="20"/>
        </w:rPr>
        <w:t>, 2020, pp. 3207-3216.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[19]  M. Tan and Q. Le, "EfficientNet: rethinking model scaling for convolutional neural networks," in </w:t>
      </w:r>
      <w:r>
        <w:rPr>
          <w:rFonts w:cs="Times New Roman"/>
          <w:i/>
          <w:sz w:val="20"/>
        </w:rPr>
        <w:t>Proc. 36th Int. Conf. Mach. Learn. (ICML)</w:t>
      </w:r>
      <w:r>
        <w:rPr>
          <w:rFonts w:cs="Times New Roman"/>
          <w:sz w:val="20"/>
        </w:rPr>
        <w:t>, PMLR vol. 97, 2019, pp. 6105-6114.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[20]  K. He, X. Zhang, S. Ren and J. Sun, "Deep residual learning for image recognition," in </w:t>
      </w:r>
      <w:r>
        <w:rPr>
          <w:rFonts w:cs="Times New Roman"/>
          <w:i/>
          <w:sz w:val="20"/>
        </w:rPr>
        <w:t>Proc. IEEE Conf. Comput. Vis. Pattern Recognit. (CVPR)</w:t>
      </w:r>
      <w:r>
        <w:rPr>
          <w:rFonts w:cs="Times New Roman"/>
          <w:sz w:val="20"/>
        </w:rPr>
        <w:t>, 2016, pp. 770-778.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[21]  A. Howard </w:t>
      </w:r>
      <w:r>
        <w:rPr>
          <w:rFonts w:cs="Times New Roman"/>
          <w:i/>
          <w:sz w:val="20"/>
        </w:rPr>
        <w:t>et al.</w:t>
      </w:r>
      <w:r>
        <w:rPr>
          <w:rFonts w:cs="Times New Roman"/>
          <w:sz w:val="20"/>
        </w:rPr>
        <w:t xml:space="preserve">, "Searching for MobileNetV3," in </w:t>
      </w:r>
      <w:r>
        <w:rPr>
          <w:rFonts w:cs="Times New Roman"/>
          <w:i/>
          <w:sz w:val="20"/>
        </w:rPr>
        <w:t>Proc. IEEE/CVF ICCV</w:t>
      </w:r>
      <w:r>
        <w:rPr>
          <w:rFonts w:cs="Times New Roman"/>
          <w:sz w:val="20"/>
        </w:rPr>
        <w:t>, 2019, pp. 1314-1324.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[22]  T.-Y. Lin, P. Goyal, R. Girshick, K. He and P. Dollar, "Focal loss for dense object detection," in </w:t>
      </w:r>
      <w:r>
        <w:rPr>
          <w:rFonts w:cs="Times New Roman"/>
          <w:i/>
          <w:sz w:val="20"/>
        </w:rPr>
        <w:t>Proc. IEEE ICCV</w:t>
      </w:r>
      <w:r>
        <w:rPr>
          <w:rFonts w:cs="Times New Roman"/>
          <w:sz w:val="20"/>
        </w:rPr>
        <w:t>, 2017, pp. 2980-2988.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[23]  I. Loshchilov and F. Hutter, "Decoupled weight decay regularization," in </w:t>
      </w:r>
      <w:r>
        <w:rPr>
          <w:rFonts w:cs="Times New Roman"/>
          <w:i/>
          <w:sz w:val="20"/>
        </w:rPr>
        <w:t>Proc. Int. Conf. Learn. Represent. (ICLR)</w:t>
      </w:r>
      <w:r>
        <w:rPr>
          <w:rFonts w:cs="Times New Roman"/>
          <w:sz w:val="20"/>
        </w:rPr>
        <w:t>, 2019.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[24]  J. Deng, W. Dong, R. Socher, L.-J. Li, K. Li and L. Fei-Fei, "ImageNet: a large-scale hierarchical image database," in </w:t>
      </w:r>
      <w:r>
        <w:rPr>
          <w:rFonts w:cs="Times New Roman"/>
          <w:i/>
          <w:sz w:val="20"/>
        </w:rPr>
        <w:t>Pro</w:t>
      </w:r>
      <w:r>
        <w:rPr>
          <w:rFonts w:cs="Times New Roman"/>
          <w:i/>
          <w:sz w:val="20"/>
        </w:rPr>
        <w:t>c. IEEE CVPR</w:t>
      </w:r>
      <w:r>
        <w:rPr>
          <w:rFonts w:cs="Times New Roman"/>
          <w:sz w:val="20"/>
        </w:rPr>
        <w:t>, 2009, pp. 248-255.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[25]  C. Guo, G. Pleiss, Y. Sun and K. Q. Weinberger, "On calibration of modern neural networks," in </w:t>
      </w:r>
      <w:r>
        <w:rPr>
          <w:rFonts w:cs="Times New Roman"/>
          <w:i/>
          <w:sz w:val="20"/>
        </w:rPr>
        <w:t>Proc. 34th Int. Conf. Mach. Learn. (ICML)</w:t>
      </w:r>
      <w:r>
        <w:rPr>
          <w:rFonts w:cs="Times New Roman"/>
          <w:sz w:val="20"/>
        </w:rPr>
        <w:t>, PMLR vol. 70, 2017, pp. 1321-1330.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[26]  R. R. Selvaraju, M. Cogswell, A. Das, </w:t>
      </w:r>
      <w:r>
        <w:rPr>
          <w:rFonts w:cs="Times New Roman"/>
          <w:sz w:val="20"/>
        </w:rPr>
        <w:t xml:space="preserve">R. Vedantam, D. Parikh and D. Batra, "Grad-CAM: visual explanations from deep networks via gradient-based localization," in </w:t>
      </w:r>
      <w:r>
        <w:rPr>
          <w:rFonts w:cs="Times New Roman"/>
          <w:i/>
          <w:sz w:val="20"/>
        </w:rPr>
        <w:t>Proc. IEEE ICCV</w:t>
      </w:r>
      <w:r>
        <w:rPr>
          <w:rFonts w:cs="Times New Roman"/>
          <w:sz w:val="20"/>
        </w:rPr>
        <w:t>, 2017, pp. 618-626.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>[27]  J. Gildenblat and contributors, "PyTorch library for CAM methods (pytorch-grad-cam)," GitH</w:t>
      </w:r>
      <w:r>
        <w:rPr>
          <w:rFonts w:cs="Times New Roman"/>
          <w:sz w:val="20"/>
        </w:rPr>
        <w:t>ub repository, 2021. [Online]. Available: https://github.com/jacobgil/pytorch-grad-cam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[28]  A. Paszke </w:t>
      </w:r>
      <w:r>
        <w:rPr>
          <w:rFonts w:cs="Times New Roman"/>
          <w:i/>
          <w:sz w:val="20"/>
        </w:rPr>
        <w:t>et al.</w:t>
      </w:r>
      <w:r>
        <w:rPr>
          <w:rFonts w:cs="Times New Roman"/>
          <w:sz w:val="20"/>
        </w:rPr>
        <w:t xml:space="preserve">, "PyTorch: an imperative style, high-performance deep learning library," in </w:t>
      </w:r>
      <w:r>
        <w:rPr>
          <w:rFonts w:cs="Times New Roman"/>
          <w:i/>
          <w:sz w:val="20"/>
        </w:rPr>
        <w:t>Proc. Adv. Neural Inf. Process. Syst. (NeurIPS)</w:t>
      </w:r>
      <w:r>
        <w:rPr>
          <w:rFonts w:cs="Times New Roman"/>
          <w:sz w:val="20"/>
        </w:rPr>
        <w:t>, vol. 32, 2019, pp. 80</w:t>
      </w:r>
      <w:r>
        <w:rPr>
          <w:rFonts w:cs="Times New Roman"/>
          <w:sz w:val="20"/>
        </w:rPr>
        <w:t>24-8035.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[29]  F. Pedregosa </w:t>
      </w:r>
      <w:r>
        <w:rPr>
          <w:rFonts w:cs="Times New Roman"/>
          <w:i/>
          <w:sz w:val="20"/>
        </w:rPr>
        <w:t>et al.</w:t>
      </w:r>
      <w:r>
        <w:rPr>
          <w:rFonts w:cs="Times New Roman"/>
          <w:sz w:val="20"/>
        </w:rPr>
        <w:t xml:space="preserve">, "Scikit-learn: machine learning in Python," </w:t>
      </w:r>
      <w:r>
        <w:rPr>
          <w:rFonts w:cs="Times New Roman"/>
          <w:i/>
          <w:sz w:val="20"/>
        </w:rPr>
        <w:t>J. Mach. Learn. Res.</w:t>
      </w:r>
      <w:r>
        <w:rPr>
          <w:rFonts w:cs="Times New Roman"/>
          <w:sz w:val="20"/>
        </w:rPr>
        <w:t>, vol. 12, pp. 2825-2830, 2011.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>[30]  Pallets Projects, "Flask documentation," 2024. [Online]. Available: https://flask.palletsprojects.com/</w:t>
      </w:r>
    </w:p>
    <w:p w:rsidR="004143E5" w:rsidRDefault="00140A06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[31]  B. Efron </w:t>
      </w:r>
      <w:r>
        <w:rPr>
          <w:rFonts w:cs="Times New Roman"/>
          <w:sz w:val="20"/>
        </w:rPr>
        <w:t xml:space="preserve">and R. J. Tibshirani, </w:t>
      </w:r>
      <w:r>
        <w:rPr>
          <w:rFonts w:cs="Times New Roman"/>
          <w:i/>
          <w:sz w:val="20"/>
        </w:rPr>
        <w:t>An Introduction to the Bootstrap</w:t>
      </w:r>
      <w:r>
        <w:rPr>
          <w:rFonts w:cs="Times New Roman"/>
          <w:sz w:val="20"/>
        </w:rPr>
        <w:t>. New York, NY, USA: Chapman &amp; Hall, 1993.</w:t>
      </w:r>
    </w:p>
    <w:sectPr w:rsidR="004143E5" w:rsidSect="00034616">
      <w:headerReference w:type="default" r:id="rId10"/>
      <w:footerReference w:type="default" r:id="rId11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140A06">
      <w:pPr>
        <w:spacing w:after="0" w:line="240" w:lineRule="auto"/>
      </w:pPr>
      <w:r>
        <w:separator/>
      </w:r>
    </w:p>
  </w:endnote>
  <w:endnote w:type="continuationSeparator" w:id="0">
    <w:p w:rsidR="00000000" w:rsidRDefault="00140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43E5" w:rsidRDefault="00140A06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140A06">
      <w:pPr>
        <w:spacing w:after="0" w:line="240" w:lineRule="auto"/>
      </w:pPr>
      <w:r>
        <w:separator/>
      </w:r>
    </w:p>
  </w:footnote>
  <w:footnote w:type="continuationSeparator" w:id="0">
    <w:p w:rsidR="00000000" w:rsidRDefault="00140A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43E5" w:rsidRDefault="00140A06">
    <w:pPr>
      <w:pStyle w:val="Header"/>
      <w:jc w:val="center"/>
    </w:pPr>
    <w:r>
      <w:rPr>
        <w:rFonts w:cs="Times New Roman"/>
        <w:i/>
        <w:color w:val="555555"/>
        <w:sz w:val="20"/>
      </w:rPr>
      <w:t>VeriVision AI  |  Conclusion, Future Scope and References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A06"/>
    <w:rsid w:val="0015074B"/>
    <w:rsid w:val="0029639D"/>
    <w:rsid w:val="00326F90"/>
    <w:rsid w:val="004143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489A84A-DE8F-458E-841D-50E08B42B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40A06"/>
    <w:pPr>
      <w:spacing w:after="0" w:line="240" w:lineRule="auto"/>
    </w:pPr>
    <w:rPr>
      <w:rFonts w:cs="Times New Roman"/>
      <w:sz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140A06"/>
    <w:pPr>
      <w:spacing w:after="0" w:line="240" w:lineRule="auto"/>
      <w:ind w:left="240"/>
    </w:pPr>
    <w:rPr>
      <w:rFonts w:cs="Times New Roman"/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140A06"/>
    <w:pPr>
      <w:spacing w:after="0" w:line="240" w:lineRule="auto"/>
    </w:pPr>
    <w:rPr>
      <w:rFonts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AB0EE2-8DFD-4045-B18F-7B0FDB2AE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2241</Words>
  <Characters>12354</Characters>
  <Application>Microsoft Office Word</Application>
  <DocSecurity>0</DocSecurity>
  <Lines>258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2026-10-26T10:50:00Z</dcterms:modified>
  <cp:category/>
</cp:coreProperties>
</file>