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183" w:rsidRDefault="00121183">
      <w:pPr>
        <w:spacing w:after="480" w:line="240" w:lineRule="auto"/>
      </w:pPr>
      <w:bookmarkStart w:id="0" w:name="_GoBack"/>
      <w:bookmarkEnd w:id="0"/>
    </w:p>
    <w:p w:rsidR="00121183" w:rsidRDefault="00A54637">
      <w:pPr>
        <w:jc w:val="center"/>
      </w:pPr>
      <w:r>
        <w:rPr>
          <w:rFonts w:cs="Times New Roman"/>
          <w:b/>
          <w:sz w:val="36"/>
        </w:rPr>
        <w:t>CREDIT CARD FRAUD DETECTION USING MACHINE LEARNING</w:t>
      </w:r>
    </w:p>
    <w:p w:rsidR="00121183" w:rsidRDefault="00A54637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121183" w:rsidRDefault="00A54637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121183" w:rsidRDefault="00A54637">
      <w:pPr>
        <w:spacing w:after="240"/>
        <w:jc w:val="center"/>
      </w:pPr>
      <w:r>
        <w:rPr>
          <w:rFonts w:cs="Times New Roman"/>
        </w:rPr>
        <w:t>Batch A4 (CSE-A)  ·  Academic year [ACADEMIC YEAR]</w:t>
      </w:r>
    </w:p>
    <w:p w:rsidR="00121183" w:rsidRDefault="00A5463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Project </w:t>
      </w:r>
      <w:r>
        <w:rPr>
          <w:rFonts w:cs="Times New Roman"/>
        </w:rPr>
        <w:t>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121183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121183">
        <w:trPr>
          <w:cantSplit/>
          <w:jc w:val="center"/>
        </w:trPr>
        <w:tc>
          <w:tcPr>
            <w:tcW w:w="1008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ARELLI PRAVEEN KUMAR</w:t>
            </w:r>
          </w:p>
        </w:tc>
        <w:tc>
          <w:tcPr>
            <w:tcW w:w="2592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23K91A0513</w:t>
            </w:r>
          </w:p>
        </w:tc>
      </w:tr>
      <w:tr w:rsidR="00121183">
        <w:trPr>
          <w:cantSplit/>
          <w:jc w:val="center"/>
        </w:trPr>
        <w:tc>
          <w:tcPr>
            <w:tcW w:w="1008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BANOTHU AJAY</w:t>
            </w:r>
          </w:p>
        </w:tc>
        <w:tc>
          <w:tcPr>
            <w:tcW w:w="2592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23K91A0529</w:t>
            </w:r>
          </w:p>
        </w:tc>
      </w:tr>
      <w:tr w:rsidR="00121183">
        <w:trPr>
          <w:cantSplit/>
          <w:jc w:val="center"/>
        </w:trPr>
        <w:tc>
          <w:tcPr>
            <w:tcW w:w="1008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D CHANDRIKA</w:t>
            </w:r>
          </w:p>
        </w:tc>
        <w:tc>
          <w:tcPr>
            <w:tcW w:w="2592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23K91A0557</w:t>
            </w:r>
          </w:p>
        </w:tc>
      </w:tr>
      <w:tr w:rsidR="00121183">
        <w:trPr>
          <w:cantSplit/>
          <w:jc w:val="center"/>
        </w:trPr>
        <w:tc>
          <w:tcPr>
            <w:tcW w:w="1008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BAIRAGONI VIJAY</w:t>
            </w:r>
          </w:p>
        </w:tc>
        <w:tc>
          <w:tcPr>
            <w:tcW w:w="2592" w:type="dxa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23K91A0525</w:t>
            </w:r>
          </w:p>
        </w:tc>
      </w:tr>
    </w:tbl>
    <w:p w:rsidR="00121183" w:rsidRDefault="00121183">
      <w:pPr>
        <w:spacing w:line="192" w:lineRule="auto"/>
      </w:pPr>
    </w:p>
    <w:p w:rsidR="00121183" w:rsidRDefault="00A54637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KOTESHWAR RAO</w:t>
      </w:r>
    </w:p>
    <w:p w:rsidR="00121183" w:rsidRDefault="00A54637">
      <w:r>
        <w:rPr>
          <w:rFonts w:cs="Times New Roman"/>
          <w:i/>
          <w:sz w:val="21"/>
        </w:rPr>
        <w:t xml:space="preserve">Chapter and section numbers quoted in the text (for example Chapter 8 </w:t>
      </w:r>
      <w:r>
        <w:rPr>
          <w:rFonts w:cs="Times New Roman"/>
          <w:i/>
          <w:sz w:val="21"/>
        </w:rPr>
        <w:t>or Section 6.2) refer to the full project report, 17.Final Document. Figures and tables in this document are numbered from 1.</w:t>
      </w:r>
    </w:p>
    <w:p w:rsidR="00121183" w:rsidRDefault="00A54637">
      <w:pPr>
        <w:pStyle w:val="Heading1"/>
      </w:pPr>
      <w:r>
        <w:t>1. SCOPE</w:t>
      </w:r>
    </w:p>
    <w:p w:rsidR="00121183" w:rsidRDefault="00A54637">
      <w:pPr>
        <w:pStyle w:val="Heading2"/>
      </w:pPr>
      <w:r>
        <w:t>1.1 What is in scope</w:t>
      </w:r>
    </w:p>
    <w:p w:rsidR="00121183" w:rsidRDefault="00A54637">
      <w:r>
        <w:rPr>
          <w:rFonts w:cs="Times New Roman"/>
        </w:rPr>
        <w:t>SecurePay AI covers the path from a table of card transactions to a risk decision, together with the</w:t>
      </w:r>
      <w:r>
        <w:rPr>
          <w:rFonts w:cs="Times New Roman"/>
        </w:rPr>
        <w:t xml:space="preserve"> means of inspecting and retraining the models. In detail the scope includes:</w:t>
      </w:r>
    </w:p>
    <w:p w:rsidR="00121183" w:rsidRDefault="00A5463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Features in scope and where they live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4742"/>
        <w:gridCol w:w="2463"/>
      </w:tblGrid>
      <w:tr w:rsidR="00121183">
        <w:trPr>
          <w:cantSplit/>
          <w:tblHeader/>
          <w:jc w:val="center"/>
        </w:trPr>
        <w:tc>
          <w:tcPr>
            <w:tcW w:w="1728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Area</w:t>
            </w:r>
          </w:p>
        </w:tc>
        <w:tc>
          <w:tcPr>
            <w:tcW w:w="5184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What the project provides</w:t>
            </w:r>
          </w:p>
        </w:tc>
        <w:tc>
          <w:tcPr>
            <w:tcW w:w="2160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Where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Data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synthetic, labelled file of 39,000 transactions (19,500 fraud,</w:t>
            </w:r>
            <w:r>
              <w:rPr>
                <w:rFonts w:cs="Times New Roman"/>
                <w:sz w:val="19"/>
              </w:rPr>
              <w:t xml:space="preserve"> 19,500 legitimate); regeneration with chosen sizes from 500 to 50,000 per class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backend/synthetic_data.py</w:t>
            </w:r>
            <w:r>
              <w:rPr>
                <w:rFonts w:cs="Times New Roman"/>
                <w:sz w:val="19"/>
              </w:rPr>
              <w:t>, Lab screen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Preprocessing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One-hot encoding, z-scoring of 24 numeric columns, correlation filter, undersampling (SMOTE and Tomek links optional), top</w:t>
            </w:r>
            <w:r>
              <w:rPr>
                <w:rFonts w:cs="Times New Roman"/>
                <w:sz w:val="19"/>
              </w:rPr>
              <w:t>-k feature selection, stratified split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backend/preprocessing.py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Models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Three GRBM classifiers (PCD, SAS, QS) and their mean as an ensemble; per-epoch history; QUBO matrix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rbm_classifier.py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samplers.py</w:t>
            </w:r>
            <w:r>
              <w:rPr>
                <w:rFonts w:cs="Times New Roman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sz w:val="16"/>
              </w:rPr>
              <w:t>train.py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Single check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One transaction in, fraud </w:t>
            </w:r>
            <w:r>
              <w:rPr>
                <w:rFonts w:cs="Times New Roman"/>
                <w:sz w:val="19"/>
              </w:rPr>
              <w:t>probability, per-model probabilities, risk band and recommended action out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/api/predict_single</w:t>
            </w:r>
            <w:r>
              <w:rPr>
                <w:rFonts w:cs="Times New Roman"/>
                <w:sz w:val="19"/>
              </w:rPr>
              <w:t>, Verify screen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Bulk screening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 CSV in, a prediction and probability for every row, metrics when a Class column exists, a CSV out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/api/predict_batch</w:t>
            </w:r>
            <w:r>
              <w:rPr>
                <w:rFonts w:cs="Times New Roman"/>
                <w:sz w:val="19"/>
              </w:rPr>
              <w:t>, Bulk scree</w:t>
            </w:r>
            <w:r>
              <w:rPr>
                <w:rFonts w:cs="Times New Roman"/>
                <w:sz w:val="19"/>
              </w:rPr>
              <w:t>n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lastRenderedPageBreak/>
              <w:t>Analytics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Fraud rate by merchant, channel, hour, amount band, card presence and country match over the whole file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/api/dataset_stats</w:t>
            </w:r>
            <w:r>
              <w:rPr>
                <w:rFonts w:cs="Times New Roman"/>
                <w:sz w:val="19"/>
              </w:rPr>
              <w:t>, Analytics screen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Model views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Comparison table, training curves, feature importance, QUBO heat-map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Model comparison scr</w:t>
            </w:r>
            <w:r>
              <w:rPr>
                <w:rFonts w:cs="Times New Roman"/>
                <w:sz w:val="19"/>
              </w:rPr>
              <w:t>een</w:t>
            </w:r>
          </w:p>
        </w:tc>
      </w:tr>
      <w:tr w:rsidR="00121183">
        <w:trPr>
          <w:cantSplit/>
          <w:jc w:val="center"/>
        </w:trPr>
        <w:tc>
          <w:tcPr>
            <w:tcW w:w="172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Evaluation</w:t>
            </w:r>
          </w:p>
        </w:tc>
        <w:tc>
          <w:tcPr>
            <w:tcW w:w="518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Held-out metrics, baselines, seeds, thresholds, low-fraud variant, latency, smoke test</w:t>
            </w:r>
          </w:p>
        </w:tc>
        <w:tc>
          <w:tcPr>
            <w:tcW w:w="216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6"/>
              </w:rPr>
              <w:t>scripts/</w:t>
            </w:r>
          </w:p>
        </w:tc>
      </w:tr>
    </w:tbl>
    <w:p w:rsidR="00121183" w:rsidRDefault="00121183">
      <w:pPr>
        <w:spacing w:line="192" w:lineRule="auto"/>
      </w:pPr>
    </w:p>
    <w:p w:rsidR="00121183" w:rsidRDefault="00A54637">
      <w:pPr>
        <w:pStyle w:val="Heading2"/>
      </w:pPr>
      <w:r>
        <w:t>1.2 What is out of scope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Real transaction data. No bank or fintech data were available; every result is on synthetic data.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 xml:space="preserve">•  Quantum </w:t>
      </w:r>
      <w:r>
        <w:rPr>
          <w:rFonts w:cs="Times New Roman"/>
        </w:rPr>
        <w:t>hardware. The quantum sampler is a classical simulation and no D-Wave or other quantum service is called.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Production concerns: authentication, authorisation, encryption in transit, audit logging, rate limiting, high availability and a production web ser</w:t>
      </w:r>
      <w:r>
        <w:rPr>
          <w:rFonts w:cs="Times New Roman"/>
        </w:rPr>
        <w:t>ver.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Streaming scoring, card-holder history features, delayed labels and drift handling.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Model governance: explainability reports for regulators, fairness analysis and human review workflows.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 xml:space="preserve">•  A database. State is kept in memory, CSV, pickle and </w:t>
      </w:r>
      <w:r>
        <w:rPr>
          <w:rFonts w:cs="Times New Roman"/>
        </w:rPr>
        <w:t>JSON files.</w:t>
      </w:r>
    </w:p>
    <w:p w:rsidR="00121183" w:rsidRDefault="00A54637">
      <w:pPr>
        <w:pStyle w:val="Heading2"/>
      </w:pPr>
      <w:r>
        <w:t>1.3 Intended users and use</w:t>
      </w:r>
    </w:p>
    <w:p w:rsidR="00121183" w:rsidRDefault="00A54637">
      <w:r>
        <w:rPr>
          <w:rFonts w:cs="Times New Roman"/>
        </w:rPr>
        <w:t>The interface is written for two roles: a merchant or analyst who wants to check one payment, and a risk-operations user who screens CSV exports and reads analytics. The project is a prototype for study and demonstrat</w:t>
      </w:r>
      <w:r>
        <w:rPr>
          <w:rFonts w:cs="Times New Roman"/>
        </w:rPr>
        <w:t>ion. The landing page itself says that the models are trained on a synthetic dataset and are not for production payments, and the documentation repeats that limit.</w:t>
      </w:r>
    </w:p>
    <w:p w:rsidR="00121183" w:rsidRDefault="00A54637">
      <w:pPr>
        <w:pStyle w:val="Heading1"/>
        <w:pageBreakBefore/>
      </w:pPr>
      <w:r>
        <w:lastRenderedPageBreak/>
        <w:t>2. ASSUMPTIONS</w:t>
      </w:r>
    </w:p>
    <w:p w:rsidR="00121183" w:rsidRDefault="00A54637">
      <w:r>
        <w:rPr>
          <w:rFonts w:cs="Times New Roman"/>
        </w:rPr>
        <w:t>The results and the design rest on the following assumptions. They are stated</w:t>
      </w:r>
      <w:r>
        <w:rPr>
          <w:rFonts w:cs="Times New Roman"/>
        </w:rPr>
        <w:t xml:space="preserve"> so that a reader can judge how far the numbers travel.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The synthetic generator is an adequate stand-in for a balanced, undersampled card-fraud set. Fraud transactions are drawn with larger amounts (mean 368.20 against 85.21), more online and card-not-p</w:t>
      </w:r>
      <w:r>
        <w:rPr>
          <w:rFonts w:cs="Times New Roman"/>
        </w:rPr>
        <w:t>resent use, more country mismatches and shifted values in five anonymised features. Real fraud is subtler.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The 50/50 balance of the file reflects the base paper's manual undersampling and is not the balance of a live stream, where fraud is a small fract</w:t>
      </w:r>
      <w:r>
        <w:rPr>
          <w:rFonts w:cs="Times New Roman"/>
        </w:rPr>
        <w:t>ion of one percent.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A random 8,000-row sample of the file is large enough to train the three models, and a stratified 80/20 split of it (6,400 training and 1,600 test rows) is a fair held-out set.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 xml:space="preserve">•  The hyper-parameters reported in the base paper </w:t>
      </w:r>
      <w:r>
        <w:rPr>
          <w:rFonts w:cs="Times New Roman"/>
        </w:rPr>
        <w:t>(hidden units, batch size, learning-rate shape) are reasonable for this data and are not re-tuned.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Transactions arrive with the same columns, units and encodings as the training file. The API does not validate ranges.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All timings were taken on one Wi</w:t>
      </w:r>
      <w:r>
        <w:rPr>
          <w:rFonts w:cs="Times New Roman"/>
        </w:rPr>
        <w:t>ndows PC with a CPU only, with the Flask development server and the API reached at 127.0.0.1.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The 0.5 decision threshold and the 0.4 and 0.7 risk bands are product choices and were not tuned on validation data.</w:t>
      </w:r>
    </w:p>
    <w:p w:rsidR="00121183" w:rsidRDefault="00A54637">
      <w:pPr>
        <w:pStyle w:val="Heading1"/>
        <w:pageBreakBefore/>
      </w:pPr>
      <w:r>
        <w:lastRenderedPageBreak/>
        <w:t>3. LIMITATIONS</w:t>
      </w:r>
    </w:p>
    <w:p w:rsidR="00121183" w:rsidRDefault="00A54637">
      <w:r>
        <w:rPr>
          <w:rFonts w:cs="Times New Roman"/>
        </w:rPr>
        <w:t>This section lists the limi</w:t>
      </w:r>
      <w:r>
        <w:rPr>
          <w:rFonts w:cs="Times New Roman"/>
        </w:rPr>
        <w:t>tations that matter for reading the results. Each one was either measured or can be checked in the code.</w:t>
      </w:r>
    </w:p>
    <w:p w:rsidR="00121183" w:rsidRDefault="00A54637">
      <w:pPr>
        <w:pStyle w:val="Heading2"/>
      </w:pPr>
      <w:r>
        <w:t>3.1 Synthetic data</w:t>
      </w:r>
    </w:p>
    <w:p w:rsidR="00121183" w:rsidRDefault="00A54637">
      <w:r>
        <w:rPr>
          <w:rFonts w:cs="Times New Roman"/>
        </w:rPr>
        <w:t>Every number in this report comes from a synthetic file. Its fraud and legitimate classes differ by construction: a logistic regress</w:t>
      </w:r>
      <w:r>
        <w:rPr>
          <w:rFonts w:cs="Times New Roman"/>
        </w:rPr>
        <w:t>ion separates them with F1 96.7%, almost as well as a random forest (96.3%). Real transactions are expected to overlap far more, and published results on real data are much lower: the best fusion of tree models in a recent study reaches an AUPRC of about 0</w:t>
      </w:r>
      <w:r>
        <w:rPr>
          <w:rFonts w:cs="Times New Roman"/>
        </w:rPr>
        <w:t>.67 on a public benchmark with 3.5 % fraud [3]. The results therefore show that the pipeline works end to end; they do not predict real-world detection rates. The anonymised features V1 to V22 are essentially noise apart from five shifted ones (and a small</w:t>
      </w:r>
      <w:r>
        <w:rPr>
          <w:rFonts w:cs="Times New Roman"/>
        </w:rPr>
        <w:t xml:space="preserve"> amount-linked offset in V1), and the interface labels V3, V14 and V17 as history, location variance and spending pattern only as friendly names.</w:t>
      </w:r>
    </w:p>
    <w:p w:rsidR="00121183" w:rsidRDefault="00A54637">
      <w:pPr>
        <w:pStyle w:val="Heading2"/>
      </w:pPr>
      <w:r>
        <w:t>3.2 Quantum-inspired, not quantum</w:t>
      </w:r>
    </w:p>
    <w:p w:rsidR="00121183" w:rsidRDefault="00A54637">
      <w:r>
        <w:rPr>
          <w:rFonts w:cs="Times New Roman"/>
        </w:rPr>
        <w:t>The base paper's third trainer ran on quantum hardware [1]. Here it is a cla</w:t>
      </w:r>
      <w:r>
        <w:rPr>
          <w:rFonts w:cs="Times New Roman"/>
        </w:rPr>
        <w:t>ssical simulation, and the annealing sampler is simplified: both samplers compute the hidden field from the mean visible vector of the batch and tile a single averaged model sample over the batch, and each epoch uses a 3,000-row subsample with 10 sweeps an</w:t>
      </w:r>
      <w:r>
        <w:rPr>
          <w:rFonts w:cs="Times New Roman"/>
        </w:rPr>
        <w:t>d 16 reads. Training times of a few seconds therefore do not reproduce, and say nothing about, the hours reported in the paper; the interface shows the paper's times in a separate column for that reason.</w:t>
      </w:r>
    </w:p>
    <w:p w:rsidR="00121183" w:rsidRDefault="00A54637">
      <w:pPr>
        <w:pStyle w:val="Heading2"/>
      </w:pPr>
      <w:r>
        <w:t>3.3 Optimistic epoch selection</w:t>
      </w:r>
    </w:p>
    <w:p w:rsidR="00121183" w:rsidRDefault="00A54637">
      <w:r>
        <w:rPr>
          <w:rFonts w:cs="Times New Roman"/>
        </w:rPr>
        <w:t>The comparison view a</w:t>
      </w:r>
      <w:r>
        <w:rPr>
          <w:rFonts w:cs="Times New Roman"/>
        </w:rPr>
        <w:t>nd the dashboard report each model at its best epoch, chosen on the same test split that scores it. That choice is optimistic. The best-epoch F1 of the shipped PCD model is 80.0% (epoch 12), but the saved model is the final epoch, with F1 70.9%. This repor</w:t>
      </w:r>
      <w:r>
        <w:rPr>
          <w:rFonts w:cs="Times New Roman"/>
        </w:rPr>
        <w:t>t uses final-epoch figures as the primary numbers and shows best-epoch values only where it says so.</w:t>
      </w:r>
    </w:p>
    <w:p w:rsidR="00121183" w:rsidRDefault="00A54637">
      <w:pPr>
        <w:pStyle w:val="Heading2"/>
      </w:pPr>
      <w:r>
        <w:lastRenderedPageBreak/>
        <w:t>3.4 Pipeline order</w:t>
      </w:r>
    </w:p>
    <w:p w:rsidR="00121183" w:rsidRDefault="00A54637">
      <w:r>
        <w:rPr>
          <w:rFonts w:cs="Times New Roman"/>
        </w:rPr>
        <w:t>Undersampling and feature selection run on the whole sample before the train-test split, and the scaler is fitted on all rows. Test rows</w:t>
      </w:r>
      <w:r>
        <w:rPr>
          <w:rFonts w:cs="Times New Roman"/>
        </w:rPr>
        <w:t xml:space="preserve"> therefore influence which features are kept and how they are scaled. With a balanced synthetic file the effect is small, but it is a leak that a real study would remove.</w:t>
      </w:r>
    </w:p>
    <w:p w:rsidR="00121183" w:rsidRDefault="00A54637">
      <w:pPr>
        <w:pStyle w:val="Heading2"/>
      </w:pPr>
      <w:r>
        <w:t>3.5 Unstable and badly placed classical model</w:t>
      </w:r>
    </w:p>
    <w:p w:rsidR="00121183" w:rsidRDefault="00A54637">
      <w:r>
        <w:rPr>
          <w:rFonts w:cs="Times New Roman"/>
        </w:rPr>
        <w:t xml:space="preserve">The PCD trainer is unstable: over five </w:t>
      </w:r>
      <w:r>
        <w:rPr>
          <w:rFonts w:cs="Times New Roman"/>
        </w:rPr>
        <w:t>seeds its final-epoch F1 is 69.2 +/- 23.1, and the shipped model flags nearly every transaction at the 0.5 threshold (accuracy 58.8%, recall 100.0%, 660 false positives among 795 legitimate test rows) although its ROC-AUC is 0.986. The ensemble averages it</w:t>
      </w:r>
      <w:r>
        <w:rPr>
          <w:rFonts w:cs="Times New Roman"/>
        </w:rPr>
        <w:t xml:space="preserve"> with the other two models, so a badly placed member still moves the mean.</w:t>
      </w:r>
    </w:p>
    <w:p w:rsidR="00121183" w:rsidRDefault="00A54637">
      <w:pPr>
        <w:pStyle w:val="Heading2"/>
      </w:pPr>
      <w:r>
        <w:t>3.6 Bulk-route defect</w:t>
      </w:r>
    </w:p>
    <w:p w:rsidR="00121183" w:rsidRDefault="00A54637">
      <w:r>
        <w:rPr>
          <w:rFonts w:cs="Times New Roman"/>
        </w:rPr>
        <w:t>The bulk route (</w:t>
      </w:r>
      <w:r>
        <w:rPr>
          <w:rFonts w:ascii="Consolas" w:eastAsia="Consolas" w:hAnsi="Consolas" w:cs="Consolas"/>
          <w:sz w:val="21"/>
        </w:rPr>
        <w:t>predict_batch</w:t>
      </w:r>
      <w:r>
        <w:rPr>
          <w:rFonts w:cs="Times New Roman"/>
        </w:rPr>
        <w:t>) calls the fitted scaler on only the selected numeric columns (13 of the 24 it was fitted on). scikit-learn raises an error, a ba</w:t>
      </w:r>
      <w:r>
        <w:rPr>
          <w:rFonts w:cs="Times New Roman"/>
        </w:rPr>
        <w:t xml:space="preserve">re </w:t>
      </w:r>
      <w:r>
        <w:rPr>
          <w:rFonts w:ascii="Consolas" w:eastAsia="Consolas" w:hAnsi="Consolas" w:cs="Consolas"/>
          <w:sz w:val="21"/>
        </w:rPr>
        <w:t>except: pass</w:t>
      </w:r>
      <w:r>
        <w:rPr>
          <w:rFonts w:cs="Times New Roman"/>
        </w:rPr>
        <w:t xml:space="preserve"> swallows it, and the models receive unscaled values. On a fresh balanced batch of 2,000 rows accuracy is 50.2% as served against 94.8% when scaled (995 false positives against 26). The bundled sample file of 20 rows (10 fraud) is flagged 20</w:t>
      </w:r>
      <w:r>
        <w:rPr>
          <w:rFonts w:cs="Times New Roman"/>
        </w:rPr>
        <w:t xml:space="preserve"> times as served and 11 times when scaled. The single-check route is not affected. The defect is documented and measured but was not fixed, so the bulk screenshot shows the behaviour of the code as shipped.</w:t>
      </w:r>
    </w:p>
    <w:p w:rsidR="00121183" w:rsidRDefault="00A54637">
      <w:pPr>
        <w:pStyle w:val="Heading2"/>
      </w:pPr>
      <w:r>
        <w:t>3.7 Imbalance behaviour</w:t>
      </w:r>
    </w:p>
    <w:p w:rsidR="00121183" w:rsidRDefault="00A54637">
      <w:r>
        <w:rPr>
          <w:rFonts w:cs="Times New Roman"/>
        </w:rPr>
        <w:t>The models were trained a</w:t>
      </w:r>
      <w:r>
        <w:rPr>
          <w:rFonts w:cs="Times New Roman"/>
        </w:rPr>
        <w:t>nd evaluated on balanced data. At 1% fraud, an RBM trained on undersampled data keeps a precision of 0.95 but finds only 0.59 of the fraud, and the three baselines trained on undersampled data produce hundreds of false alarms per 7,800 transactions. A depl</w:t>
      </w:r>
      <w:r>
        <w:rPr>
          <w:rFonts w:cs="Times New Roman"/>
        </w:rPr>
        <w:t>oyment would need cost-aware thresholds chosen on a realistic stream.</w:t>
      </w:r>
    </w:p>
    <w:p w:rsidR="00121183" w:rsidRDefault="00A54637">
      <w:pPr>
        <w:pStyle w:val="Heading2"/>
      </w:pPr>
      <w:r>
        <w:t>3.8 Engineering limits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 xml:space="preserve">•  No authentication, no HTTPS, open cross-origin access and the Flask development server (with debug mode on in </w:t>
      </w:r>
      <w:r>
        <w:rPr>
          <w:rFonts w:ascii="Consolas" w:eastAsia="Consolas" w:hAnsi="Consolas" w:cs="Consolas"/>
          <w:sz w:val="21"/>
        </w:rPr>
        <w:t>app.py</w:t>
      </w:r>
      <w:r>
        <w:rPr>
          <w:rFonts w:cs="Times New Roman"/>
        </w:rPr>
        <w:t>).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lastRenderedPageBreak/>
        <w:t>•  Only a read-only smoke test of the API</w:t>
      </w:r>
      <w:r>
        <w:rPr>
          <w:rFonts w:cs="Times New Roman"/>
        </w:rPr>
        <w:t xml:space="preserve"> (20/20 checks) exists; there is no unit-test suite and no regression test for the scaling defect.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In-memory state: training from the Lab overwrites the shipped model files, and regenerating the dataset empties the in-memory models.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The batch route r</w:t>
      </w:r>
      <w:r>
        <w:rPr>
          <w:rFonts w:cs="Times New Roman"/>
        </w:rPr>
        <w:t xml:space="preserve">ewrites </w:t>
      </w:r>
      <w:r>
        <w:rPr>
          <w:rFonts w:ascii="Consolas" w:eastAsia="Consolas" w:hAnsi="Consolas" w:cs="Consolas"/>
          <w:sz w:val="21"/>
        </w:rPr>
        <w:t>data/batch_predictions.csv</w:t>
      </w:r>
      <w:r>
        <w:rPr>
          <w:rFonts w:cs="Times New Roman"/>
        </w:rPr>
        <w:t xml:space="preserve"> on every call, so concurrent users would overwrite each other's downloads.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 xml:space="preserve">•  The risk label for a probability of exactly zero is undefined in the batch route because </w:t>
      </w:r>
      <w:r>
        <w:rPr>
          <w:rFonts w:ascii="Consolas" w:eastAsia="Consolas" w:hAnsi="Consolas" w:cs="Consolas"/>
          <w:sz w:val="21"/>
        </w:rPr>
        <w:t>pd.cut</w:t>
      </w:r>
      <w:r>
        <w:rPr>
          <w:rFonts w:cs="Times New Roman"/>
        </w:rPr>
        <w:t xml:space="preserve"> excludes the lower edge.</w:t>
      </w:r>
    </w:p>
    <w:p w:rsidR="00121183" w:rsidRDefault="00A54637">
      <w:pPr>
        <w:pStyle w:val="Heading2"/>
      </w:pPr>
      <w:r>
        <w:t>3.9 What the limitatio</w:t>
      </w:r>
      <w:r>
        <w:t>ns mean for the reader</w:t>
      </w:r>
    </w:p>
    <w:p w:rsidR="00121183" w:rsidRDefault="00A54637">
      <w:r>
        <w:rPr>
          <w:rFonts w:cs="Times New Roman"/>
        </w:rPr>
        <w:t xml:space="preserve">The limitations do not affect all claims equally. The statements that hold regardless of the data are the structural ones: that the pipeline runs end to end, that the three trainers behave differently from each other and from </w:t>
      </w:r>
      <w:r>
        <w:rPr>
          <w:rFonts w:cs="Times New Roman"/>
        </w:rPr>
        <w:t>ordinary baselines on the same split, that accuracy misleads at low fraud rates, and that a swallowed exception in the serving path changes the answers a user sees. The statements that depend on the data are the absolute values: an F1 near 94 % for the ens</w:t>
      </w:r>
      <w:r>
        <w:rPr>
          <w:rFonts w:cs="Times New Roman"/>
        </w:rPr>
        <w:t>emble, near 96 to 97 % for the baselines, and precision near 0.95 at one percent fraud. These describe an easy synthetic problem and should not be quoted as expected performance on card transactions.</w:t>
      </w:r>
    </w:p>
    <w:p w:rsidR="00121183" w:rsidRDefault="00A54637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Which claims each </w:t>
      </w:r>
      <w:r>
        <w:rPr>
          <w:rFonts w:cs="Times New Roman"/>
        </w:rPr>
        <w:t>limitation affects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519"/>
        <w:gridCol w:w="3100"/>
      </w:tblGrid>
      <w:tr w:rsidR="00121183">
        <w:trPr>
          <w:cantSplit/>
          <w:tblHeader/>
          <w:jc w:val="center"/>
        </w:trPr>
        <w:tc>
          <w:tcPr>
            <w:tcW w:w="2304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Limitation</w:t>
            </w:r>
          </w:p>
        </w:tc>
        <w:tc>
          <w:tcPr>
            <w:tcW w:w="3600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Claims affected</w:t>
            </w:r>
          </w:p>
        </w:tc>
        <w:tc>
          <w:tcPr>
            <w:tcW w:w="3168" w:type="dxa"/>
            <w:shd w:val="clear" w:color="auto" w:fill="1B2A41"/>
          </w:tcPr>
          <w:p w:rsidR="00121183" w:rsidRDefault="00A54637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9"/>
              </w:rPr>
              <w:t>Claims not affected</w:t>
            </w:r>
          </w:p>
        </w:tc>
      </w:tr>
      <w:tr w:rsidR="00121183">
        <w:trPr>
          <w:cantSplit/>
          <w:jc w:val="center"/>
        </w:trPr>
        <w:tc>
          <w:tcPr>
            <w:tcW w:w="230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Synthetic data</w:t>
            </w:r>
          </w:p>
        </w:tc>
        <w:tc>
          <w:tcPr>
            <w:tcW w:w="360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All absolute metrics; comparison with the base paper</w:t>
            </w:r>
          </w:p>
        </w:tc>
        <w:tc>
          <w:tcPr>
            <w:tcW w:w="316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Relative behaviour of trainers; effect of resampling; the serving defect</w:t>
            </w:r>
          </w:p>
        </w:tc>
      </w:tr>
      <w:tr w:rsidR="00121183">
        <w:trPr>
          <w:cantSplit/>
          <w:jc w:val="center"/>
        </w:trPr>
        <w:tc>
          <w:tcPr>
            <w:tcW w:w="230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Quantum-inspired sampler</w:t>
            </w:r>
          </w:p>
        </w:tc>
        <w:tc>
          <w:tcPr>
            <w:tcW w:w="360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Any statement about qu</w:t>
            </w:r>
            <w:r>
              <w:rPr>
                <w:rFonts w:cs="Times New Roman"/>
                <w:sz w:val="19"/>
              </w:rPr>
              <w:t>antum training or its time</w:t>
            </w:r>
          </w:p>
        </w:tc>
        <w:tc>
          <w:tcPr>
            <w:tcW w:w="316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PCD results; the structure of the classifier</w:t>
            </w:r>
          </w:p>
        </w:tc>
      </w:tr>
      <w:tr w:rsidR="00121183">
        <w:trPr>
          <w:cantSplit/>
          <w:jc w:val="center"/>
        </w:trPr>
        <w:tc>
          <w:tcPr>
            <w:tcW w:w="230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Best-epoch display</w:t>
            </w:r>
          </w:p>
        </w:tc>
        <w:tc>
          <w:tcPr>
            <w:tcW w:w="360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Dashboard and comparison-screen F1 values</w:t>
            </w:r>
          </w:p>
        </w:tc>
        <w:tc>
          <w:tcPr>
            <w:tcW w:w="316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Final-epoch figures used in this report</w:t>
            </w:r>
          </w:p>
        </w:tc>
      </w:tr>
      <w:tr w:rsidR="00121183">
        <w:trPr>
          <w:cantSplit/>
          <w:jc w:val="center"/>
        </w:trPr>
        <w:tc>
          <w:tcPr>
            <w:tcW w:w="230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Split after selection</w:t>
            </w:r>
          </w:p>
        </w:tc>
        <w:tc>
          <w:tcPr>
            <w:tcW w:w="360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Small optimism in all test metrics</w:t>
            </w:r>
          </w:p>
        </w:tc>
        <w:tc>
          <w:tcPr>
            <w:tcW w:w="316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 xml:space="preserve">Ordering of models; </w:t>
            </w:r>
            <w:r>
              <w:rPr>
                <w:rFonts w:cs="Times New Roman"/>
                <w:sz w:val="19"/>
              </w:rPr>
              <w:t>baseline comparison on the same split</w:t>
            </w:r>
          </w:p>
        </w:tc>
      </w:tr>
      <w:tr w:rsidR="00121183">
        <w:trPr>
          <w:cantSplit/>
          <w:jc w:val="center"/>
        </w:trPr>
        <w:tc>
          <w:tcPr>
            <w:tcW w:w="230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Scaling defect</w:t>
            </w:r>
          </w:p>
        </w:tc>
        <w:tc>
          <w:tcPr>
            <w:tcW w:w="360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Everything shown on the Verify and Bulk screens</w:t>
            </w:r>
          </w:p>
        </w:tc>
        <w:tc>
          <w:tcPr>
            <w:tcW w:w="316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Offline metrics, which use scaled inputs</w:t>
            </w:r>
          </w:p>
        </w:tc>
      </w:tr>
      <w:tr w:rsidR="00121183">
        <w:trPr>
          <w:cantSplit/>
          <w:jc w:val="center"/>
        </w:trPr>
        <w:tc>
          <w:tcPr>
            <w:tcW w:w="2304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No real-world test</w:t>
            </w:r>
          </w:p>
        </w:tc>
        <w:tc>
          <w:tcPr>
            <w:tcW w:w="3600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Any claim of fitness for payments</w:t>
            </w:r>
          </w:p>
        </w:tc>
        <w:tc>
          <w:tcPr>
            <w:tcW w:w="3168" w:type="dxa"/>
          </w:tcPr>
          <w:p w:rsidR="00121183" w:rsidRDefault="00A54637">
            <w:pPr>
              <w:spacing w:after="40" w:line="240" w:lineRule="auto"/>
              <w:jc w:val="left"/>
            </w:pPr>
            <w:r>
              <w:rPr>
                <w:rFonts w:cs="Times New Roman"/>
                <w:sz w:val="19"/>
              </w:rPr>
              <w:t>The engineering findings</w:t>
            </w:r>
          </w:p>
        </w:tc>
      </w:tr>
    </w:tbl>
    <w:p w:rsidR="00121183" w:rsidRDefault="00121183">
      <w:pPr>
        <w:spacing w:line="192" w:lineRule="auto"/>
      </w:pPr>
    </w:p>
    <w:p w:rsidR="00121183" w:rsidRDefault="00A54637">
      <w:r>
        <w:rPr>
          <w:rFonts w:cs="Times New Roman"/>
        </w:rPr>
        <w:t>Three figures illustrate the lim</w:t>
      </w:r>
      <w:r>
        <w:rPr>
          <w:rFonts w:cs="Times New Roman"/>
        </w:rPr>
        <w:t xml:space="preserve">itations that matter most for reading the numbers. The first shows the synthetic, balanced dataset all results rest on; the second shows what happens to a model trained on undersampled data when fraud falls to 1 % of the stream; the third shows the effect </w:t>
      </w:r>
      <w:r>
        <w:rPr>
          <w:rFonts w:cs="Times New Roman"/>
        </w:rPr>
        <w:t>of the serving-path defect on a fresh batch.</w:t>
      </w:r>
    </w:p>
    <w:p w:rsidR="00121183" w:rsidRDefault="00A54637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120640" cy="12669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dataset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6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183" w:rsidRDefault="00A54637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The synthetic, balanced dataset behind every result (limitation: no real transaction data).</w:t>
      </w:r>
    </w:p>
    <w:p w:rsidR="00121183" w:rsidRDefault="00A54637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120640" cy="17289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imbalance_stud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2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183" w:rsidRDefault="00A54637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Precision and recall at 1 % fraud for each </w:t>
      </w:r>
      <w:r>
        <w:rPr>
          <w:rFonts w:cs="Times New Roman"/>
        </w:rPr>
        <w:t>model and imbalance strategy (limitation: results change with the fraud rate).</w:t>
      </w:r>
    </w:p>
    <w:p w:rsidR="00121183" w:rsidRDefault="00A54637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754880" cy="17660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_serving_def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183" w:rsidRDefault="00A54637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Effect of the skipped scaling step on a fresh 2,000-row batch (limitation: serving-path defect, documented and not fixed).</w:t>
      </w:r>
    </w:p>
    <w:p w:rsidR="00121183" w:rsidRDefault="00A54637">
      <w:pPr>
        <w:pStyle w:val="Heading1"/>
        <w:pageBreakBefore/>
      </w:pPr>
      <w:r>
        <w:lastRenderedPageBreak/>
        <w:t>4. WHAT WAS NOT M</w:t>
      </w:r>
      <w:r>
        <w:t>EASURED</w:t>
      </w:r>
    </w:p>
    <w:p w:rsidR="00121183" w:rsidRDefault="00A54637">
      <w:r>
        <w:rPr>
          <w:rFonts w:cs="Times New Roman"/>
        </w:rPr>
        <w:t>The following were not measured, so no figure is given for them: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Precision and recall on real card transactions, and any result at the scale of the base paper (145 million transactions).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Behaviour under concept drift, delayed labels or changi</w:t>
      </w:r>
      <w:r>
        <w:rPr>
          <w:rFonts w:cs="Times New Roman"/>
        </w:rPr>
        <w:t>ng fraud tactics.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Throughput and latency under concurrent load; latency was measured for one client at a time.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Behaviour on hardware other than the single Windows PC used here, and on a production web server.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 xml:space="preserve">•  Any run on quantum hardware or on a </w:t>
      </w:r>
      <w:r>
        <w:rPr>
          <w:rFonts w:cs="Times New Roman"/>
        </w:rPr>
        <w:t>physical annealer; the training times reported in the base paper were not reproduced.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Usability: no user study was run with analysts or merchants.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Cost-weighted performance: the cost of a missed fraud against a false alarm is not known for this proto</w:t>
      </w:r>
      <w:r>
        <w:rPr>
          <w:rFonts w:cs="Times New Roman"/>
        </w:rPr>
        <w:t>type.</w:t>
      </w:r>
    </w:p>
    <w:p w:rsidR="00121183" w:rsidRDefault="00A54637">
      <w:pPr>
        <w:spacing w:after="60"/>
        <w:ind w:left="720" w:hanging="360"/>
      </w:pPr>
      <w:r>
        <w:rPr>
          <w:rFonts w:cs="Times New Roman"/>
        </w:rPr>
        <w:t>•  The effect of a scaling fix on the interface; the defect was measured offline and the product code was left unchanged.</w:t>
      </w:r>
    </w:p>
    <w:sectPr w:rsidR="00121183" w:rsidSect="00034616">
      <w:headerReference w:type="default" r:id="rId11"/>
      <w:footerReference w:type="default" r:id="rId12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A54637">
      <w:pPr>
        <w:spacing w:after="0" w:line="240" w:lineRule="auto"/>
      </w:pPr>
      <w:r>
        <w:separator/>
      </w:r>
    </w:p>
  </w:endnote>
  <w:endnote w:type="continuationSeparator" w:id="0">
    <w:p w:rsidR="00000000" w:rsidRDefault="00A54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1183" w:rsidRDefault="00A54637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A54637">
      <w:pPr>
        <w:spacing w:after="0" w:line="240" w:lineRule="auto"/>
      </w:pPr>
      <w:r>
        <w:separator/>
      </w:r>
    </w:p>
  </w:footnote>
  <w:footnote w:type="continuationSeparator" w:id="0">
    <w:p w:rsidR="00000000" w:rsidRDefault="00A546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1183" w:rsidRDefault="00A54637">
    <w:pPr>
      <w:pStyle w:val="Header"/>
      <w:jc w:val="center"/>
    </w:pPr>
    <w:r>
      <w:rPr>
        <w:rFonts w:cs="Times New Roman"/>
        <w:i/>
        <w:color w:val="555555"/>
        <w:sz w:val="20"/>
      </w:rPr>
      <w:t>SecurePay AI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183"/>
    <w:rsid w:val="0015074B"/>
    <w:rsid w:val="0029639D"/>
    <w:rsid w:val="00326F90"/>
    <w:rsid w:val="00A546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5706208-DA19-4CE0-8B21-5778AF8A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54637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54637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54637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97CF57-C5F7-469E-B16C-06F6284F0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1901</Words>
  <Characters>9989</Characters>
  <Application>Microsoft Office Word</Application>
  <DocSecurity>0</DocSecurity>
  <Lines>246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2026-10-25T03:00:00Z</dcterms:modified>
  <cp:category/>
</cp:coreProperties>
</file>