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1CC4" w:rsidRDefault="00091CC4">
      <w:pPr>
        <w:spacing w:after="480" w:line="240" w:lineRule="auto"/>
      </w:pPr>
      <w:bookmarkStart w:id="0" w:name="_GoBack"/>
      <w:bookmarkEnd w:id="0"/>
    </w:p>
    <w:p w:rsidR="00091CC4" w:rsidRDefault="001A0771">
      <w:pPr>
        <w:jc w:val="center"/>
      </w:pPr>
      <w:r>
        <w:rPr>
          <w:rFonts w:cs="Times New Roman"/>
          <w:b/>
          <w:sz w:val="36"/>
        </w:rPr>
        <w:t>CREDIT CARD FRAUD DETECTION USING MACHINE LEARNING</w:t>
      </w:r>
    </w:p>
    <w:p w:rsidR="00091CC4" w:rsidRDefault="001A0771">
      <w:pPr>
        <w:spacing w:after="280"/>
        <w:jc w:val="center"/>
      </w:pPr>
      <w:r>
        <w:rPr>
          <w:rFonts w:cs="Times New Roman"/>
          <w:b/>
          <w:sz w:val="28"/>
        </w:rPr>
        <w:t>Block Diagrams (all)</w:t>
      </w:r>
    </w:p>
    <w:p w:rsidR="00091CC4" w:rsidRDefault="001A0771">
      <w:pPr>
        <w:spacing w:after="40"/>
        <w:jc w:val="center"/>
      </w:pPr>
      <w:r>
        <w:rPr>
          <w:rFonts w:cs="Times New Roman"/>
        </w:rPr>
        <w:t>Department of Computer Science and Engineering, TKR College of Engineering &amp; Technology</w:t>
      </w:r>
    </w:p>
    <w:p w:rsidR="00091CC4" w:rsidRDefault="001A0771">
      <w:pPr>
        <w:spacing w:after="240"/>
        <w:jc w:val="center"/>
      </w:pPr>
      <w:r>
        <w:rPr>
          <w:rFonts w:cs="Times New Roman"/>
        </w:rPr>
        <w:t>Batch A4 (CSE-A)  ·  Academic year [ACADEMIC YEAR]</w:t>
      </w:r>
    </w:p>
    <w:p w:rsidR="00091CC4" w:rsidRDefault="001A077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091CC4">
        <w:trPr>
          <w:cantSplit/>
          <w:tblHeader/>
          <w:jc w:val="center"/>
        </w:trPr>
        <w:tc>
          <w:tcPr>
            <w:tcW w:w="1008" w:type="dxa"/>
            <w:shd w:val="clear" w:color="auto" w:fill="1B2A41"/>
          </w:tcPr>
          <w:p w:rsidR="00091CC4" w:rsidRDefault="001A0771">
            <w:pPr>
              <w:spacing w:after="40" w:line="240" w:lineRule="auto"/>
              <w:jc w:val="center"/>
            </w:pPr>
            <w:r>
              <w:rPr>
                <w:rFonts w:cs="Times New Roman"/>
                <w:b/>
                <w:color w:val="FFFFFF"/>
                <w:sz w:val="22"/>
              </w:rPr>
              <w:t>S.No.</w:t>
            </w:r>
          </w:p>
        </w:tc>
        <w:tc>
          <w:tcPr>
            <w:tcW w:w="4896" w:type="dxa"/>
            <w:shd w:val="clear" w:color="auto" w:fill="1B2A41"/>
          </w:tcPr>
          <w:p w:rsidR="00091CC4" w:rsidRDefault="001A0771">
            <w:pPr>
              <w:spacing w:after="40" w:line="240" w:lineRule="auto"/>
              <w:jc w:val="center"/>
            </w:pPr>
            <w:r>
              <w:rPr>
                <w:rFonts w:cs="Times New Roman"/>
                <w:b/>
                <w:color w:val="FFFFFF"/>
                <w:sz w:val="22"/>
              </w:rPr>
              <w:t>Student name</w:t>
            </w:r>
          </w:p>
        </w:tc>
        <w:tc>
          <w:tcPr>
            <w:tcW w:w="2592" w:type="dxa"/>
            <w:shd w:val="clear" w:color="auto" w:fill="1B2A41"/>
          </w:tcPr>
          <w:p w:rsidR="00091CC4" w:rsidRDefault="001A0771">
            <w:pPr>
              <w:spacing w:after="40" w:line="240" w:lineRule="auto"/>
              <w:jc w:val="center"/>
            </w:pPr>
            <w:r>
              <w:rPr>
                <w:rFonts w:cs="Times New Roman"/>
                <w:b/>
                <w:color w:val="FFFFFF"/>
                <w:sz w:val="22"/>
              </w:rPr>
              <w:t>Roll number</w:t>
            </w:r>
          </w:p>
        </w:tc>
      </w:tr>
      <w:tr w:rsidR="00091CC4">
        <w:trPr>
          <w:cantSplit/>
          <w:jc w:val="center"/>
        </w:trPr>
        <w:tc>
          <w:tcPr>
            <w:tcW w:w="1008" w:type="dxa"/>
          </w:tcPr>
          <w:p w:rsidR="00091CC4" w:rsidRDefault="001A0771">
            <w:pPr>
              <w:spacing w:after="40" w:line="240" w:lineRule="auto"/>
              <w:jc w:val="center"/>
            </w:pPr>
            <w:r>
              <w:rPr>
                <w:rFonts w:cs="Times New Roman"/>
                <w:sz w:val="22"/>
              </w:rPr>
              <w:t>1</w:t>
            </w:r>
          </w:p>
        </w:tc>
        <w:tc>
          <w:tcPr>
            <w:tcW w:w="4896" w:type="dxa"/>
          </w:tcPr>
          <w:p w:rsidR="00091CC4" w:rsidRDefault="001A0771">
            <w:pPr>
              <w:spacing w:after="40" w:line="240" w:lineRule="auto"/>
              <w:jc w:val="left"/>
            </w:pPr>
            <w:r>
              <w:rPr>
                <w:rFonts w:cs="Times New Roman"/>
                <w:sz w:val="22"/>
              </w:rPr>
              <w:t>ARELLI PRAVEEN KUMAR</w:t>
            </w:r>
          </w:p>
        </w:tc>
        <w:tc>
          <w:tcPr>
            <w:tcW w:w="2592" w:type="dxa"/>
          </w:tcPr>
          <w:p w:rsidR="00091CC4" w:rsidRDefault="001A0771">
            <w:pPr>
              <w:spacing w:after="40" w:line="240" w:lineRule="auto"/>
              <w:jc w:val="center"/>
            </w:pPr>
            <w:r>
              <w:rPr>
                <w:rFonts w:cs="Times New Roman"/>
                <w:sz w:val="22"/>
              </w:rPr>
              <w:t>23K91A0513</w:t>
            </w:r>
          </w:p>
        </w:tc>
      </w:tr>
      <w:tr w:rsidR="00091CC4">
        <w:trPr>
          <w:cantSplit/>
          <w:jc w:val="center"/>
        </w:trPr>
        <w:tc>
          <w:tcPr>
            <w:tcW w:w="1008" w:type="dxa"/>
          </w:tcPr>
          <w:p w:rsidR="00091CC4" w:rsidRDefault="001A0771">
            <w:pPr>
              <w:spacing w:after="40" w:line="240" w:lineRule="auto"/>
              <w:jc w:val="center"/>
            </w:pPr>
            <w:r>
              <w:rPr>
                <w:rFonts w:cs="Times New Roman"/>
                <w:sz w:val="22"/>
              </w:rPr>
              <w:t>2</w:t>
            </w:r>
          </w:p>
        </w:tc>
        <w:tc>
          <w:tcPr>
            <w:tcW w:w="4896" w:type="dxa"/>
          </w:tcPr>
          <w:p w:rsidR="00091CC4" w:rsidRDefault="001A0771">
            <w:pPr>
              <w:spacing w:after="40" w:line="240" w:lineRule="auto"/>
              <w:jc w:val="left"/>
            </w:pPr>
            <w:r>
              <w:rPr>
                <w:rFonts w:cs="Times New Roman"/>
                <w:sz w:val="22"/>
              </w:rPr>
              <w:t>BANOTHU AJAY</w:t>
            </w:r>
          </w:p>
        </w:tc>
        <w:tc>
          <w:tcPr>
            <w:tcW w:w="2592" w:type="dxa"/>
          </w:tcPr>
          <w:p w:rsidR="00091CC4" w:rsidRDefault="001A0771">
            <w:pPr>
              <w:spacing w:after="40" w:line="240" w:lineRule="auto"/>
              <w:jc w:val="center"/>
            </w:pPr>
            <w:r>
              <w:rPr>
                <w:rFonts w:cs="Times New Roman"/>
                <w:sz w:val="22"/>
              </w:rPr>
              <w:t>23K91A0529</w:t>
            </w:r>
          </w:p>
        </w:tc>
      </w:tr>
      <w:tr w:rsidR="00091CC4">
        <w:trPr>
          <w:cantSplit/>
          <w:jc w:val="center"/>
        </w:trPr>
        <w:tc>
          <w:tcPr>
            <w:tcW w:w="1008" w:type="dxa"/>
          </w:tcPr>
          <w:p w:rsidR="00091CC4" w:rsidRDefault="001A0771">
            <w:pPr>
              <w:spacing w:after="40" w:line="240" w:lineRule="auto"/>
              <w:jc w:val="center"/>
            </w:pPr>
            <w:r>
              <w:rPr>
                <w:rFonts w:cs="Times New Roman"/>
                <w:sz w:val="22"/>
              </w:rPr>
              <w:t>3</w:t>
            </w:r>
          </w:p>
        </w:tc>
        <w:tc>
          <w:tcPr>
            <w:tcW w:w="4896" w:type="dxa"/>
          </w:tcPr>
          <w:p w:rsidR="00091CC4" w:rsidRDefault="001A0771">
            <w:pPr>
              <w:spacing w:after="40" w:line="240" w:lineRule="auto"/>
              <w:jc w:val="left"/>
            </w:pPr>
            <w:r>
              <w:rPr>
                <w:rFonts w:cs="Times New Roman"/>
                <w:sz w:val="22"/>
              </w:rPr>
              <w:t>D CHANDRIKA</w:t>
            </w:r>
          </w:p>
        </w:tc>
        <w:tc>
          <w:tcPr>
            <w:tcW w:w="2592" w:type="dxa"/>
          </w:tcPr>
          <w:p w:rsidR="00091CC4" w:rsidRDefault="001A0771">
            <w:pPr>
              <w:spacing w:after="40" w:line="240" w:lineRule="auto"/>
              <w:jc w:val="center"/>
            </w:pPr>
            <w:r>
              <w:rPr>
                <w:rFonts w:cs="Times New Roman"/>
                <w:sz w:val="22"/>
              </w:rPr>
              <w:t>23K91A0557</w:t>
            </w:r>
          </w:p>
        </w:tc>
      </w:tr>
      <w:tr w:rsidR="00091CC4">
        <w:trPr>
          <w:cantSplit/>
          <w:jc w:val="center"/>
        </w:trPr>
        <w:tc>
          <w:tcPr>
            <w:tcW w:w="1008" w:type="dxa"/>
          </w:tcPr>
          <w:p w:rsidR="00091CC4" w:rsidRDefault="001A0771">
            <w:pPr>
              <w:spacing w:after="40" w:line="240" w:lineRule="auto"/>
              <w:jc w:val="center"/>
            </w:pPr>
            <w:r>
              <w:rPr>
                <w:rFonts w:cs="Times New Roman"/>
                <w:sz w:val="22"/>
              </w:rPr>
              <w:t>4</w:t>
            </w:r>
          </w:p>
        </w:tc>
        <w:tc>
          <w:tcPr>
            <w:tcW w:w="4896" w:type="dxa"/>
          </w:tcPr>
          <w:p w:rsidR="00091CC4" w:rsidRDefault="001A0771">
            <w:pPr>
              <w:spacing w:after="40" w:line="240" w:lineRule="auto"/>
              <w:jc w:val="left"/>
            </w:pPr>
            <w:r>
              <w:rPr>
                <w:rFonts w:cs="Times New Roman"/>
                <w:sz w:val="22"/>
              </w:rPr>
              <w:t>BAIRAGONI VIJAY</w:t>
            </w:r>
          </w:p>
        </w:tc>
        <w:tc>
          <w:tcPr>
            <w:tcW w:w="2592" w:type="dxa"/>
          </w:tcPr>
          <w:p w:rsidR="00091CC4" w:rsidRDefault="001A0771">
            <w:pPr>
              <w:spacing w:after="40" w:line="240" w:lineRule="auto"/>
              <w:jc w:val="center"/>
            </w:pPr>
            <w:r>
              <w:rPr>
                <w:rFonts w:cs="Times New Roman"/>
                <w:sz w:val="22"/>
              </w:rPr>
              <w:t>23K91A0525</w:t>
            </w:r>
          </w:p>
        </w:tc>
      </w:tr>
    </w:tbl>
    <w:p w:rsidR="00091CC4" w:rsidRDefault="00091CC4">
      <w:pPr>
        <w:spacing w:line="192" w:lineRule="auto"/>
      </w:pPr>
    </w:p>
    <w:p w:rsidR="00091CC4" w:rsidRDefault="001A0771">
      <w:pPr>
        <w:spacing w:after="200"/>
        <w:jc w:val="center"/>
      </w:pPr>
      <w:r>
        <w:rPr>
          <w:rFonts w:cs="Times New Roman"/>
          <w:b/>
        </w:rPr>
        <w:t>Project guide:</w:t>
      </w:r>
      <w:r>
        <w:rPr>
          <w:rFonts w:cs="Times New Roman"/>
        </w:rPr>
        <w:t xml:space="preserve"> KOTESHWAR RAO</w:t>
      </w:r>
    </w:p>
    <w:p w:rsidR="00091CC4" w:rsidRDefault="001A0771">
      <w:r>
        <w:rPr>
          <w:rFonts w:cs="Times New Roman"/>
          <w:i/>
          <w:sz w:val="21"/>
        </w:rPr>
        <w:t xml:space="preserve">Chapter and section numbers quoted in the text (for example Chapter 8 </w:t>
      </w:r>
      <w:r>
        <w:rPr>
          <w:rFonts w:cs="Times New Roman"/>
          <w:i/>
          <w:sz w:val="21"/>
        </w:rPr>
        <w:t>or Section 6.2) refer to the full project report, 17.Final Document. Figures and tables in this document are numbered from 1.</w:t>
      </w:r>
    </w:p>
    <w:p w:rsidR="00091CC4" w:rsidRDefault="001A0771">
      <w:pPr>
        <w:pStyle w:val="Heading1"/>
      </w:pPr>
      <w:r>
        <w:t>1. INDEX OF DIAGRAMS</w:t>
      </w:r>
    </w:p>
    <w:p w:rsidR="00091CC4" w:rsidRDefault="001A0771">
      <w:r>
        <w:rPr>
          <w:rFonts w:cs="Times New Roman"/>
        </w:rPr>
        <w:t xml:space="preserve">Every diagram was generated from the real design by </w:t>
      </w:r>
      <w:r>
        <w:rPr>
          <w:rFonts w:ascii="Consolas" w:eastAsia="Consolas" w:hAnsi="Consolas" w:cs="Consolas"/>
          <w:sz w:val="21"/>
        </w:rPr>
        <w:t>scripts/docs_build/make_diagrams.py</w:t>
      </w:r>
      <w:r>
        <w:rPr>
          <w:rFonts w:cs="Times New Roman"/>
        </w:rPr>
        <w:t xml:space="preserve"> and </w:t>
      </w:r>
      <w:r>
        <w:rPr>
          <w:rFonts w:ascii="Consolas" w:eastAsia="Consolas" w:hAnsi="Consolas" w:cs="Consolas"/>
          <w:sz w:val="21"/>
        </w:rPr>
        <w:t>diagrams_more.py</w:t>
      </w:r>
      <w:r>
        <w:rPr>
          <w:rFonts w:cs="Times New Roman"/>
        </w:rPr>
        <w:t xml:space="preserve"> (matplotlib, 150 dpi) and mirrors the code in </w:t>
      </w:r>
      <w:r>
        <w:rPr>
          <w:rFonts w:ascii="Consolas" w:eastAsia="Consolas" w:hAnsi="Consolas" w:cs="Consolas"/>
          <w:sz w:val="21"/>
        </w:rPr>
        <w:t>backend/</w:t>
      </w:r>
      <w:r>
        <w:rPr>
          <w:rFonts w:cs="Times New Roman"/>
        </w:rPr>
        <w:t xml:space="preserve"> (</w:t>
      </w:r>
      <w:r>
        <w:rPr>
          <w:rFonts w:ascii="Consolas" w:eastAsia="Consolas" w:hAnsi="Consolas" w:cs="Consolas"/>
          <w:sz w:val="21"/>
        </w:rPr>
        <w:t>app.py</w:t>
      </w:r>
      <w:r>
        <w:rPr>
          <w:rFonts w:cs="Times New Roman"/>
        </w:rPr>
        <w:t xml:space="preserve">, </w:t>
      </w:r>
      <w:r>
        <w:rPr>
          <w:rFonts w:ascii="Consolas" w:eastAsia="Consolas" w:hAnsi="Consolas" w:cs="Consolas"/>
          <w:sz w:val="21"/>
        </w:rPr>
        <w:t>api_extra.py</w:t>
      </w:r>
      <w:r>
        <w:rPr>
          <w:rFonts w:cs="Times New Roman"/>
        </w:rPr>
        <w:t xml:space="preserve">, </w:t>
      </w:r>
      <w:r>
        <w:rPr>
          <w:rFonts w:ascii="Consolas" w:eastAsia="Consolas" w:hAnsi="Consolas" w:cs="Consolas"/>
          <w:sz w:val="21"/>
        </w:rPr>
        <w:t>preprocessing.py</w:t>
      </w:r>
      <w:r>
        <w:rPr>
          <w:rFonts w:cs="Times New Roman"/>
        </w:rPr>
        <w:t xml:space="preserve">, </w:t>
      </w:r>
      <w:r>
        <w:rPr>
          <w:rFonts w:ascii="Consolas" w:eastAsia="Consolas" w:hAnsi="Consolas" w:cs="Consolas"/>
          <w:sz w:val="21"/>
        </w:rPr>
        <w:t>rbm_classifier.py</w:t>
      </w:r>
      <w:r>
        <w:rPr>
          <w:rFonts w:cs="Times New Roman"/>
        </w:rPr>
        <w:t xml:space="preserve">, </w:t>
      </w:r>
      <w:r>
        <w:rPr>
          <w:rFonts w:ascii="Consolas" w:eastAsia="Consolas" w:hAnsi="Consolas" w:cs="Consolas"/>
          <w:sz w:val="21"/>
        </w:rPr>
        <w:t>samplers.py</w:t>
      </w:r>
      <w:r>
        <w:rPr>
          <w:rFonts w:cs="Times New Roman"/>
        </w:rPr>
        <w:t xml:space="preserve">, </w:t>
      </w:r>
      <w:r>
        <w:rPr>
          <w:rFonts w:ascii="Consolas" w:eastAsia="Consolas" w:hAnsi="Consolas" w:cs="Consolas"/>
          <w:sz w:val="21"/>
        </w:rPr>
        <w:t>train.py</w:t>
      </w:r>
      <w:r>
        <w:rPr>
          <w:rFonts w:cs="Times New Roman"/>
        </w:rPr>
        <w:t>). SecurePay AI has no SQL database: it keeps a CSV file, a pipeline pickle, three model pickles and three history file</w:t>
      </w:r>
      <w:r>
        <w:rPr>
          <w:rFonts w:cs="Times New Roman"/>
        </w:rPr>
        <w:t>s, and the entity diagram shows those files.</w:t>
      </w:r>
    </w:p>
    <w:p w:rsidR="00091CC4" w:rsidRDefault="001A077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00"/>
        <w:gridCol w:w="4007"/>
        <w:gridCol w:w="4175"/>
      </w:tblGrid>
      <w:tr w:rsidR="00091CC4">
        <w:trPr>
          <w:cantSplit/>
          <w:tblHeader/>
          <w:jc w:val="center"/>
        </w:trPr>
        <w:tc>
          <w:tcPr>
            <w:tcW w:w="720" w:type="dxa"/>
            <w:shd w:val="clear" w:color="auto" w:fill="1B2A41"/>
          </w:tcPr>
          <w:p w:rsidR="00091CC4" w:rsidRDefault="001A0771">
            <w:pPr>
              <w:spacing w:after="40" w:line="240" w:lineRule="auto"/>
              <w:jc w:val="center"/>
            </w:pPr>
            <w:r>
              <w:rPr>
                <w:rFonts w:cs="Times New Roman"/>
                <w:b/>
                <w:color w:val="FFFFFF"/>
                <w:sz w:val="21"/>
              </w:rPr>
              <w:t>No.</w:t>
            </w:r>
          </w:p>
        </w:tc>
        <w:tc>
          <w:tcPr>
            <w:tcW w:w="4320" w:type="dxa"/>
            <w:shd w:val="clear" w:color="auto" w:fill="1B2A41"/>
          </w:tcPr>
          <w:p w:rsidR="00091CC4" w:rsidRDefault="001A0771">
            <w:pPr>
              <w:spacing w:after="40" w:line="240" w:lineRule="auto"/>
              <w:jc w:val="center"/>
            </w:pPr>
            <w:r>
              <w:rPr>
                <w:rFonts w:cs="Times New Roman"/>
                <w:b/>
                <w:color w:val="FFFFFF"/>
                <w:sz w:val="21"/>
              </w:rPr>
              <w:t>Diagram</w:t>
            </w:r>
          </w:p>
        </w:tc>
        <w:tc>
          <w:tcPr>
            <w:tcW w:w="4032" w:type="dxa"/>
            <w:shd w:val="clear" w:color="auto" w:fill="1B2A41"/>
          </w:tcPr>
          <w:p w:rsidR="00091CC4" w:rsidRDefault="001A0771">
            <w:pPr>
              <w:spacing w:after="40" w:line="240" w:lineRule="auto"/>
              <w:jc w:val="center"/>
            </w:pPr>
            <w:r>
              <w:rPr>
                <w:rFonts w:cs="Times New Roman"/>
                <w:b/>
                <w:color w:val="FFFFFF"/>
                <w:sz w:val="21"/>
              </w:rPr>
              <w:t>Image file</w:t>
            </w:r>
          </w:p>
        </w:tc>
      </w:tr>
      <w:tr w:rsidR="00091CC4">
        <w:trPr>
          <w:cantSplit/>
          <w:jc w:val="center"/>
        </w:trPr>
        <w:tc>
          <w:tcPr>
            <w:tcW w:w="720" w:type="dxa"/>
          </w:tcPr>
          <w:p w:rsidR="00091CC4" w:rsidRDefault="001A0771">
            <w:pPr>
              <w:spacing w:after="40" w:line="240" w:lineRule="auto"/>
              <w:jc w:val="center"/>
            </w:pPr>
            <w:r>
              <w:rPr>
                <w:rFonts w:cs="Times New Roman"/>
                <w:sz w:val="21"/>
              </w:rPr>
              <w:t>1</w:t>
            </w:r>
          </w:p>
        </w:tc>
        <w:tc>
          <w:tcPr>
            <w:tcW w:w="4320" w:type="dxa"/>
          </w:tcPr>
          <w:p w:rsidR="00091CC4" w:rsidRDefault="001A0771">
            <w:pPr>
              <w:spacing w:after="40" w:line="240" w:lineRule="auto"/>
              <w:jc w:val="left"/>
            </w:pPr>
            <w:r>
              <w:rPr>
                <w:rFonts w:cs="Times New Roman"/>
                <w:sz w:val="21"/>
              </w:rPr>
              <w:t>System architecture</w:t>
            </w:r>
          </w:p>
        </w:tc>
        <w:tc>
          <w:tcPr>
            <w:tcW w:w="4032" w:type="dxa"/>
          </w:tcPr>
          <w:p w:rsidR="00091CC4" w:rsidRDefault="001A0771">
            <w:pPr>
              <w:spacing w:after="40" w:line="240" w:lineRule="auto"/>
              <w:jc w:val="left"/>
            </w:pPr>
            <w:r>
              <w:rPr>
                <w:rFonts w:ascii="Consolas" w:eastAsia="Consolas" w:hAnsi="Consolas" w:cs="Consolas"/>
                <w:sz w:val="18"/>
              </w:rPr>
              <w:t>docs/diagrams/01_system_architecture.png</w:t>
            </w:r>
          </w:p>
        </w:tc>
      </w:tr>
      <w:tr w:rsidR="00091CC4">
        <w:trPr>
          <w:cantSplit/>
          <w:jc w:val="center"/>
        </w:trPr>
        <w:tc>
          <w:tcPr>
            <w:tcW w:w="720" w:type="dxa"/>
          </w:tcPr>
          <w:p w:rsidR="00091CC4" w:rsidRDefault="001A0771">
            <w:pPr>
              <w:spacing w:after="40" w:line="240" w:lineRule="auto"/>
              <w:jc w:val="center"/>
            </w:pPr>
            <w:r>
              <w:rPr>
                <w:rFonts w:cs="Times New Roman"/>
                <w:sz w:val="21"/>
              </w:rPr>
              <w:t>2</w:t>
            </w:r>
          </w:p>
        </w:tc>
        <w:tc>
          <w:tcPr>
            <w:tcW w:w="4320" w:type="dxa"/>
          </w:tcPr>
          <w:p w:rsidR="00091CC4" w:rsidRDefault="001A0771">
            <w:pPr>
              <w:spacing w:after="40" w:line="240" w:lineRule="auto"/>
              <w:jc w:val="left"/>
            </w:pPr>
            <w:r>
              <w:rPr>
                <w:rFonts w:cs="Times New Roman"/>
                <w:sz w:val="21"/>
              </w:rPr>
              <w:t>High-level workflow</w:t>
            </w:r>
          </w:p>
        </w:tc>
        <w:tc>
          <w:tcPr>
            <w:tcW w:w="4032" w:type="dxa"/>
          </w:tcPr>
          <w:p w:rsidR="00091CC4" w:rsidRDefault="001A0771">
            <w:pPr>
              <w:spacing w:after="40" w:line="240" w:lineRule="auto"/>
              <w:jc w:val="left"/>
            </w:pPr>
            <w:r>
              <w:rPr>
                <w:rFonts w:ascii="Consolas" w:eastAsia="Consolas" w:hAnsi="Consolas" w:cs="Consolas"/>
                <w:sz w:val="18"/>
              </w:rPr>
              <w:t>docs/diagrams/02_high_level_workflow.png</w:t>
            </w:r>
          </w:p>
        </w:tc>
      </w:tr>
      <w:tr w:rsidR="00091CC4">
        <w:trPr>
          <w:cantSplit/>
          <w:jc w:val="center"/>
        </w:trPr>
        <w:tc>
          <w:tcPr>
            <w:tcW w:w="720" w:type="dxa"/>
          </w:tcPr>
          <w:p w:rsidR="00091CC4" w:rsidRDefault="001A0771">
            <w:pPr>
              <w:spacing w:after="40" w:line="240" w:lineRule="auto"/>
              <w:jc w:val="center"/>
            </w:pPr>
            <w:r>
              <w:rPr>
                <w:rFonts w:cs="Times New Roman"/>
                <w:sz w:val="21"/>
              </w:rPr>
              <w:t>3</w:t>
            </w:r>
          </w:p>
        </w:tc>
        <w:tc>
          <w:tcPr>
            <w:tcW w:w="4320" w:type="dxa"/>
          </w:tcPr>
          <w:p w:rsidR="00091CC4" w:rsidRDefault="001A0771">
            <w:pPr>
              <w:spacing w:after="40" w:line="240" w:lineRule="auto"/>
              <w:jc w:val="left"/>
            </w:pPr>
            <w:r>
              <w:rPr>
                <w:rFonts w:cs="Times New Roman"/>
                <w:sz w:val="21"/>
              </w:rPr>
              <w:t>Data flow diagram, level 0</w:t>
            </w:r>
          </w:p>
        </w:tc>
        <w:tc>
          <w:tcPr>
            <w:tcW w:w="4032" w:type="dxa"/>
          </w:tcPr>
          <w:p w:rsidR="00091CC4" w:rsidRDefault="001A0771">
            <w:pPr>
              <w:spacing w:after="40" w:line="240" w:lineRule="auto"/>
              <w:jc w:val="left"/>
            </w:pPr>
            <w:r>
              <w:rPr>
                <w:rFonts w:ascii="Consolas" w:eastAsia="Consolas" w:hAnsi="Consolas" w:cs="Consolas"/>
                <w:sz w:val="18"/>
              </w:rPr>
              <w:t>docs/diagrams/03_dfd_level0.png</w:t>
            </w:r>
          </w:p>
        </w:tc>
      </w:tr>
      <w:tr w:rsidR="00091CC4">
        <w:trPr>
          <w:cantSplit/>
          <w:jc w:val="center"/>
        </w:trPr>
        <w:tc>
          <w:tcPr>
            <w:tcW w:w="720" w:type="dxa"/>
          </w:tcPr>
          <w:p w:rsidR="00091CC4" w:rsidRDefault="001A0771">
            <w:pPr>
              <w:spacing w:after="40" w:line="240" w:lineRule="auto"/>
              <w:jc w:val="center"/>
            </w:pPr>
            <w:r>
              <w:rPr>
                <w:rFonts w:cs="Times New Roman"/>
                <w:sz w:val="21"/>
              </w:rPr>
              <w:t>4</w:t>
            </w:r>
          </w:p>
        </w:tc>
        <w:tc>
          <w:tcPr>
            <w:tcW w:w="4320" w:type="dxa"/>
          </w:tcPr>
          <w:p w:rsidR="00091CC4" w:rsidRDefault="001A0771">
            <w:pPr>
              <w:spacing w:after="40" w:line="240" w:lineRule="auto"/>
              <w:jc w:val="left"/>
            </w:pPr>
            <w:r>
              <w:rPr>
                <w:rFonts w:cs="Times New Roman"/>
                <w:sz w:val="21"/>
              </w:rPr>
              <w:t>Data flow diagram, level 1</w:t>
            </w:r>
          </w:p>
        </w:tc>
        <w:tc>
          <w:tcPr>
            <w:tcW w:w="4032" w:type="dxa"/>
          </w:tcPr>
          <w:p w:rsidR="00091CC4" w:rsidRDefault="001A0771">
            <w:pPr>
              <w:spacing w:after="40" w:line="240" w:lineRule="auto"/>
              <w:jc w:val="left"/>
            </w:pPr>
            <w:r>
              <w:rPr>
                <w:rFonts w:ascii="Consolas" w:eastAsia="Consolas" w:hAnsi="Consolas" w:cs="Consolas"/>
                <w:sz w:val="18"/>
              </w:rPr>
              <w:t>docs/diagrams/04_dfd_level1.png</w:t>
            </w:r>
          </w:p>
        </w:tc>
      </w:tr>
      <w:tr w:rsidR="00091CC4">
        <w:trPr>
          <w:cantSplit/>
          <w:jc w:val="center"/>
        </w:trPr>
        <w:tc>
          <w:tcPr>
            <w:tcW w:w="720" w:type="dxa"/>
          </w:tcPr>
          <w:p w:rsidR="00091CC4" w:rsidRDefault="001A0771">
            <w:pPr>
              <w:spacing w:after="40" w:line="240" w:lineRule="auto"/>
              <w:jc w:val="center"/>
            </w:pPr>
            <w:r>
              <w:rPr>
                <w:rFonts w:cs="Times New Roman"/>
                <w:sz w:val="21"/>
              </w:rPr>
              <w:t>5</w:t>
            </w:r>
          </w:p>
        </w:tc>
        <w:tc>
          <w:tcPr>
            <w:tcW w:w="4320" w:type="dxa"/>
          </w:tcPr>
          <w:p w:rsidR="00091CC4" w:rsidRDefault="001A0771">
            <w:pPr>
              <w:spacing w:after="40" w:line="240" w:lineRule="auto"/>
              <w:jc w:val="left"/>
            </w:pPr>
            <w:r>
              <w:rPr>
                <w:rFonts w:cs="Times New Roman"/>
                <w:sz w:val="21"/>
              </w:rPr>
              <w:t>Data flow diagram, level 2</w:t>
            </w:r>
          </w:p>
        </w:tc>
        <w:tc>
          <w:tcPr>
            <w:tcW w:w="4032" w:type="dxa"/>
          </w:tcPr>
          <w:p w:rsidR="00091CC4" w:rsidRDefault="001A0771">
            <w:pPr>
              <w:spacing w:after="40" w:line="240" w:lineRule="auto"/>
              <w:jc w:val="left"/>
            </w:pPr>
            <w:r>
              <w:rPr>
                <w:rFonts w:ascii="Consolas" w:eastAsia="Consolas" w:hAnsi="Consolas" w:cs="Consolas"/>
                <w:sz w:val="18"/>
              </w:rPr>
              <w:t>docs/diagrams/05_dfd_level2.png</w:t>
            </w:r>
          </w:p>
        </w:tc>
      </w:tr>
      <w:tr w:rsidR="00091CC4">
        <w:trPr>
          <w:cantSplit/>
          <w:jc w:val="center"/>
        </w:trPr>
        <w:tc>
          <w:tcPr>
            <w:tcW w:w="720" w:type="dxa"/>
          </w:tcPr>
          <w:p w:rsidR="00091CC4" w:rsidRDefault="001A0771">
            <w:pPr>
              <w:spacing w:after="40" w:line="240" w:lineRule="auto"/>
              <w:jc w:val="center"/>
            </w:pPr>
            <w:r>
              <w:rPr>
                <w:rFonts w:cs="Times New Roman"/>
                <w:sz w:val="21"/>
              </w:rPr>
              <w:t>6</w:t>
            </w:r>
          </w:p>
        </w:tc>
        <w:tc>
          <w:tcPr>
            <w:tcW w:w="4320" w:type="dxa"/>
          </w:tcPr>
          <w:p w:rsidR="00091CC4" w:rsidRDefault="001A0771">
            <w:pPr>
              <w:spacing w:after="40" w:line="240" w:lineRule="auto"/>
              <w:jc w:val="left"/>
            </w:pPr>
            <w:r>
              <w:rPr>
                <w:rFonts w:cs="Times New Roman"/>
                <w:sz w:val="21"/>
              </w:rPr>
              <w:t>UML class diagram</w:t>
            </w:r>
          </w:p>
        </w:tc>
        <w:tc>
          <w:tcPr>
            <w:tcW w:w="4032" w:type="dxa"/>
          </w:tcPr>
          <w:p w:rsidR="00091CC4" w:rsidRDefault="001A0771">
            <w:pPr>
              <w:spacing w:after="40" w:line="240" w:lineRule="auto"/>
              <w:jc w:val="left"/>
            </w:pPr>
            <w:r>
              <w:rPr>
                <w:rFonts w:ascii="Consolas" w:eastAsia="Consolas" w:hAnsi="Consolas" w:cs="Consolas"/>
                <w:sz w:val="18"/>
              </w:rPr>
              <w:t>docs/diagrams/06_uml_class.png</w:t>
            </w:r>
          </w:p>
        </w:tc>
      </w:tr>
      <w:tr w:rsidR="00091CC4">
        <w:trPr>
          <w:cantSplit/>
          <w:jc w:val="center"/>
        </w:trPr>
        <w:tc>
          <w:tcPr>
            <w:tcW w:w="720" w:type="dxa"/>
          </w:tcPr>
          <w:p w:rsidR="00091CC4" w:rsidRDefault="001A0771">
            <w:pPr>
              <w:spacing w:after="40" w:line="240" w:lineRule="auto"/>
              <w:jc w:val="center"/>
            </w:pPr>
            <w:r>
              <w:rPr>
                <w:rFonts w:cs="Times New Roman"/>
                <w:sz w:val="21"/>
              </w:rPr>
              <w:lastRenderedPageBreak/>
              <w:t>7</w:t>
            </w:r>
          </w:p>
        </w:tc>
        <w:tc>
          <w:tcPr>
            <w:tcW w:w="4320" w:type="dxa"/>
          </w:tcPr>
          <w:p w:rsidR="00091CC4" w:rsidRDefault="001A0771">
            <w:pPr>
              <w:spacing w:after="40" w:line="240" w:lineRule="auto"/>
              <w:jc w:val="left"/>
            </w:pPr>
            <w:r>
              <w:rPr>
                <w:rFonts w:cs="Times New Roman"/>
                <w:sz w:val="21"/>
              </w:rPr>
              <w:t>Sequence diagram</w:t>
            </w:r>
            <w:r>
              <w:rPr>
                <w:rFonts w:cs="Times New Roman"/>
                <w:sz w:val="21"/>
              </w:rPr>
              <w:t>: verify a transaction</w:t>
            </w:r>
          </w:p>
        </w:tc>
        <w:tc>
          <w:tcPr>
            <w:tcW w:w="4032" w:type="dxa"/>
          </w:tcPr>
          <w:p w:rsidR="00091CC4" w:rsidRDefault="001A0771">
            <w:pPr>
              <w:spacing w:after="40" w:line="240" w:lineRule="auto"/>
              <w:jc w:val="left"/>
            </w:pPr>
            <w:r>
              <w:rPr>
                <w:rFonts w:ascii="Consolas" w:eastAsia="Consolas" w:hAnsi="Consolas" w:cs="Consolas"/>
                <w:sz w:val="18"/>
              </w:rPr>
              <w:t>docs/diagrams/07_sequence_prediction.png</w:t>
            </w:r>
          </w:p>
        </w:tc>
      </w:tr>
      <w:tr w:rsidR="00091CC4">
        <w:trPr>
          <w:cantSplit/>
          <w:jc w:val="center"/>
        </w:trPr>
        <w:tc>
          <w:tcPr>
            <w:tcW w:w="720" w:type="dxa"/>
          </w:tcPr>
          <w:p w:rsidR="00091CC4" w:rsidRDefault="001A0771">
            <w:pPr>
              <w:spacing w:after="40" w:line="240" w:lineRule="auto"/>
              <w:jc w:val="center"/>
            </w:pPr>
            <w:r>
              <w:rPr>
                <w:rFonts w:cs="Times New Roman"/>
                <w:sz w:val="21"/>
              </w:rPr>
              <w:t>8</w:t>
            </w:r>
          </w:p>
        </w:tc>
        <w:tc>
          <w:tcPr>
            <w:tcW w:w="4320" w:type="dxa"/>
          </w:tcPr>
          <w:p w:rsidR="00091CC4" w:rsidRDefault="001A0771">
            <w:pPr>
              <w:spacing w:after="40" w:line="240" w:lineRule="auto"/>
              <w:jc w:val="left"/>
            </w:pPr>
            <w:r>
              <w:rPr>
                <w:rFonts w:cs="Times New Roman"/>
                <w:sz w:val="21"/>
              </w:rPr>
              <w:t>Use-case diagram</w:t>
            </w:r>
          </w:p>
        </w:tc>
        <w:tc>
          <w:tcPr>
            <w:tcW w:w="4032" w:type="dxa"/>
          </w:tcPr>
          <w:p w:rsidR="00091CC4" w:rsidRDefault="001A0771">
            <w:pPr>
              <w:spacing w:after="40" w:line="240" w:lineRule="auto"/>
              <w:jc w:val="left"/>
            </w:pPr>
            <w:r>
              <w:rPr>
                <w:rFonts w:ascii="Consolas" w:eastAsia="Consolas" w:hAnsi="Consolas" w:cs="Consolas"/>
                <w:sz w:val="18"/>
              </w:rPr>
              <w:t>docs/diagrams/08_use_case.png</w:t>
            </w:r>
          </w:p>
        </w:tc>
      </w:tr>
      <w:tr w:rsidR="00091CC4">
        <w:trPr>
          <w:cantSplit/>
          <w:jc w:val="center"/>
        </w:trPr>
        <w:tc>
          <w:tcPr>
            <w:tcW w:w="720" w:type="dxa"/>
          </w:tcPr>
          <w:p w:rsidR="00091CC4" w:rsidRDefault="001A0771">
            <w:pPr>
              <w:spacing w:after="40" w:line="240" w:lineRule="auto"/>
              <w:jc w:val="center"/>
            </w:pPr>
            <w:r>
              <w:rPr>
                <w:rFonts w:cs="Times New Roman"/>
                <w:sz w:val="21"/>
              </w:rPr>
              <w:t>9</w:t>
            </w:r>
          </w:p>
        </w:tc>
        <w:tc>
          <w:tcPr>
            <w:tcW w:w="4320" w:type="dxa"/>
          </w:tcPr>
          <w:p w:rsidR="00091CC4" w:rsidRDefault="001A0771">
            <w:pPr>
              <w:spacing w:after="40" w:line="240" w:lineRule="auto"/>
              <w:jc w:val="left"/>
            </w:pPr>
            <w:r>
              <w:rPr>
                <w:rFonts w:cs="Times New Roman"/>
                <w:sz w:val="21"/>
              </w:rPr>
              <w:t>Entity-relationship diagram of the persisted data</w:t>
            </w:r>
          </w:p>
        </w:tc>
        <w:tc>
          <w:tcPr>
            <w:tcW w:w="4032" w:type="dxa"/>
          </w:tcPr>
          <w:p w:rsidR="00091CC4" w:rsidRDefault="001A0771">
            <w:pPr>
              <w:spacing w:after="40" w:line="240" w:lineRule="auto"/>
              <w:jc w:val="left"/>
            </w:pPr>
            <w:r>
              <w:rPr>
                <w:rFonts w:ascii="Consolas" w:eastAsia="Consolas" w:hAnsi="Consolas" w:cs="Consolas"/>
                <w:sz w:val="18"/>
              </w:rPr>
              <w:t>docs/diagrams/09_er_diagram.png</w:t>
            </w:r>
          </w:p>
        </w:tc>
      </w:tr>
      <w:tr w:rsidR="00091CC4">
        <w:trPr>
          <w:cantSplit/>
          <w:jc w:val="center"/>
        </w:trPr>
        <w:tc>
          <w:tcPr>
            <w:tcW w:w="720" w:type="dxa"/>
          </w:tcPr>
          <w:p w:rsidR="00091CC4" w:rsidRDefault="001A0771">
            <w:pPr>
              <w:spacing w:after="40" w:line="240" w:lineRule="auto"/>
              <w:jc w:val="center"/>
            </w:pPr>
            <w:r>
              <w:rPr>
                <w:rFonts w:cs="Times New Roman"/>
                <w:sz w:val="21"/>
              </w:rPr>
              <w:t>10</w:t>
            </w:r>
          </w:p>
        </w:tc>
        <w:tc>
          <w:tcPr>
            <w:tcW w:w="4320" w:type="dxa"/>
          </w:tcPr>
          <w:p w:rsidR="00091CC4" w:rsidRDefault="001A0771">
            <w:pPr>
              <w:spacing w:after="40" w:line="240" w:lineRule="auto"/>
              <w:jc w:val="left"/>
            </w:pPr>
            <w:r>
              <w:rPr>
                <w:rFonts w:cs="Times New Roman"/>
                <w:sz w:val="21"/>
              </w:rPr>
              <w:t>Flowchart: building the models</w:t>
            </w:r>
          </w:p>
        </w:tc>
        <w:tc>
          <w:tcPr>
            <w:tcW w:w="4032" w:type="dxa"/>
          </w:tcPr>
          <w:p w:rsidR="00091CC4" w:rsidRDefault="001A0771">
            <w:pPr>
              <w:spacing w:after="40" w:line="240" w:lineRule="auto"/>
              <w:jc w:val="left"/>
            </w:pPr>
            <w:r>
              <w:rPr>
                <w:rFonts w:ascii="Consolas" w:eastAsia="Consolas" w:hAnsi="Consolas" w:cs="Consolas"/>
                <w:sz w:val="18"/>
              </w:rPr>
              <w:t>docs/diagrams/10_flowchart_training.png</w:t>
            </w:r>
          </w:p>
        </w:tc>
      </w:tr>
      <w:tr w:rsidR="00091CC4">
        <w:trPr>
          <w:cantSplit/>
          <w:jc w:val="center"/>
        </w:trPr>
        <w:tc>
          <w:tcPr>
            <w:tcW w:w="720" w:type="dxa"/>
          </w:tcPr>
          <w:p w:rsidR="00091CC4" w:rsidRDefault="001A0771">
            <w:pPr>
              <w:spacing w:after="40" w:line="240" w:lineRule="auto"/>
              <w:jc w:val="center"/>
            </w:pPr>
            <w:r>
              <w:rPr>
                <w:rFonts w:cs="Times New Roman"/>
                <w:sz w:val="21"/>
              </w:rPr>
              <w:t>11</w:t>
            </w:r>
          </w:p>
        </w:tc>
        <w:tc>
          <w:tcPr>
            <w:tcW w:w="4320" w:type="dxa"/>
          </w:tcPr>
          <w:p w:rsidR="00091CC4" w:rsidRDefault="001A0771">
            <w:pPr>
              <w:spacing w:after="40" w:line="240" w:lineRule="auto"/>
              <w:jc w:val="left"/>
            </w:pPr>
            <w:r>
              <w:rPr>
                <w:rFonts w:cs="Times New Roman"/>
                <w:sz w:val="21"/>
              </w:rPr>
              <w:t>Flowchart: scoring in the bulk route</w:t>
            </w:r>
          </w:p>
        </w:tc>
        <w:tc>
          <w:tcPr>
            <w:tcW w:w="4032" w:type="dxa"/>
          </w:tcPr>
          <w:p w:rsidR="00091CC4" w:rsidRDefault="001A0771">
            <w:pPr>
              <w:spacing w:after="40" w:line="240" w:lineRule="auto"/>
              <w:jc w:val="left"/>
            </w:pPr>
            <w:r>
              <w:rPr>
                <w:rFonts w:ascii="Consolas" w:eastAsia="Consolas" w:hAnsi="Consolas" w:cs="Consolas"/>
                <w:sz w:val="18"/>
              </w:rPr>
              <w:t>docs/diagrams/11_flowchart_decision.png</w:t>
            </w:r>
          </w:p>
        </w:tc>
      </w:tr>
      <w:tr w:rsidR="00091CC4">
        <w:trPr>
          <w:cantSplit/>
          <w:jc w:val="center"/>
        </w:trPr>
        <w:tc>
          <w:tcPr>
            <w:tcW w:w="720" w:type="dxa"/>
          </w:tcPr>
          <w:p w:rsidR="00091CC4" w:rsidRDefault="001A0771">
            <w:pPr>
              <w:spacing w:after="40" w:line="240" w:lineRule="auto"/>
              <w:jc w:val="center"/>
            </w:pPr>
            <w:r>
              <w:rPr>
                <w:rFonts w:cs="Times New Roman"/>
                <w:sz w:val="21"/>
              </w:rPr>
              <w:t>12</w:t>
            </w:r>
          </w:p>
        </w:tc>
        <w:tc>
          <w:tcPr>
            <w:tcW w:w="4320" w:type="dxa"/>
          </w:tcPr>
          <w:p w:rsidR="00091CC4" w:rsidRDefault="001A0771">
            <w:pPr>
              <w:spacing w:after="40" w:line="240" w:lineRule="auto"/>
              <w:jc w:val="left"/>
            </w:pPr>
            <w:r>
              <w:rPr>
                <w:rFonts w:cs="Times New Roman"/>
                <w:sz w:val="21"/>
              </w:rPr>
              <w:t>Structure of the GRBMC and its samplers</w:t>
            </w:r>
          </w:p>
        </w:tc>
        <w:tc>
          <w:tcPr>
            <w:tcW w:w="4032" w:type="dxa"/>
          </w:tcPr>
          <w:p w:rsidR="00091CC4" w:rsidRDefault="001A0771">
            <w:pPr>
              <w:spacing w:after="40" w:line="240" w:lineRule="auto"/>
              <w:jc w:val="left"/>
            </w:pPr>
            <w:r>
              <w:rPr>
                <w:rFonts w:ascii="Consolas" w:eastAsia="Consolas" w:hAnsi="Consolas" w:cs="Consolas"/>
                <w:sz w:val="18"/>
              </w:rPr>
              <w:t>docs/diagrams/12_grbmc_structure.png</w:t>
            </w:r>
          </w:p>
        </w:tc>
      </w:tr>
    </w:tbl>
    <w:p w:rsidR="00091CC4" w:rsidRDefault="00091CC4">
      <w:pPr>
        <w:spacing w:line="192" w:lineRule="auto"/>
      </w:pPr>
    </w:p>
    <w:p w:rsidR="00091CC4" w:rsidRDefault="001A0771">
      <w:pPr>
        <w:pStyle w:val="Heading1"/>
        <w:pageBreakBefore/>
      </w:pPr>
      <w:r>
        <w:lastRenderedPageBreak/>
        <w:t>2. DIAGRAMS</w:t>
      </w:r>
    </w:p>
    <w:p w:rsidR="00091CC4" w:rsidRDefault="001A0771">
      <w:pPr>
        <w:pStyle w:val="Heading2"/>
      </w:pPr>
      <w:r>
        <w:t>System architecture</w:t>
      </w:r>
    </w:p>
    <w:p w:rsidR="00091CC4" w:rsidRDefault="001A0771">
      <w:pPr>
        <w:keepNext/>
        <w:spacing w:after="80" w:line="240" w:lineRule="auto"/>
        <w:jc w:val="center"/>
      </w:pPr>
      <w:r>
        <w:rPr>
          <w:noProof/>
        </w:rPr>
        <w:drawing>
          <wp:inline distT="0" distB="0" distL="0" distR="0">
            <wp:extent cx="5303520" cy="4561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561027"/>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SecurePay AI: React web app, Flask application, Python model modules and local data files.</w:t>
      </w:r>
    </w:p>
    <w:p w:rsidR="00091CC4" w:rsidRDefault="001A0771">
      <w:r>
        <w:rPr>
          <w:rFonts w:cs="Times New Roman"/>
        </w:rPr>
        <w:t>The browser tier is a React and Vite single-page application served on port 5304; it reaches the API only throu</w:t>
      </w:r>
      <w:r>
        <w:rPr>
          <w:rFonts w:cs="Times New Roman"/>
        </w:rPr>
        <w:t>gh the fetch wrapper in lib/api.js, and the Vite dev server proxies /api to port 8304. The Flask tier exposes the routes in app.py and the read-only blueprint in api_extra.py, and keeps the dataset, the fitted pipeline, the three models and their histories</w:t>
      </w:r>
      <w:r>
        <w:rPr>
          <w:rFonts w:cs="Times New Roman"/>
        </w:rPr>
        <w:t xml:space="preserve"> in one in-memory store. Behind it the model tier holds preprocessing, the GRBMC classifier, the two samplers, the training loop and the evaluation helper. The data tier is plain files: the 39,000-row CSV, pipeline.pkl, three model pickles, three history f</w:t>
      </w:r>
      <w:r>
        <w:rPr>
          <w:rFonts w:cs="Times New Roman"/>
        </w:rPr>
        <w:t>iles and the last batch-prediction CSV. There is no SQL database.</w:t>
      </w:r>
    </w:p>
    <w:p w:rsidR="00091CC4" w:rsidRDefault="001A0771">
      <w:pPr>
        <w:pStyle w:val="Heading2"/>
      </w:pPr>
      <w:r>
        <w:lastRenderedPageBreak/>
        <w:t>High-level workflow</w:t>
      </w:r>
    </w:p>
    <w:p w:rsidR="00091CC4" w:rsidRDefault="001A0771">
      <w:pPr>
        <w:keepNext/>
        <w:spacing w:after="80" w:line="240" w:lineRule="auto"/>
        <w:jc w:val="center"/>
      </w:pPr>
      <w:r>
        <w:rPr>
          <w:noProof/>
        </w:rPr>
        <w:drawing>
          <wp:inline distT="0" distB="0" distL="0" distR="0">
            <wp:extent cx="5303520" cy="3394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394253"/>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the build path that produces the models and the score path that uses them.</w:t>
      </w:r>
    </w:p>
    <w:p w:rsidR="00091CC4" w:rsidRDefault="001A0771">
      <w:r>
        <w:rPr>
          <w:rFonts w:cs="Times New Roman"/>
        </w:rPr>
        <w:t xml:space="preserve">The upper row is the build path, run </w:t>
      </w:r>
      <w:r>
        <w:rPr>
          <w:rFonts w:cs="Times New Roman"/>
        </w:rPr>
        <w:t>from the Model lab page or from seed_models.py. A synthetic dataset is generated, preprocessed, reduced to the most important columns, split 80/20, and three models are trained by the classical, simulated-annealing and quantum-inspired samplers; the models</w:t>
      </w:r>
      <w:r>
        <w:rPr>
          <w:rFonts w:cs="Times New Roman"/>
        </w:rPr>
        <w:t xml:space="preserve"> and their per-epoch histories are saved. The lower row is the score path used by the Verify and Bulk pages. Input values are turned into the feature vector, the scaling step is attempted, the three models each give a fraud probability, their mean is compa</w:t>
      </w:r>
      <w:r>
        <w:rPr>
          <w:rFonts w:cs="Times New Roman"/>
        </w:rPr>
        <w:t>red with 0.5, and the probability is mapped to a LOW, MEDIUM or HIGH risk band. The scaling box is marked because, on the bulk-upload path, that step is skipped in the current code (the single-transaction path scales correctly).</w:t>
      </w:r>
    </w:p>
    <w:p w:rsidR="00091CC4" w:rsidRDefault="001A0771">
      <w:pPr>
        <w:pStyle w:val="Heading2"/>
      </w:pPr>
      <w:r>
        <w:lastRenderedPageBreak/>
        <w:t>Data flow diagram, level 0</w:t>
      </w:r>
    </w:p>
    <w:p w:rsidR="00091CC4" w:rsidRDefault="001A0771">
      <w:pPr>
        <w:keepNext/>
        <w:spacing w:after="80" w:line="240" w:lineRule="auto"/>
        <w:jc w:val="center"/>
      </w:pPr>
      <w:r>
        <w:rPr>
          <w:noProof/>
        </w:rPr>
        <w:drawing>
          <wp:inline distT="0" distB="0" distL="0" distR="0">
            <wp:extent cx="5303520" cy="3159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159544"/>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SecurePay AI with its two users and the local file store.</w:t>
      </w:r>
    </w:p>
    <w:p w:rsidR="00091CC4" w:rsidRDefault="001A0771">
      <w:r>
        <w:rPr>
          <w:rFonts w:cs="Times New Roman"/>
        </w:rPr>
        <w:t>At level 0 the whole application is one process. The merchant or analyst sends transaction fields or a CSV file and receives a f</w:t>
      </w:r>
      <w:r>
        <w:rPr>
          <w:rFonts w:cs="Times New Roman"/>
        </w:rPr>
        <w:t>raud score, a risk level and a decision. The risk-operations team sends retrain and view requests and receives analytics, model metrics and the predictions CSV. The application has no login, so the two actors are roles of use rather than accounts. The only</w:t>
      </w:r>
      <w:r>
        <w:rPr>
          <w:rFonts w:cs="Times New Roman"/>
        </w:rPr>
        <w:t xml:space="preserve"> other thing it talks to is its own set of local files, read and written through pandas and joblib. No external web service and no quantum hardware is involved at any point.</w:t>
      </w:r>
    </w:p>
    <w:p w:rsidR="00091CC4" w:rsidRDefault="001A0771">
      <w:pPr>
        <w:pStyle w:val="Heading2"/>
      </w:pPr>
      <w:r>
        <w:lastRenderedPageBreak/>
        <w:t>Data flow diagram, level 1</w:t>
      </w:r>
    </w:p>
    <w:p w:rsidR="00091CC4" w:rsidRDefault="001A0771">
      <w:pPr>
        <w:keepNext/>
        <w:spacing w:after="80" w:line="240" w:lineRule="auto"/>
        <w:jc w:val="center"/>
      </w:pPr>
      <w:r>
        <w:rPr>
          <w:noProof/>
        </w:rPr>
        <w:drawing>
          <wp:inline distT="0" distB="0" distL="0" distR="0">
            <wp:extent cx="5303520" cy="3924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924605"/>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of Sec</w:t>
      </w:r>
      <w:r>
        <w:rPr>
          <w:rFonts w:cs="Times New Roman"/>
        </w:rPr>
        <w:t>urePay AI: six processes and four data stores.</w:t>
      </w:r>
    </w:p>
    <w:p w:rsidR="00091CC4" w:rsidRDefault="001A0771">
      <w:r>
        <w:rPr>
          <w:rFonts w:cs="Times New Roman"/>
        </w:rPr>
        <w:t>Level 1 splits the system into six processes. Process 1.0 generates and preprocesses the dataset, 2.0 trains the three models from the split held in the pipeline, 3.0 scores one transaction, 4.0 scores an uplo</w:t>
      </w:r>
      <w:r>
        <w:rPr>
          <w:rFonts w:cs="Times New Roman"/>
        </w:rPr>
        <w:t>aded CSV batch, 5.0 produces analytics and model reports from the dataset, the history files and the feature importances, and 6.0 exports the predictions. Four data stores appear: the dataset CSV (D1), the fitted pipeline (D2), the models with their histor</w:t>
      </w:r>
      <w:r>
        <w:rPr>
          <w:rFonts w:cs="Times New Roman"/>
        </w:rPr>
        <w:t>ies (D3) and the batch-predictions CSV (D4). Processes 3.0 and 4.0 read the scaler and the column list from D2 and the three models from D3; process 4.0 writes D4, which process 6.0 serves as a download.</w:t>
      </w:r>
    </w:p>
    <w:p w:rsidR="00091CC4" w:rsidRDefault="001A0771">
      <w:pPr>
        <w:pStyle w:val="Heading2"/>
      </w:pPr>
      <w:r>
        <w:lastRenderedPageBreak/>
        <w:t>Data flow diagram, level 2</w:t>
      </w:r>
    </w:p>
    <w:p w:rsidR="00091CC4" w:rsidRDefault="001A0771">
      <w:pPr>
        <w:keepNext/>
        <w:spacing w:after="80" w:line="240" w:lineRule="auto"/>
        <w:jc w:val="center"/>
      </w:pPr>
      <w:r>
        <w:rPr>
          <w:noProof/>
        </w:rPr>
        <w:drawing>
          <wp:inline distT="0" distB="0" distL="0" distR="0">
            <wp:extent cx="5303520" cy="28639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2863901"/>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of SecurePay AI: the single-transaction scoring process split into five sub-processes.</w:t>
      </w:r>
    </w:p>
    <w:p w:rsidR="00091CC4" w:rsidRDefault="001A0771">
      <w:r>
        <w:rPr>
          <w:rFonts w:cs="Times New Roman"/>
        </w:rPr>
        <w:t>Level 2 expands process 3.0, POST /api/predict_single. Sub-process 3.1 validates the JSON, fills any missing field with the datas</w:t>
      </w:r>
      <w:r>
        <w:rPr>
          <w:rFonts w:cs="Times New Roman"/>
        </w:rPr>
        <w:t>et mean or mode and one-hot encodes the categorical fields. Sub-process 3.2 aligns the columns with the training columns and attempts to scale the numeric ones with the stored scaler. Sub-process 3.3 asks the three models for a fraud probability, 3.4 avera</w:t>
      </w:r>
      <w:r>
        <w:rPr>
          <w:rFonts w:cs="Times New Roman"/>
        </w:rPr>
        <w:t>ges them and applies the 0.5 threshold, and 3.5 assigns the risk band at 0.4 and 0.7. The note under the diagram records that this single-transaction path scales all 24 numeric columns before selecting the 18 model columns and is therefore correct; the bul</w:t>
      </w:r>
      <w:r>
        <w:rPr>
          <w:rFonts w:cs="Times New Roman"/>
        </w:rPr>
        <w:t>k-upload route selects first, which is where the defect described in the next diagrams occurs.</w:t>
      </w:r>
    </w:p>
    <w:p w:rsidR="00091CC4" w:rsidRDefault="001A0771">
      <w:pPr>
        <w:pStyle w:val="Heading2"/>
      </w:pPr>
      <w:r>
        <w:lastRenderedPageBreak/>
        <w:t>UML class diagram</w:t>
      </w:r>
    </w:p>
    <w:p w:rsidR="00091CC4" w:rsidRDefault="001A0771">
      <w:pPr>
        <w:keepNext/>
        <w:spacing w:after="80" w:line="240" w:lineRule="auto"/>
        <w:jc w:val="center"/>
      </w:pPr>
      <w:r>
        <w:rPr>
          <w:noProof/>
        </w:rPr>
        <w:drawing>
          <wp:inline distT="0" distB="0" distL="0" distR="0">
            <wp:extent cx="5303520" cy="519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5197450"/>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Class and module diagram of the SecurePay AI backend: the GRBMC class, the helper modules and the Flask ap</w:t>
      </w:r>
      <w:r>
        <w:rPr>
          <w:rFonts w:cs="Times New Roman"/>
        </w:rPr>
        <w:t>plication with its store.</w:t>
      </w:r>
    </w:p>
    <w:p w:rsidR="00091CC4" w:rsidRDefault="001A0771">
      <w:r>
        <w:rPr>
          <w:rFonts w:cs="Times New Roman"/>
        </w:rPr>
        <w:t>GRBMC is the only real class. It holds the weight matrices W and U, the biases b, c and d, the persistent chain used by contrastive divergence, and the methods for one Gibbs step, one training epoch, probability prediction and the</w:t>
      </w:r>
      <w:r>
        <w:rPr>
          <w:rFonts w:cs="Times New Roman"/>
        </w:rPr>
        <w:t xml:space="preserve"> QUBO matrix. The samplers module supplies the simulated-annealing and quantum-inspired gradient functions that train_model passes to GRBMC. The preprocessing, evaluation and synthetic_data modules are collections of functions. The Flask application owns a</w:t>
      </w:r>
      <w:r>
        <w:rPr>
          <w:rFonts w:cs="Times New Roman"/>
        </w:rPr>
        <w:t xml:space="preserve"> store dictionary with up to three GRBMC instances, and the api_extra blueprint reads that store to answer the analytics, history and feature-importance requests.</w:t>
      </w:r>
    </w:p>
    <w:p w:rsidR="00091CC4" w:rsidRDefault="001A0771">
      <w:pPr>
        <w:pStyle w:val="Heading2"/>
      </w:pPr>
      <w:r>
        <w:lastRenderedPageBreak/>
        <w:t>Sequence diagram: verify a transaction</w:t>
      </w:r>
    </w:p>
    <w:p w:rsidR="00091CC4" w:rsidRDefault="001A0771">
      <w:pPr>
        <w:keepNext/>
        <w:spacing w:after="80" w:line="240" w:lineRule="auto"/>
        <w:jc w:val="center"/>
      </w:pPr>
      <w:r>
        <w:rPr>
          <w:noProof/>
        </w:rPr>
        <w:drawing>
          <wp:inline distT="0" distB="0" distL="0" distR="0">
            <wp:extent cx="5303520" cy="36063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rediction.png"/>
                    <pic:cNvPicPr/>
                  </pic:nvPicPr>
                  <pic:blipFill>
                    <a:blip r:embed="rId14"/>
                    <a:stretch>
                      <a:fillRect/>
                    </a:stretch>
                  </pic:blipFill>
                  <pic:spPr>
                    <a:xfrm>
                      <a:off x="0" y="0"/>
                      <a:ext cx="5303520" cy="3606394"/>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of one V</w:t>
      </w:r>
      <w:r>
        <w:rPr>
          <w:rFonts w:cs="Times New Roman"/>
        </w:rPr>
        <w:t>erify request from the React page to the three models and back.</w:t>
      </w:r>
    </w:p>
    <w:p w:rsidR="00091CC4" w:rsidRDefault="001A0771">
      <w:r>
        <w:rPr>
          <w:rFonts w:cs="Times New Roman"/>
        </w:rPr>
        <w:t xml:space="preserve">The user presses Run fraud check on the Verify page. The browser posts the form values to /api/predict_single, the Vite dev proxy forwards the call to Flask on port 8304, and the handler asks </w:t>
      </w:r>
      <w:r>
        <w:rPr>
          <w:rFonts w:cs="Times New Roman"/>
        </w:rPr>
        <w:t>ensure_pipeline for the stored columns and scaler. It then fills defaults, one-hot encodes, aligns the columns and attempts the scaling step. predict_proba is called on each of the three models, the returned probabilities are averaged, and the handler answ</w:t>
      </w:r>
      <w:r>
        <w:rPr>
          <w:rFonts w:cs="Times New Roman"/>
        </w:rPr>
        <w:t>ers with a JSON object holding the prediction, the fraud probability, the label, the risk level and the per-model probabilities. The page then draws the risk meter and the per-model bars.</w:t>
      </w:r>
    </w:p>
    <w:p w:rsidR="00091CC4" w:rsidRDefault="001A0771">
      <w:pPr>
        <w:pStyle w:val="Heading2"/>
      </w:pPr>
      <w:r>
        <w:lastRenderedPageBreak/>
        <w:t>Use-case diagram</w:t>
      </w:r>
    </w:p>
    <w:p w:rsidR="00091CC4" w:rsidRDefault="001A0771">
      <w:pPr>
        <w:keepNext/>
        <w:spacing w:after="80" w:line="240" w:lineRule="auto"/>
        <w:jc w:val="center"/>
      </w:pPr>
      <w:r>
        <w:rPr>
          <w:noProof/>
        </w:rPr>
        <w:drawing>
          <wp:inline distT="0" distB="0" distL="0" distR="0">
            <wp:extent cx="5303520" cy="33942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5303520" cy="3394253"/>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cases offe</w:t>
      </w:r>
      <w:r>
        <w:rPr>
          <w:rFonts w:cs="Times New Roman"/>
        </w:rPr>
        <w:t>red by the SecurePay AI screens, grouped by the role that typically needs them.</w:t>
      </w:r>
    </w:p>
    <w:p w:rsidR="00091CC4" w:rsidRDefault="001A0771">
      <w:r>
        <w:rPr>
          <w:rFonts w:cs="Times New Roman"/>
        </w:rPr>
        <w:t>The application has seven functions, each backed by a real page or endpoint. The merchant or analyst verifies a single transaction, bulk-verifies a CSV file, downloads the pred</w:t>
      </w:r>
      <w:r>
        <w:rPr>
          <w:rFonts w:cs="Times New Roman"/>
        </w:rPr>
        <w:t xml:space="preserve">ictions CSV and downloads the sample CSV. The risk-operations team views analytics by place, time, amount and card signals, compares the three models and their training curves, and retrains the models in the Model lab. There is no login, so the split into </w:t>
      </w:r>
      <w:r>
        <w:rPr>
          <w:rFonts w:cs="Times New Roman"/>
        </w:rPr>
        <w:t>two roles is a way of describing typical use rather than an access-control rule; either role can open every screen. The diagram is therefore a use-case view of the interface, not of a permission model.</w:t>
      </w:r>
    </w:p>
    <w:p w:rsidR="00091CC4" w:rsidRDefault="001A0771">
      <w:pPr>
        <w:pStyle w:val="Heading2"/>
      </w:pPr>
      <w:r>
        <w:lastRenderedPageBreak/>
        <w:t>Entity-relationship diagram of the persisted data</w:t>
      </w:r>
    </w:p>
    <w:p w:rsidR="00091CC4" w:rsidRDefault="001A0771">
      <w:pPr>
        <w:keepNext/>
        <w:spacing w:after="80" w:line="240" w:lineRule="auto"/>
        <w:jc w:val="center"/>
      </w:pPr>
      <w:r>
        <w:rPr>
          <w:noProof/>
        </w:rPr>
        <w:drawing>
          <wp:inline distT="0" distB="0" distL="0" distR="0">
            <wp:extent cx="5303520" cy="36063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3606394"/>
                    </a:xfrm>
                    <a:prstGeom prst="rect">
                      <a:avLst/>
                    </a:prstGeom>
                  </pic:spPr>
                </pic:pic>
              </a:graphicData>
            </a:graphic>
          </wp:inline>
        </w:drawing>
      </w:r>
    </w:p>
    <w:p w:rsidR="00091CC4" w:rsidRDefault="001A0771">
      <w:pPr>
        <w:pStyle w:val="Caption"/>
      </w:pPr>
      <w:r>
        <w:rPr>
          <w:rFonts w:cs="Times New Roman"/>
        </w:rPr>
        <w:t>Fi</w:t>
      </w:r>
      <w:r>
        <w:rPr>
          <w:rFonts w:cs="Times New Roman"/>
        </w:rPr>
        <w:t xml:space="preserve">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view of the files SecurePay AI persists; the project has no SQL database.</w:t>
      </w:r>
    </w:p>
    <w:p w:rsidR="00091CC4" w:rsidRDefault="001A0771">
      <w:r>
        <w:rPr>
          <w:rFonts w:cs="Times New Roman"/>
        </w:rPr>
        <w:t>Because the project stores everything in files, the entity-relationship view shows the file formats and the code paths that relat</w:t>
      </w:r>
      <w:r>
        <w:rPr>
          <w:rFonts w:cs="Times New Roman"/>
        </w:rPr>
        <w:t>e them. creditcard_synthetic.csv holds the 39,000 raw transactions. Preprocessing turns it into pipeline.pkl, which stores the split, the fitted scaler, the 18 selected columns and the feature importances. Training turns the pipeline into three model pickl</w:t>
      </w:r>
      <w:r>
        <w:rPr>
          <w:rFonts w:cs="Times New Roman"/>
        </w:rPr>
        <w:t>es and, for each of them, one history file of per-epoch metrics. The batch-prediction route reads the pipeline and the models and writes batch_predictions.csv with three extra columns. sample_batch.csv is a 20-row extract of the dataset used by the Bulk pa</w:t>
      </w:r>
      <w:r>
        <w:rPr>
          <w:rFonts w:cs="Times New Roman"/>
        </w:rPr>
        <w:t>ge demonstration.</w:t>
      </w:r>
    </w:p>
    <w:p w:rsidR="00091CC4" w:rsidRDefault="001A0771">
      <w:pPr>
        <w:pStyle w:val="Heading2"/>
      </w:pPr>
      <w:r>
        <w:lastRenderedPageBreak/>
        <w:t>Flowchart: building the models</w:t>
      </w:r>
    </w:p>
    <w:p w:rsidR="00091CC4" w:rsidRDefault="001A0771">
      <w:pPr>
        <w:keepNext/>
        <w:spacing w:after="80" w:line="240" w:lineRule="auto"/>
        <w:jc w:val="center"/>
      </w:pPr>
      <w:r>
        <w:rPr>
          <w:noProof/>
        </w:rPr>
        <w:drawing>
          <wp:inline distT="0" distB="0" distL="0" distR="0">
            <wp:extent cx="5303520" cy="57968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training.png"/>
                    <pic:cNvPicPr/>
                  </pic:nvPicPr>
                  <pic:blipFill>
                    <a:blip r:embed="rId17"/>
                    <a:stretch>
                      <a:fillRect/>
                    </a:stretch>
                  </pic:blipFill>
                  <pic:spPr>
                    <a:xfrm>
                      <a:off x="0" y="0"/>
                      <a:ext cx="5303520" cy="5796871"/>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build path: preprocessing steps, the choice of training mode and the per-epoch loop.</w:t>
      </w:r>
    </w:p>
    <w:p w:rsidR="00091CC4" w:rsidRDefault="001A0771">
      <w:r>
        <w:rPr>
          <w:rFonts w:cs="Times New Roman"/>
        </w:rPr>
        <w:t>The chart follows preprocessing.full_pipeline and train.train_model</w:t>
      </w:r>
      <w:r>
        <w:rPr>
          <w:rFonts w:cs="Times New Roman"/>
        </w:rPr>
        <w:t>. The dataset is one-hot encoded, the 24 numeric columns are z-scored, columns correlated above 0.95 are dropped, the data are balanced by manual undersampling, a random forest ranks the features and the top 18 are kept, and a stratified 80/20 split is mad</w:t>
      </w:r>
      <w:r>
        <w:rPr>
          <w:rFonts w:cs="Times New Roman"/>
        </w:rPr>
        <w:t>e. The mode then selects the trainer. Classical uses 200 hidden units, a batch of 512 and persistent contrastive divergence. The simulated-annealing and quantum-inspired modes use 65 hidden units, a batch of 32 and a 3,000-row subsample per epoch. After ev</w:t>
      </w:r>
      <w:r>
        <w:rPr>
          <w:rFonts w:cs="Times New Roman"/>
        </w:rPr>
        <w:t>ery epoch the model is scored on the test split; after the last epoch the model and its history are saved.</w:t>
      </w:r>
    </w:p>
    <w:p w:rsidR="00091CC4" w:rsidRDefault="001A0771">
      <w:pPr>
        <w:pStyle w:val="Heading2"/>
      </w:pPr>
      <w:r>
        <w:lastRenderedPageBreak/>
        <w:t>Flowchart: scoring in the bulk route</w:t>
      </w:r>
    </w:p>
    <w:p w:rsidR="00091CC4" w:rsidRDefault="001A0771">
      <w:pPr>
        <w:keepNext/>
        <w:spacing w:after="80" w:line="240" w:lineRule="auto"/>
        <w:jc w:val="center"/>
      </w:pPr>
      <w:r>
        <w:rPr>
          <w:noProof/>
        </w:rPr>
        <w:drawing>
          <wp:inline distT="0" distB="0" distL="0" distR="0">
            <wp:extent cx="5032857" cy="58521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decision.png"/>
                    <pic:cNvPicPr/>
                  </pic:nvPicPr>
                  <pic:blipFill>
                    <a:blip r:embed="rId18"/>
                    <a:stretch>
                      <a:fillRect/>
                    </a:stretch>
                  </pic:blipFill>
                  <pic:spPr>
                    <a:xfrm>
                      <a:off x="0" y="0"/>
                      <a:ext cx="5032857" cy="5852159"/>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bulk-upload scoring path, with the scaling step that fail</w:t>
      </w:r>
      <w:r>
        <w:rPr>
          <w:rFonts w:cs="Times New Roman"/>
        </w:rPr>
        <w:t>s silently drawn as a dashed box.</w:t>
      </w:r>
    </w:p>
    <w:p w:rsidR="00091CC4" w:rsidRDefault="001A0771">
      <w:r>
        <w:rPr>
          <w:rFonts w:cs="Times New Roman"/>
        </w:rPr>
        <w:t>The chart follows the bulk route, predict_batch (predict_single scales before it selects columns, so it does not have this fault). Missing fields are filled from the dataset, the categorical fields are one-hot encoded, and</w:t>
      </w:r>
      <w:r>
        <w:rPr>
          <w:rFonts w:cs="Times New Roman"/>
        </w:rPr>
        <w:t xml:space="preserve"> columns the model expects are added with the value zero. The dashed box is the scaler call: the scaler was fitted on 24 numeric columns, only 13 are present after the selection, scikit-learn raises an error and a bare except clause discards it, so the mod</w:t>
      </w:r>
      <w:r>
        <w:rPr>
          <w:rFonts w:cs="Times New Roman"/>
        </w:rPr>
        <w:t xml:space="preserve">el receives unscaled values. The 18 model columns are then selected, the three models are asked for a probability, and the mean is compared with 0.5 </w:t>
      </w:r>
      <w:r>
        <w:rPr>
          <w:rFonts w:cs="Times New Roman"/>
        </w:rPr>
        <w:lastRenderedPageBreak/>
        <w:t>for the label. The risk band is LOW below 0.4, MEDIUM from 0.4 to 0.7 and HIGH above 0.7.</w:t>
      </w:r>
    </w:p>
    <w:p w:rsidR="00091CC4" w:rsidRDefault="001A0771">
      <w:pPr>
        <w:pStyle w:val="Heading2"/>
      </w:pPr>
      <w:r>
        <w:t xml:space="preserve">Structure of the </w:t>
      </w:r>
      <w:r>
        <w:t>GRBMC and its samplers</w:t>
      </w:r>
    </w:p>
    <w:p w:rsidR="00091CC4" w:rsidRDefault="001A0771">
      <w:pPr>
        <w:keepNext/>
        <w:spacing w:after="80" w:line="240" w:lineRule="auto"/>
        <w:jc w:val="center"/>
      </w:pPr>
      <w:r>
        <w:rPr>
          <w:noProof/>
        </w:rPr>
        <w:drawing>
          <wp:inline distT="0" distB="0" distL="0" distR="0">
            <wp:extent cx="5303520" cy="32881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rbmc_structure.png"/>
                    <pic:cNvPicPr/>
                  </pic:nvPicPr>
                  <pic:blipFill>
                    <a:blip r:embed="rId19"/>
                    <a:stretch>
                      <a:fillRect/>
                    </a:stretch>
                  </pic:blipFill>
                  <pic:spPr>
                    <a:xfrm>
                      <a:off x="0" y="0"/>
                      <a:ext cx="5303520" cy="3288182"/>
                    </a:xfrm>
                    <a:prstGeom prst="rect">
                      <a:avLst/>
                    </a:prstGeom>
                  </pic:spPr>
                </pic:pic>
              </a:graphicData>
            </a:graphic>
          </wp:inline>
        </w:drawing>
      </w:r>
    </w:p>
    <w:p w:rsidR="00091CC4" w:rsidRDefault="001A077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Layers and weights of the Gaussian-Bernoulli RBM classifier, and the three ways its negative phase is sampled.</w:t>
      </w:r>
    </w:p>
    <w:p w:rsidR="00091CC4" w:rsidRDefault="001A0771">
      <w:r>
        <w:rPr>
          <w:rFonts w:cs="Times New Roman"/>
        </w:rPr>
        <w:t>The model has 18 Gaussian visible units for the selected features, a layer of binary</w:t>
      </w:r>
      <w:r>
        <w:rPr>
          <w:rFonts w:cs="Times New Roman"/>
        </w:rPr>
        <w:t xml:space="preserve"> hidden units, and two label units that hold the one-hot class. Weights W connect visible and hidden units, weights U connect label and hidden units, and the vectors c, b and d are the biases. The hidden layer has 200 units for the classical trainer and 65</w:t>
      </w:r>
      <w:r>
        <w:rPr>
          <w:rFonts w:cs="Times New Roman"/>
        </w:rPr>
        <w:t xml:space="preserve"> for the other two. Training moves W and the other parameters by the difference between a data average and a model average. The three trainers differ only in how the model average is obtained: a persistent Gibbs chain, simulated-annealing sweeps with a ris</w:t>
      </w:r>
      <w:r>
        <w:rPr>
          <w:rFonts w:cs="Times New Roman"/>
        </w:rPr>
        <w:t>ing inverse temperature, or the same sweeps with random tunnelling flips that decay as the schedule advances.</w:t>
      </w:r>
    </w:p>
    <w:sectPr w:rsidR="00091CC4"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A0771">
      <w:pPr>
        <w:spacing w:after="0" w:line="240" w:lineRule="auto"/>
      </w:pPr>
      <w:r>
        <w:separator/>
      </w:r>
    </w:p>
  </w:endnote>
  <w:endnote w:type="continuationSeparator" w:id="0">
    <w:p w:rsidR="00000000" w:rsidRDefault="001A0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1CC4" w:rsidRDefault="001A077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A0771">
      <w:pPr>
        <w:spacing w:after="0" w:line="240" w:lineRule="auto"/>
      </w:pPr>
      <w:r>
        <w:separator/>
      </w:r>
    </w:p>
  </w:footnote>
  <w:footnote w:type="continuationSeparator" w:id="0">
    <w:p w:rsidR="00000000" w:rsidRDefault="001A0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1CC4" w:rsidRDefault="001A0771">
    <w:pPr>
      <w:pStyle w:val="Header"/>
      <w:jc w:val="center"/>
    </w:pPr>
    <w:r>
      <w:rPr>
        <w:rFonts w:cs="Times New Roman"/>
        <w:i/>
        <w:color w:val="555555"/>
        <w:sz w:val="20"/>
      </w:rPr>
      <w:t>SecurePay AI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CC4"/>
    <w:rsid w:val="0015074B"/>
    <w:rsid w:val="001A0771"/>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8C816DB-242A-47EC-9E41-F3AA1C30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A0771"/>
    <w:pPr>
      <w:spacing w:after="0" w:line="240" w:lineRule="auto"/>
    </w:pPr>
    <w:rPr>
      <w:rFonts w:cs="Times New Roman"/>
      <w:sz w:val="21"/>
    </w:rPr>
  </w:style>
  <w:style w:type="paragraph" w:styleId="TOC2">
    <w:name w:val="toc 2"/>
    <w:basedOn w:val="Normal"/>
    <w:next w:val="Normal"/>
    <w:autoRedefine/>
    <w:uiPriority w:val="39"/>
    <w:semiHidden/>
    <w:unhideWhenUsed/>
    <w:rsid w:val="001A0771"/>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A0771"/>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F6720-1C04-4555-B555-B9AC5BAB0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1829</Words>
  <Characters>9864</Characters>
  <Application>Microsoft Office Word</Application>
  <DocSecurity>0</DocSecurity>
  <Lines>221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2026-10-25T03:00:00Z</dcterms:modified>
  <cp:category/>
</cp:coreProperties>
</file>