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3DB8" w:rsidRDefault="00733DB8">
      <w:pPr>
        <w:spacing w:after="480" w:line="240" w:lineRule="auto"/>
      </w:pPr>
      <w:bookmarkStart w:id="0" w:name="_GoBack"/>
      <w:bookmarkEnd w:id="0"/>
    </w:p>
    <w:p w:rsidR="00733DB8" w:rsidRDefault="00A4670C">
      <w:pPr>
        <w:jc w:val="center"/>
      </w:pPr>
      <w:r>
        <w:rPr>
          <w:rFonts w:cs="Times New Roman"/>
          <w:b/>
          <w:sz w:val="36"/>
        </w:rPr>
        <w:t>CREDIT CARD FRAUD DETECTION USING MACHINE LEARNING</w:t>
      </w:r>
    </w:p>
    <w:p w:rsidR="00733DB8" w:rsidRDefault="00A4670C">
      <w:pPr>
        <w:spacing w:after="280"/>
        <w:jc w:val="center"/>
      </w:pPr>
      <w:r>
        <w:rPr>
          <w:rFonts w:cs="Times New Roman"/>
          <w:b/>
          <w:sz w:val="28"/>
        </w:rPr>
        <w:t>Conclusion, Future Scope and References</w:t>
      </w:r>
    </w:p>
    <w:p w:rsidR="00733DB8" w:rsidRDefault="00A4670C">
      <w:pPr>
        <w:spacing w:after="40"/>
        <w:jc w:val="center"/>
      </w:pPr>
      <w:r>
        <w:rPr>
          <w:rFonts w:cs="Times New Roman"/>
        </w:rPr>
        <w:t>Department of Computer Science and Engineering, TKR College of Engineering &amp; Technology</w:t>
      </w:r>
    </w:p>
    <w:p w:rsidR="00733DB8" w:rsidRDefault="00A4670C">
      <w:pPr>
        <w:spacing w:after="240"/>
        <w:jc w:val="center"/>
      </w:pPr>
      <w:r>
        <w:rPr>
          <w:rFonts w:cs="Times New Roman"/>
        </w:rPr>
        <w:t>Batch A4 (CSE-A)  ·  Academic year [ACADEMIC YEAR]</w:t>
      </w:r>
    </w:p>
    <w:p w:rsidR="00733DB8" w:rsidRDefault="00A4670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33DB8">
        <w:trPr>
          <w:cantSplit/>
          <w:tblHeader/>
          <w:jc w:val="center"/>
        </w:trPr>
        <w:tc>
          <w:tcPr>
            <w:tcW w:w="1008" w:type="dxa"/>
            <w:shd w:val="clear" w:color="auto" w:fill="1B2A41"/>
          </w:tcPr>
          <w:p w:rsidR="00733DB8" w:rsidRDefault="00A4670C">
            <w:pPr>
              <w:spacing w:after="40" w:line="240" w:lineRule="auto"/>
              <w:jc w:val="center"/>
            </w:pPr>
            <w:r>
              <w:rPr>
                <w:rFonts w:cs="Times New Roman"/>
                <w:b/>
                <w:color w:val="FFFFFF"/>
                <w:sz w:val="22"/>
              </w:rPr>
              <w:t>S.No.</w:t>
            </w:r>
          </w:p>
        </w:tc>
        <w:tc>
          <w:tcPr>
            <w:tcW w:w="4896" w:type="dxa"/>
            <w:shd w:val="clear" w:color="auto" w:fill="1B2A41"/>
          </w:tcPr>
          <w:p w:rsidR="00733DB8" w:rsidRDefault="00A4670C">
            <w:pPr>
              <w:spacing w:after="40" w:line="240" w:lineRule="auto"/>
              <w:jc w:val="center"/>
            </w:pPr>
            <w:r>
              <w:rPr>
                <w:rFonts w:cs="Times New Roman"/>
                <w:b/>
                <w:color w:val="FFFFFF"/>
                <w:sz w:val="22"/>
              </w:rPr>
              <w:t>Student name</w:t>
            </w:r>
          </w:p>
        </w:tc>
        <w:tc>
          <w:tcPr>
            <w:tcW w:w="2592" w:type="dxa"/>
            <w:shd w:val="clear" w:color="auto" w:fill="1B2A41"/>
          </w:tcPr>
          <w:p w:rsidR="00733DB8" w:rsidRDefault="00A4670C">
            <w:pPr>
              <w:spacing w:after="40" w:line="240" w:lineRule="auto"/>
              <w:jc w:val="center"/>
            </w:pPr>
            <w:r>
              <w:rPr>
                <w:rFonts w:cs="Times New Roman"/>
                <w:b/>
                <w:color w:val="FFFFFF"/>
                <w:sz w:val="22"/>
              </w:rPr>
              <w:t>Roll number</w:t>
            </w:r>
          </w:p>
        </w:tc>
      </w:tr>
      <w:tr w:rsidR="00733DB8">
        <w:trPr>
          <w:cantSplit/>
          <w:jc w:val="center"/>
        </w:trPr>
        <w:tc>
          <w:tcPr>
            <w:tcW w:w="1008" w:type="dxa"/>
          </w:tcPr>
          <w:p w:rsidR="00733DB8" w:rsidRDefault="00A4670C">
            <w:pPr>
              <w:spacing w:after="40" w:line="240" w:lineRule="auto"/>
              <w:jc w:val="center"/>
            </w:pPr>
            <w:r>
              <w:rPr>
                <w:rFonts w:cs="Times New Roman"/>
                <w:sz w:val="22"/>
              </w:rPr>
              <w:t>1</w:t>
            </w:r>
          </w:p>
        </w:tc>
        <w:tc>
          <w:tcPr>
            <w:tcW w:w="4896" w:type="dxa"/>
          </w:tcPr>
          <w:p w:rsidR="00733DB8" w:rsidRDefault="00A4670C">
            <w:pPr>
              <w:spacing w:after="40" w:line="240" w:lineRule="auto"/>
              <w:jc w:val="left"/>
            </w:pPr>
            <w:r>
              <w:rPr>
                <w:rFonts w:cs="Times New Roman"/>
                <w:sz w:val="22"/>
              </w:rPr>
              <w:t>ARELLI PRAVEEN KUMAR</w:t>
            </w:r>
          </w:p>
        </w:tc>
        <w:tc>
          <w:tcPr>
            <w:tcW w:w="2592" w:type="dxa"/>
          </w:tcPr>
          <w:p w:rsidR="00733DB8" w:rsidRDefault="00A4670C">
            <w:pPr>
              <w:spacing w:after="40" w:line="240" w:lineRule="auto"/>
              <w:jc w:val="center"/>
            </w:pPr>
            <w:r>
              <w:rPr>
                <w:rFonts w:cs="Times New Roman"/>
                <w:sz w:val="22"/>
              </w:rPr>
              <w:t>23K91A0513</w:t>
            </w:r>
          </w:p>
        </w:tc>
      </w:tr>
      <w:tr w:rsidR="00733DB8">
        <w:trPr>
          <w:cantSplit/>
          <w:jc w:val="center"/>
        </w:trPr>
        <w:tc>
          <w:tcPr>
            <w:tcW w:w="1008" w:type="dxa"/>
          </w:tcPr>
          <w:p w:rsidR="00733DB8" w:rsidRDefault="00A4670C">
            <w:pPr>
              <w:spacing w:after="40" w:line="240" w:lineRule="auto"/>
              <w:jc w:val="center"/>
            </w:pPr>
            <w:r>
              <w:rPr>
                <w:rFonts w:cs="Times New Roman"/>
                <w:sz w:val="22"/>
              </w:rPr>
              <w:t>2</w:t>
            </w:r>
          </w:p>
        </w:tc>
        <w:tc>
          <w:tcPr>
            <w:tcW w:w="4896" w:type="dxa"/>
          </w:tcPr>
          <w:p w:rsidR="00733DB8" w:rsidRDefault="00A4670C">
            <w:pPr>
              <w:spacing w:after="40" w:line="240" w:lineRule="auto"/>
              <w:jc w:val="left"/>
            </w:pPr>
            <w:r>
              <w:rPr>
                <w:rFonts w:cs="Times New Roman"/>
                <w:sz w:val="22"/>
              </w:rPr>
              <w:t>BANOTHU AJAY</w:t>
            </w:r>
          </w:p>
        </w:tc>
        <w:tc>
          <w:tcPr>
            <w:tcW w:w="2592" w:type="dxa"/>
          </w:tcPr>
          <w:p w:rsidR="00733DB8" w:rsidRDefault="00A4670C">
            <w:pPr>
              <w:spacing w:after="40" w:line="240" w:lineRule="auto"/>
              <w:jc w:val="center"/>
            </w:pPr>
            <w:r>
              <w:rPr>
                <w:rFonts w:cs="Times New Roman"/>
                <w:sz w:val="22"/>
              </w:rPr>
              <w:t>23K91A0529</w:t>
            </w:r>
          </w:p>
        </w:tc>
      </w:tr>
      <w:tr w:rsidR="00733DB8">
        <w:trPr>
          <w:cantSplit/>
          <w:jc w:val="center"/>
        </w:trPr>
        <w:tc>
          <w:tcPr>
            <w:tcW w:w="1008" w:type="dxa"/>
          </w:tcPr>
          <w:p w:rsidR="00733DB8" w:rsidRDefault="00A4670C">
            <w:pPr>
              <w:spacing w:after="40" w:line="240" w:lineRule="auto"/>
              <w:jc w:val="center"/>
            </w:pPr>
            <w:r>
              <w:rPr>
                <w:rFonts w:cs="Times New Roman"/>
                <w:sz w:val="22"/>
              </w:rPr>
              <w:t>3</w:t>
            </w:r>
          </w:p>
        </w:tc>
        <w:tc>
          <w:tcPr>
            <w:tcW w:w="4896" w:type="dxa"/>
          </w:tcPr>
          <w:p w:rsidR="00733DB8" w:rsidRDefault="00A4670C">
            <w:pPr>
              <w:spacing w:after="40" w:line="240" w:lineRule="auto"/>
              <w:jc w:val="left"/>
            </w:pPr>
            <w:r>
              <w:rPr>
                <w:rFonts w:cs="Times New Roman"/>
                <w:sz w:val="22"/>
              </w:rPr>
              <w:t>D CHANDRIKA</w:t>
            </w:r>
          </w:p>
        </w:tc>
        <w:tc>
          <w:tcPr>
            <w:tcW w:w="2592" w:type="dxa"/>
          </w:tcPr>
          <w:p w:rsidR="00733DB8" w:rsidRDefault="00A4670C">
            <w:pPr>
              <w:spacing w:after="40" w:line="240" w:lineRule="auto"/>
              <w:jc w:val="center"/>
            </w:pPr>
            <w:r>
              <w:rPr>
                <w:rFonts w:cs="Times New Roman"/>
                <w:sz w:val="22"/>
              </w:rPr>
              <w:t>23K91A0557</w:t>
            </w:r>
          </w:p>
        </w:tc>
      </w:tr>
      <w:tr w:rsidR="00733DB8">
        <w:trPr>
          <w:cantSplit/>
          <w:jc w:val="center"/>
        </w:trPr>
        <w:tc>
          <w:tcPr>
            <w:tcW w:w="1008" w:type="dxa"/>
          </w:tcPr>
          <w:p w:rsidR="00733DB8" w:rsidRDefault="00A4670C">
            <w:pPr>
              <w:spacing w:after="40" w:line="240" w:lineRule="auto"/>
              <w:jc w:val="center"/>
            </w:pPr>
            <w:r>
              <w:rPr>
                <w:rFonts w:cs="Times New Roman"/>
                <w:sz w:val="22"/>
              </w:rPr>
              <w:t>4</w:t>
            </w:r>
          </w:p>
        </w:tc>
        <w:tc>
          <w:tcPr>
            <w:tcW w:w="4896" w:type="dxa"/>
          </w:tcPr>
          <w:p w:rsidR="00733DB8" w:rsidRDefault="00A4670C">
            <w:pPr>
              <w:spacing w:after="40" w:line="240" w:lineRule="auto"/>
              <w:jc w:val="left"/>
            </w:pPr>
            <w:r>
              <w:rPr>
                <w:rFonts w:cs="Times New Roman"/>
                <w:sz w:val="22"/>
              </w:rPr>
              <w:t>BAIRAGONI VIJAY</w:t>
            </w:r>
          </w:p>
        </w:tc>
        <w:tc>
          <w:tcPr>
            <w:tcW w:w="2592" w:type="dxa"/>
          </w:tcPr>
          <w:p w:rsidR="00733DB8" w:rsidRDefault="00A4670C">
            <w:pPr>
              <w:spacing w:after="40" w:line="240" w:lineRule="auto"/>
              <w:jc w:val="center"/>
            </w:pPr>
            <w:r>
              <w:rPr>
                <w:rFonts w:cs="Times New Roman"/>
                <w:sz w:val="22"/>
              </w:rPr>
              <w:t>23K91A0525</w:t>
            </w:r>
          </w:p>
        </w:tc>
      </w:tr>
    </w:tbl>
    <w:p w:rsidR="00733DB8" w:rsidRDefault="00733DB8">
      <w:pPr>
        <w:spacing w:line="192" w:lineRule="auto"/>
      </w:pPr>
    </w:p>
    <w:p w:rsidR="00733DB8" w:rsidRDefault="00A4670C">
      <w:pPr>
        <w:spacing w:after="200"/>
        <w:jc w:val="center"/>
      </w:pPr>
      <w:r>
        <w:rPr>
          <w:rFonts w:cs="Times New Roman"/>
          <w:b/>
        </w:rPr>
        <w:t>Project guide:</w:t>
      </w:r>
      <w:r>
        <w:rPr>
          <w:rFonts w:cs="Times New Roman"/>
        </w:rPr>
        <w:t xml:space="preserve"> KOTESHWAR RAO</w:t>
      </w:r>
    </w:p>
    <w:p w:rsidR="00733DB8" w:rsidRDefault="00A4670C">
      <w:r>
        <w:rPr>
          <w:rFonts w:cs="Times New Roman"/>
          <w:i/>
          <w:sz w:val="21"/>
        </w:rPr>
        <w:t xml:space="preserve">Chapter and section numbers quoted </w:t>
      </w:r>
      <w:r>
        <w:rPr>
          <w:rFonts w:cs="Times New Roman"/>
          <w:i/>
          <w:sz w:val="21"/>
        </w:rPr>
        <w:t>in the text (for example Chapter 8 or Section 6.2) refer to the full project report, 17.Final Document. Figures and tables in this document are numbered from 1.</w:t>
      </w:r>
    </w:p>
    <w:p w:rsidR="00733DB8" w:rsidRDefault="00A4670C">
      <w:pPr>
        <w:pStyle w:val="Heading1"/>
      </w:pPr>
      <w:r>
        <w:t>1. CONCLUSION</w:t>
      </w:r>
    </w:p>
    <w:p w:rsidR="00733DB8" w:rsidRDefault="00A4670C">
      <w:pPr>
        <w:pStyle w:val="Heading2"/>
      </w:pPr>
      <w:r>
        <w:t>1.1 Summary of the work</w:t>
      </w:r>
    </w:p>
    <w:p w:rsidR="00733DB8" w:rsidRDefault="00A4670C">
      <w:r>
        <w:rPr>
          <w:rFonts w:cs="Times New Roman"/>
        </w:rPr>
        <w:t xml:space="preserve">This project set out to build and measure a credit card </w:t>
      </w:r>
      <w:r>
        <w:rPr>
          <w:rFonts w:cs="Times New Roman"/>
        </w:rPr>
        <w:t xml:space="preserve">fraud detector based on the quantum-assisted restricted Boltzmann machine of the base paper [1]. We implemented the Gaussian-Bernoulli RBM classifier in NumPy with three trainers, built the preprocessing pipeline the paper describes, wrapped the models in </w:t>
      </w:r>
      <w:r>
        <w:rPr>
          <w:rFonts w:cs="Times New Roman"/>
        </w:rPr>
        <w:t>a Flask API with 16 routes and a React interface, and measured everything on a synthetic, balanced file of 39,000 transactions. The quantum trainer is a classical simulation, so the system is quantum-inspired, not quantum.</w:t>
      </w:r>
    </w:p>
    <w:p w:rsidR="00733DB8" w:rsidRDefault="00A4670C">
      <w:r>
        <w:rPr>
          <w:rFonts w:cs="Times New Roman"/>
        </w:rPr>
        <w:t>On the 1,600-row held-out split t</w:t>
      </w:r>
      <w:r>
        <w:rPr>
          <w:rFonts w:cs="Times New Roman"/>
        </w:rPr>
        <w:t xml:space="preserve">he ensemble reaches accuracy 94.6%, precision 96.5%, recall 92.5%, F1 94.5% and ROC-AUC 0.986. The annealing and quantum-inspired models reach F1 94.4% and 94.3%. The classical PCD model, at its shipped state, flags </w:t>
      </w:r>
      <w:r>
        <w:rPr>
          <w:rFonts w:cs="Times New Roman"/>
        </w:rPr>
        <w:lastRenderedPageBreak/>
        <w:t>nearly every transaction (accuracy 58.8%</w:t>
      </w:r>
      <w:r>
        <w:rPr>
          <w:rFonts w:cs="Times New Roman"/>
        </w:rPr>
        <w:t>, recall 100.0%). A single check takes a median 17 ms and a 20-row batch 30 ms.</w:t>
      </w:r>
    </w:p>
    <w:p w:rsidR="00733DB8" w:rsidRDefault="00A4670C">
      <w:r>
        <w:rPr>
          <w:rFonts w:cs="Times New Roman"/>
        </w:rPr>
        <w:t xml:space="preserve">Beyond the models, the project delivers the pieces that make them usable and checkable: preprocessing and training code that can be rerun, a retraining lab in the interface, </w:t>
      </w:r>
      <w:r>
        <w:rPr>
          <w:rFonts w:cs="Times New Roman"/>
        </w:rPr>
        <w:t>bulk screening with an exportable result, analytics over the whole file, an experiment script that regenerates every metric in this report, and a read-only smoke test of the API (20/20 checks pass). A full measurement run, including five seeds and a low-fr</w:t>
      </w:r>
      <w:r>
        <w:rPr>
          <w:rFonts w:cs="Times New Roman"/>
        </w:rPr>
        <w:t>aud variant, finishes in minutes on one CPU.</w:t>
      </w:r>
    </w:p>
    <w:p w:rsidR="00733DB8" w:rsidRDefault="00A4670C">
      <w:pPr>
        <w:pStyle w:val="Heading2"/>
      </w:pPr>
      <w:r>
        <w:t>1.2 Objectives against outcomes</w:t>
      </w:r>
    </w:p>
    <w:p w:rsidR="00733DB8" w:rsidRDefault="00A4670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six objectives and what was achieved</w:t>
      </w:r>
    </w:p>
    <w:tbl>
      <w:tblPr>
        <w:tblStyle w:val="TableGrid"/>
        <w:tblW w:w="0" w:type="auto"/>
        <w:jc w:val="center"/>
        <w:tblLook w:val="04A0" w:firstRow="1" w:lastRow="0" w:firstColumn="1" w:lastColumn="0" w:noHBand="0" w:noVBand="1"/>
      </w:tblPr>
      <w:tblGrid>
        <w:gridCol w:w="426"/>
        <w:gridCol w:w="2804"/>
        <w:gridCol w:w="4230"/>
        <w:gridCol w:w="1422"/>
      </w:tblGrid>
      <w:tr w:rsidR="00733DB8">
        <w:trPr>
          <w:cantSplit/>
          <w:tblHeader/>
          <w:jc w:val="center"/>
        </w:trPr>
        <w:tc>
          <w:tcPr>
            <w:tcW w:w="432" w:type="dxa"/>
            <w:shd w:val="clear" w:color="auto" w:fill="1B2A41"/>
          </w:tcPr>
          <w:p w:rsidR="00733DB8" w:rsidRDefault="00A4670C">
            <w:pPr>
              <w:spacing w:after="40" w:line="240" w:lineRule="auto"/>
              <w:jc w:val="center"/>
            </w:pPr>
            <w:r>
              <w:rPr>
                <w:rFonts w:cs="Times New Roman"/>
                <w:b/>
                <w:color w:val="FFFFFF"/>
                <w:sz w:val="19"/>
              </w:rPr>
              <w:t>#</w:t>
            </w:r>
          </w:p>
        </w:tc>
        <w:tc>
          <w:tcPr>
            <w:tcW w:w="2880" w:type="dxa"/>
            <w:shd w:val="clear" w:color="auto" w:fill="1B2A41"/>
          </w:tcPr>
          <w:p w:rsidR="00733DB8" w:rsidRDefault="00A4670C">
            <w:pPr>
              <w:spacing w:after="40" w:line="240" w:lineRule="auto"/>
              <w:jc w:val="center"/>
            </w:pPr>
            <w:r>
              <w:rPr>
                <w:rFonts w:cs="Times New Roman"/>
                <w:b/>
                <w:color w:val="FFFFFF"/>
                <w:sz w:val="19"/>
              </w:rPr>
              <w:t>Objective</w:t>
            </w:r>
          </w:p>
        </w:tc>
        <w:tc>
          <w:tcPr>
            <w:tcW w:w="4320" w:type="dxa"/>
            <w:shd w:val="clear" w:color="auto" w:fill="1B2A41"/>
          </w:tcPr>
          <w:p w:rsidR="00733DB8" w:rsidRDefault="00A4670C">
            <w:pPr>
              <w:spacing w:after="40" w:line="240" w:lineRule="auto"/>
              <w:jc w:val="center"/>
            </w:pPr>
            <w:r>
              <w:rPr>
                <w:rFonts w:cs="Times New Roman"/>
                <w:b/>
                <w:color w:val="FFFFFF"/>
                <w:sz w:val="19"/>
              </w:rPr>
              <w:t>Outcome</w:t>
            </w:r>
          </w:p>
        </w:tc>
        <w:tc>
          <w:tcPr>
            <w:tcW w:w="1440" w:type="dxa"/>
            <w:shd w:val="clear" w:color="auto" w:fill="1B2A41"/>
          </w:tcPr>
          <w:p w:rsidR="00733DB8" w:rsidRDefault="00A4670C">
            <w:pPr>
              <w:spacing w:after="40" w:line="240" w:lineRule="auto"/>
              <w:jc w:val="center"/>
            </w:pPr>
            <w:r>
              <w:rPr>
                <w:rFonts w:cs="Times New Roman"/>
                <w:b/>
                <w:color w:val="FFFFFF"/>
                <w:sz w:val="19"/>
              </w:rPr>
              <w:t>Status</w:t>
            </w:r>
          </w:p>
        </w:tc>
      </w:tr>
      <w:tr w:rsidR="00733DB8">
        <w:trPr>
          <w:cantSplit/>
          <w:jc w:val="center"/>
        </w:trPr>
        <w:tc>
          <w:tcPr>
            <w:tcW w:w="432" w:type="dxa"/>
          </w:tcPr>
          <w:p w:rsidR="00733DB8" w:rsidRDefault="00A4670C">
            <w:pPr>
              <w:spacing w:after="40" w:line="240" w:lineRule="auto"/>
              <w:jc w:val="center"/>
            </w:pPr>
            <w:r>
              <w:rPr>
                <w:rFonts w:cs="Times New Roman"/>
                <w:sz w:val="19"/>
              </w:rPr>
              <w:t>1</w:t>
            </w:r>
          </w:p>
        </w:tc>
        <w:tc>
          <w:tcPr>
            <w:tcW w:w="2880" w:type="dxa"/>
          </w:tcPr>
          <w:p w:rsidR="00733DB8" w:rsidRDefault="00A4670C">
            <w:pPr>
              <w:spacing w:after="40" w:line="240" w:lineRule="auto"/>
              <w:jc w:val="left"/>
            </w:pPr>
            <w:r>
              <w:rPr>
                <w:rFonts w:cs="Times New Roman"/>
                <w:sz w:val="19"/>
              </w:rPr>
              <w:t>Acquire a benchmark dataset and quantify the imbalance</w:t>
            </w:r>
          </w:p>
        </w:tc>
        <w:tc>
          <w:tcPr>
            <w:tcW w:w="4320" w:type="dxa"/>
          </w:tcPr>
          <w:p w:rsidR="00733DB8" w:rsidRDefault="00A4670C">
            <w:pPr>
              <w:spacing w:after="40" w:line="240" w:lineRule="auto"/>
              <w:jc w:val="left"/>
            </w:pPr>
            <w:r>
              <w:rPr>
                <w:rFonts w:cs="Times New Roman"/>
                <w:sz w:val="19"/>
              </w:rPr>
              <w:t xml:space="preserve">No public benchmark </w:t>
            </w:r>
            <w:r>
              <w:rPr>
                <w:rFonts w:cs="Times New Roman"/>
                <w:sz w:val="19"/>
              </w:rPr>
              <w:t>was used. A synthetic file of 39,000 rows (50/50) was generated and a 1%-fraud variant was built to quantify the effect of imbalance</w:t>
            </w:r>
          </w:p>
        </w:tc>
        <w:tc>
          <w:tcPr>
            <w:tcW w:w="1440" w:type="dxa"/>
          </w:tcPr>
          <w:p w:rsidR="00733DB8" w:rsidRDefault="00A4670C">
            <w:pPr>
              <w:spacing w:after="40" w:line="240" w:lineRule="auto"/>
              <w:jc w:val="left"/>
            </w:pPr>
            <w:r>
              <w:rPr>
                <w:rFonts w:cs="Times New Roman"/>
                <w:sz w:val="19"/>
              </w:rPr>
              <w:t>Partly met</w:t>
            </w:r>
          </w:p>
        </w:tc>
      </w:tr>
      <w:tr w:rsidR="00733DB8">
        <w:trPr>
          <w:cantSplit/>
          <w:jc w:val="center"/>
        </w:trPr>
        <w:tc>
          <w:tcPr>
            <w:tcW w:w="432" w:type="dxa"/>
          </w:tcPr>
          <w:p w:rsidR="00733DB8" w:rsidRDefault="00A4670C">
            <w:pPr>
              <w:spacing w:after="40" w:line="240" w:lineRule="auto"/>
              <w:jc w:val="center"/>
            </w:pPr>
            <w:r>
              <w:rPr>
                <w:rFonts w:cs="Times New Roman"/>
                <w:sz w:val="19"/>
              </w:rPr>
              <w:t>2</w:t>
            </w:r>
          </w:p>
        </w:tc>
        <w:tc>
          <w:tcPr>
            <w:tcW w:w="2880" w:type="dxa"/>
          </w:tcPr>
          <w:p w:rsidR="00733DB8" w:rsidRDefault="00A4670C">
            <w:pPr>
              <w:spacing w:after="40" w:line="240" w:lineRule="auto"/>
              <w:jc w:val="left"/>
            </w:pPr>
            <w:r>
              <w:rPr>
                <w:rFonts w:cs="Times New Roman"/>
                <w:sz w:val="19"/>
              </w:rPr>
              <w:t>Preprocessing: scaling, feature selection, stratified split</w:t>
            </w:r>
          </w:p>
        </w:tc>
        <w:tc>
          <w:tcPr>
            <w:tcW w:w="4320" w:type="dxa"/>
          </w:tcPr>
          <w:p w:rsidR="00733DB8" w:rsidRDefault="00A4670C">
            <w:pPr>
              <w:spacing w:after="40" w:line="240" w:lineRule="auto"/>
              <w:jc w:val="left"/>
            </w:pPr>
            <w:r>
              <w:rPr>
                <w:rFonts w:cs="Times New Roman"/>
                <w:sz w:val="19"/>
              </w:rPr>
              <w:t xml:space="preserve">One-hot, z-score, correlation filter, </w:t>
            </w:r>
            <w:r>
              <w:rPr>
                <w:rFonts w:cs="Times New Roman"/>
                <w:sz w:val="19"/>
              </w:rPr>
              <w:t>importance-based top-18 selection and a stratified 80/20 split</w:t>
            </w:r>
          </w:p>
        </w:tc>
        <w:tc>
          <w:tcPr>
            <w:tcW w:w="1440" w:type="dxa"/>
          </w:tcPr>
          <w:p w:rsidR="00733DB8" w:rsidRDefault="00A4670C">
            <w:pPr>
              <w:spacing w:after="40" w:line="240" w:lineRule="auto"/>
              <w:jc w:val="left"/>
            </w:pPr>
            <w:r>
              <w:rPr>
                <w:rFonts w:cs="Times New Roman"/>
                <w:sz w:val="19"/>
              </w:rPr>
              <w:t>Met (selection before the split)</w:t>
            </w:r>
          </w:p>
        </w:tc>
      </w:tr>
      <w:tr w:rsidR="00733DB8">
        <w:trPr>
          <w:cantSplit/>
          <w:jc w:val="center"/>
        </w:trPr>
        <w:tc>
          <w:tcPr>
            <w:tcW w:w="432" w:type="dxa"/>
          </w:tcPr>
          <w:p w:rsidR="00733DB8" w:rsidRDefault="00A4670C">
            <w:pPr>
              <w:spacing w:after="40" w:line="240" w:lineRule="auto"/>
              <w:jc w:val="center"/>
            </w:pPr>
            <w:r>
              <w:rPr>
                <w:rFonts w:cs="Times New Roman"/>
                <w:sz w:val="19"/>
              </w:rPr>
              <w:t>3</w:t>
            </w:r>
          </w:p>
        </w:tc>
        <w:tc>
          <w:tcPr>
            <w:tcW w:w="2880" w:type="dxa"/>
          </w:tcPr>
          <w:p w:rsidR="00733DB8" w:rsidRDefault="00A4670C">
            <w:pPr>
              <w:spacing w:after="40" w:line="240" w:lineRule="auto"/>
              <w:jc w:val="left"/>
            </w:pPr>
            <w:r>
              <w:rPr>
                <w:rFonts w:cs="Times New Roman"/>
                <w:sz w:val="19"/>
              </w:rPr>
              <w:t>Balance with SMOTE and compare with random undersampling</w:t>
            </w:r>
          </w:p>
        </w:tc>
        <w:tc>
          <w:tcPr>
            <w:tcW w:w="4320" w:type="dxa"/>
          </w:tcPr>
          <w:p w:rsidR="00733DB8" w:rsidRDefault="00A4670C">
            <w:pPr>
              <w:spacing w:after="40" w:line="240" w:lineRule="auto"/>
              <w:jc w:val="left"/>
            </w:pPr>
            <w:r>
              <w:rPr>
                <w:rFonts w:cs="Times New Roman"/>
                <w:sz w:val="19"/>
              </w:rPr>
              <w:t xml:space="preserve">Compared in </w:t>
            </w:r>
            <w:r>
              <w:rPr>
                <w:rFonts w:ascii="Consolas" w:eastAsia="Consolas" w:hAnsi="Consolas" w:cs="Consolas"/>
                <w:sz w:val="16"/>
              </w:rPr>
              <w:t>scripts/run_experiments.py</w:t>
            </w:r>
            <w:r>
              <w:rPr>
                <w:rFonts w:cs="Times New Roman"/>
                <w:sz w:val="19"/>
              </w:rPr>
              <w:t xml:space="preserve"> on the 1% variant (XGBoost precision is 0.90 with SMOTE and 0</w:t>
            </w:r>
            <w:r>
              <w:rPr>
                <w:rFonts w:cs="Times New Roman"/>
                <w:sz w:val="19"/>
              </w:rPr>
              <w:t>.19 with undersampling); the product supports SMOTE and Tomek links in the Lab</w:t>
            </w:r>
          </w:p>
        </w:tc>
        <w:tc>
          <w:tcPr>
            <w:tcW w:w="1440" w:type="dxa"/>
          </w:tcPr>
          <w:p w:rsidR="00733DB8" w:rsidRDefault="00A4670C">
            <w:pPr>
              <w:spacing w:after="40" w:line="240" w:lineRule="auto"/>
              <w:jc w:val="left"/>
            </w:pPr>
            <w:r>
              <w:rPr>
                <w:rFonts w:cs="Times New Roman"/>
                <w:sz w:val="19"/>
              </w:rPr>
              <w:t>Met in the experiment script</w:t>
            </w:r>
          </w:p>
        </w:tc>
      </w:tr>
      <w:tr w:rsidR="00733DB8">
        <w:trPr>
          <w:cantSplit/>
          <w:jc w:val="center"/>
        </w:trPr>
        <w:tc>
          <w:tcPr>
            <w:tcW w:w="432" w:type="dxa"/>
          </w:tcPr>
          <w:p w:rsidR="00733DB8" w:rsidRDefault="00A4670C">
            <w:pPr>
              <w:spacing w:after="40" w:line="240" w:lineRule="auto"/>
              <w:jc w:val="center"/>
            </w:pPr>
            <w:r>
              <w:rPr>
                <w:rFonts w:cs="Times New Roman"/>
                <w:sz w:val="19"/>
              </w:rPr>
              <w:t>4</w:t>
            </w:r>
          </w:p>
        </w:tc>
        <w:tc>
          <w:tcPr>
            <w:tcW w:w="2880" w:type="dxa"/>
          </w:tcPr>
          <w:p w:rsidR="00733DB8" w:rsidRDefault="00A4670C">
            <w:pPr>
              <w:spacing w:after="40" w:line="240" w:lineRule="auto"/>
              <w:jc w:val="left"/>
            </w:pPr>
            <w:r>
              <w:rPr>
                <w:rFonts w:cs="Times New Roman"/>
                <w:sz w:val="19"/>
              </w:rPr>
              <w:t>Train Logistic Regression, Random Forest and XGBoost</w:t>
            </w:r>
          </w:p>
        </w:tc>
        <w:tc>
          <w:tcPr>
            <w:tcW w:w="4320" w:type="dxa"/>
          </w:tcPr>
          <w:p w:rsidR="00733DB8" w:rsidRDefault="00A4670C">
            <w:pPr>
              <w:spacing w:after="40" w:line="240" w:lineRule="auto"/>
              <w:jc w:val="left"/>
            </w:pPr>
            <w:r>
              <w:rPr>
                <w:rFonts w:cs="Times New Roman"/>
                <w:sz w:val="19"/>
              </w:rPr>
              <w:t>Trained on the same split (F1 96.7%, 96.3%, 96.5%); they are not part of the shipped applica</w:t>
            </w:r>
            <w:r>
              <w:rPr>
                <w:rFonts w:cs="Times New Roman"/>
                <w:sz w:val="19"/>
              </w:rPr>
              <w:t>tion, which serves the RBM models</w:t>
            </w:r>
          </w:p>
        </w:tc>
        <w:tc>
          <w:tcPr>
            <w:tcW w:w="1440" w:type="dxa"/>
          </w:tcPr>
          <w:p w:rsidR="00733DB8" w:rsidRDefault="00A4670C">
            <w:pPr>
              <w:spacing w:after="40" w:line="240" w:lineRule="auto"/>
              <w:jc w:val="left"/>
            </w:pPr>
            <w:r>
              <w:rPr>
                <w:rFonts w:cs="Times New Roman"/>
                <w:sz w:val="19"/>
              </w:rPr>
              <w:t>Met as baselines</w:t>
            </w:r>
          </w:p>
        </w:tc>
      </w:tr>
      <w:tr w:rsidR="00733DB8">
        <w:trPr>
          <w:cantSplit/>
          <w:jc w:val="center"/>
        </w:trPr>
        <w:tc>
          <w:tcPr>
            <w:tcW w:w="432" w:type="dxa"/>
          </w:tcPr>
          <w:p w:rsidR="00733DB8" w:rsidRDefault="00A4670C">
            <w:pPr>
              <w:spacing w:after="40" w:line="240" w:lineRule="auto"/>
              <w:jc w:val="center"/>
            </w:pPr>
            <w:r>
              <w:rPr>
                <w:rFonts w:cs="Times New Roman"/>
                <w:sz w:val="19"/>
              </w:rPr>
              <w:t>5</w:t>
            </w:r>
          </w:p>
        </w:tc>
        <w:tc>
          <w:tcPr>
            <w:tcW w:w="2880" w:type="dxa"/>
          </w:tcPr>
          <w:p w:rsidR="00733DB8" w:rsidRDefault="00A4670C">
            <w:pPr>
              <w:spacing w:after="40" w:line="240" w:lineRule="auto"/>
              <w:jc w:val="left"/>
            </w:pPr>
            <w:r>
              <w:rPr>
                <w:rFonts w:cs="Times New Roman"/>
                <w:sz w:val="19"/>
              </w:rPr>
              <w:t>Evaluate with precision, recall, F1 and ROC-AUC</w:t>
            </w:r>
          </w:p>
        </w:tc>
        <w:tc>
          <w:tcPr>
            <w:tcW w:w="4320" w:type="dxa"/>
          </w:tcPr>
          <w:p w:rsidR="00733DB8" w:rsidRDefault="00A4670C">
            <w:pPr>
              <w:spacing w:after="40" w:line="240" w:lineRule="auto"/>
              <w:jc w:val="left"/>
            </w:pPr>
            <w:r>
              <w:rPr>
                <w:rFonts w:cs="Times New Roman"/>
                <w:sz w:val="19"/>
              </w:rPr>
              <w:t>All four metrics, confusion matrices, a threshold sweep, five seeds and PR-AUC at low fraud</w:t>
            </w:r>
          </w:p>
        </w:tc>
        <w:tc>
          <w:tcPr>
            <w:tcW w:w="1440" w:type="dxa"/>
          </w:tcPr>
          <w:p w:rsidR="00733DB8" w:rsidRDefault="00A4670C">
            <w:pPr>
              <w:spacing w:after="40" w:line="240" w:lineRule="auto"/>
              <w:jc w:val="left"/>
            </w:pPr>
            <w:r>
              <w:rPr>
                <w:rFonts w:cs="Times New Roman"/>
                <w:sz w:val="19"/>
              </w:rPr>
              <w:t>Met</w:t>
            </w:r>
          </w:p>
        </w:tc>
      </w:tr>
      <w:tr w:rsidR="00733DB8">
        <w:trPr>
          <w:cantSplit/>
          <w:jc w:val="center"/>
        </w:trPr>
        <w:tc>
          <w:tcPr>
            <w:tcW w:w="432" w:type="dxa"/>
          </w:tcPr>
          <w:p w:rsidR="00733DB8" w:rsidRDefault="00A4670C">
            <w:pPr>
              <w:spacing w:after="40" w:line="240" w:lineRule="auto"/>
              <w:jc w:val="center"/>
            </w:pPr>
            <w:r>
              <w:rPr>
                <w:rFonts w:cs="Times New Roman"/>
                <w:sz w:val="19"/>
              </w:rPr>
              <w:t>6</w:t>
            </w:r>
          </w:p>
        </w:tc>
        <w:tc>
          <w:tcPr>
            <w:tcW w:w="2880" w:type="dxa"/>
          </w:tcPr>
          <w:p w:rsidR="00733DB8" w:rsidRDefault="00A4670C">
            <w:pPr>
              <w:spacing w:after="40" w:line="240" w:lineRule="auto"/>
              <w:jc w:val="left"/>
            </w:pPr>
            <w:r>
              <w:rPr>
                <w:rFonts w:cs="Times New Roman"/>
                <w:sz w:val="19"/>
              </w:rPr>
              <w:t>Deploy the best model behind an interface</w:t>
            </w:r>
          </w:p>
        </w:tc>
        <w:tc>
          <w:tcPr>
            <w:tcW w:w="4320" w:type="dxa"/>
          </w:tcPr>
          <w:p w:rsidR="00733DB8" w:rsidRDefault="00A4670C">
            <w:pPr>
              <w:spacing w:after="40" w:line="240" w:lineRule="auto"/>
              <w:jc w:val="left"/>
            </w:pPr>
            <w:r>
              <w:rPr>
                <w:rFonts w:cs="Times New Roman"/>
                <w:sz w:val="19"/>
              </w:rPr>
              <w:t>The interface</w:t>
            </w:r>
            <w:r>
              <w:rPr>
                <w:rFonts w:cs="Times New Roman"/>
                <w:sz w:val="19"/>
              </w:rPr>
              <w:t xml:space="preserve"> and API work (20/20 smoke checks pass), but the batch route skips scaling, and the deployed models are not the best models measured</w:t>
            </w:r>
          </w:p>
        </w:tc>
        <w:tc>
          <w:tcPr>
            <w:tcW w:w="1440" w:type="dxa"/>
          </w:tcPr>
          <w:p w:rsidR="00733DB8" w:rsidRDefault="00A4670C">
            <w:pPr>
              <w:spacing w:after="40" w:line="240" w:lineRule="auto"/>
              <w:jc w:val="left"/>
            </w:pPr>
            <w:r>
              <w:rPr>
                <w:rFonts w:cs="Times New Roman"/>
                <w:sz w:val="19"/>
              </w:rPr>
              <w:t>Met with a defect</w:t>
            </w:r>
          </w:p>
        </w:tc>
      </w:tr>
    </w:tbl>
    <w:p w:rsidR="00733DB8" w:rsidRDefault="00733DB8">
      <w:pPr>
        <w:spacing w:line="192" w:lineRule="auto"/>
      </w:pPr>
    </w:p>
    <w:p w:rsidR="00733DB8" w:rsidRDefault="00A4670C">
      <w:pPr>
        <w:pStyle w:val="Heading2"/>
      </w:pPr>
      <w:r>
        <w:t>1.3 Key findings</w:t>
      </w:r>
    </w:p>
    <w:p w:rsidR="00733DB8" w:rsidRDefault="00A4670C">
      <w:pPr>
        <w:spacing w:after="60"/>
        <w:ind w:left="720" w:hanging="432"/>
      </w:pPr>
      <w:r>
        <w:rPr>
          <w:rFonts w:cs="Times New Roman"/>
        </w:rPr>
        <w:t>1.  On this synthetic data, ordinary classifiers are better than the RBM. Logistic reg</w:t>
      </w:r>
      <w:r>
        <w:rPr>
          <w:rFonts w:cs="Times New Roman"/>
        </w:rPr>
        <w:t>ression, random forest and XGBoost reach F1 96.7%, 96.3% and 96.5%; the best RBM ensemble reaches 94.5%. The data are easy, so this does not say what would happen on real data.</w:t>
      </w:r>
    </w:p>
    <w:p w:rsidR="00733DB8" w:rsidRDefault="00A4670C">
      <w:pPr>
        <w:spacing w:after="60"/>
        <w:ind w:left="720" w:hanging="432"/>
      </w:pPr>
      <w:r>
        <w:rPr>
          <w:rFonts w:cs="Times New Roman"/>
        </w:rPr>
        <w:t>2.  The three trainers differ in reliability more than in best score. SAS is st</w:t>
      </w:r>
      <w:r>
        <w:rPr>
          <w:rFonts w:cs="Times New Roman"/>
        </w:rPr>
        <w:t>able (F1 94.4 +/- 0.1 over five seeds), QS is less so (92.9 +/- 1.2), and PCD is unstable (69.2 +/- 23.1).</w:t>
      </w:r>
    </w:p>
    <w:p w:rsidR="00733DB8" w:rsidRDefault="00A4670C">
      <w:pPr>
        <w:spacing w:after="60"/>
        <w:ind w:left="720" w:hanging="432"/>
      </w:pPr>
      <w:r>
        <w:rPr>
          <w:rFonts w:cs="Times New Roman"/>
        </w:rPr>
        <w:lastRenderedPageBreak/>
        <w:t xml:space="preserve">3.  Ranking quality and decision quality are separate. All three models have ROC-AUC near 0.986, but at 0.5 the PCD model is almost useless; the </w:t>
      </w:r>
      <w:r>
        <w:rPr>
          <w:rFonts w:cs="Times New Roman"/>
        </w:rPr>
        <w:t>threshold, not the model, is the problem.</w:t>
      </w:r>
    </w:p>
    <w:p w:rsidR="00733DB8" w:rsidRDefault="00A4670C">
      <w:pPr>
        <w:spacing w:after="60"/>
        <w:ind w:left="720" w:hanging="432"/>
      </w:pPr>
      <w:r>
        <w:rPr>
          <w:rFonts w:cs="Times New Roman"/>
        </w:rPr>
        <w:t>4.  Imbalance strategy matters more than the model. At 1% fraud, random undersampling drops the precision of all three baselines to between 0.19 and 0.22, while no resampling keeps precision high and recall of 0.66</w:t>
      </w:r>
      <w:r>
        <w:rPr>
          <w:rFonts w:cs="Times New Roman"/>
        </w:rPr>
        <w:t xml:space="preserve"> to 0.81.</w:t>
      </w:r>
    </w:p>
    <w:p w:rsidR="00733DB8" w:rsidRDefault="00A4670C">
      <w:pPr>
        <w:spacing w:after="60"/>
        <w:ind w:left="720" w:hanging="432"/>
      </w:pPr>
      <w:r>
        <w:rPr>
          <w:rFonts w:cs="Times New Roman"/>
        </w:rPr>
        <w:t>5.  Silent failure is the main engineering risk. A swallowed exception in the batch route reduced accuracy from 94.8% to 50.2% without any visible error.</w:t>
      </w:r>
    </w:p>
    <w:p w:rsidR="00733DB8" w:rsidRDefault="00A4670C">
      <w:pPr>
        <w:spacing w:after="60"/>
        <w:ind w:left="720" w:hanging="432"/>
      </w:pPr>
      <w:r>
        <w:rPr>
          <w:rFonts w:cs="Times New Roman"/>
        </w:rPr>
        <w:t>6.  The base paper's training times (hours) were not reproduced: with a simplified sampler a</w:t>
      </w:r>
      <w:r>
        <w:rPr>
          <w:rFonts w:cs="Times New Roman"/>
        </w:rPr>
        <w:t>n epoch takes well under a second.</w:t>
      </w:r>
    </w:p>
    <w:p w:rsidR="00733DB8" w:rsidRDefault="00A4670C">
      <w:r>
        <w:rPr>
          <w:rFonts w:cs="Times New Roman"/>
        </w:rPr>
        <w:t>Read together, the findings say that the base paper's recipe works as a classifier on easy data but does not, in this reimplementation, beat the standard tools, is fragile in its classical form, and is only as good as the</w:t>
      </w:r>
      <w:r>
        <w:rPr>
          <w:rFonts w:cs="Times New Roman"/>
        </w:rPr>
        <w:t xml:space="preserve"> code around it. None of this contradicts the base paper, which used real data, a far larger scale and quantum hardware. It does show that a student-scale rebuild must be checked against baselines and against its own serving code before any claim is made.</w:t>
      </w:r>
    </w:p>
    <w:p w:rsidR="00733DB8" w:rsidRDefault="00A4670C">
      <w:pPr>
        <w:pStyle w:val="Heading2"/>
      </w:pPr>
      <w:r>
        <w:t>1.4 Comparison with the base paper</w:t>
      </w:r>
    </w:p>
    <w:p w:rsidR="00733DB8" w:rsidRDefault="00A4670C">
      <w:r>
        <w:rPr>
          <w:rFonts w:cs="Times New Roman"/>
        </w:rPr>
        <w:t>The base paper reports F1 of 83 %, 88 % and 84 % for PCD, SAS and QS on real data [1]. Our final-epoch F1 values are 70.9%, 94.4% and 94.3% on synthetic data. The two sets of numbers cannot be compared directly: the data,</w:t>
      </w:r>
      <w:r>
        <w:rPr>
          <w:rFonts w:cs="Times New Roman"/>
        </w:rPr>
        <w:t xml:space="preserve"> the epoch count, the hyper-parameter search and the samplers all differ, and on our synthetic data even logistic regression reaches F1 96.7%. What can be said is qualitative. In both studies simulated annealing is the strongest trainer and classical PCD t</w:t>
      </w:r>
      <w:r>
        <w:rPr>
          <w:rFonts w:cs="Times New Roman"/>
        </w:rPr>
        <w:t xml:space="preserve">he weakest. Unlike the paper, our quantum-inspired sampler is about as good as the annealing sampler (F1 94.3% against 94.4%), but it is less stable across seeds (92.9 +/- 1.2 against 94.4 +/- 0.1). We did not reproduce the paper's training times, because </w:t>
      </w:r>
      <w:r>
        <w:rPr>
          <w:rFonts w:cs="Times New Roman"/>
        </w:rPr>
        <w:t>the samplers here are simplified and run on a CPU, and we make no claim about quantum hardware.</w:t>
      </w:r>
    </w:p>
    <w:p w:rsidR="00733DB8" w:rsidRDefault="00A4670C">
      <w:pPr>
        <w:pStyle w:val="Heading2"/>
      </w:pPr>
      <w:r>
        <w:t>1.5 Practical applications</w:t>
      </w:r>
    </w:p>
    <w:p w:rsidR="00733DB8" w:rsidRDefault="00A4670C">
      <w:pPr>
        <w:spacing w:after="60"/>
        <w:ind w:left="720" w:hanging="360"/>
      </w:pPr>
      <w:r>
        <w:rPr>
          <w:rFonts w:cs="Times New Roman"/>
        </w:rPr>
        <w:t>•  A teaching and demonstration tool for how restricted Boltzmann machines classify, how samplers change training, and why accuracy m</w:t>
      </w:r>
      <w:r>
        <w:rPr>
          <w:rFonts w:cs="Times New Roman"/>
        </w:rPr>
        <w:t>isleads on imbalanced data.</w:t>
      </w:r>
    </w:p>
    <w:p w:rsidR="00733DB8" w:rsidRDefault="00A4670C">
      <w:pPr>
        <w:spacing w:after="60"/>
        <w:ind w:left="720" w:hanging="360"/>
      </w:pPr>
      <w:r>
        <w:rPr>
          <w:rFonts w:cs="Times New Roman"/>
        </w:rPr>
        <w:lastRenderedPageBreak/>
        <w:t>•  A starting point for a risk-operations screening screen: single check, bulk file screening, analytics and model views are already wired to an API.</w:t>
      </w:r>
    </w:p>
    <w:p w:rsidR="00733DB8" w:rsidRDefault="00A4670C">
      <w:pPr>
        <w:spacing w:after="60"/>
        <w:ind w:left="720" w:hanging="360"/>
      </w:pPr>
      <w:r>
        <w:rPr>
          <w:rFonts w:cs="Times New Roman"/>
        </w:rPr>
        <w:t>•  A template for auditing a model service: the experiment script shows how to</w:t>
      </w:r>
      <w:r>
        <w:rPr>
          <w:rFonts w:cs="Times New Roman"/>
        </w:rPr>
        <w:t xml:space="preserve"> compare shipped behaviour with offline behaviour.</w:t>
      </w:r>
    </w:p>
    <w:p w:rsidR="00733DB8" w:rsidRDefault="00A4670C">
      <w:r>
        <w:rPr>
          <w:rFonts w:cs="Times New Roman"/>
        </w:rPr>
        <w:t xml:space="preserve">For a reader who wants to reuse the work, the most portable parts are the evaluation script and the audit method rather than the models. The script shows how to compare a served model with an offline one, </w:t>
      </w:r>
      <w:r>
        <w:rPr>
          <w:rFonts w:cs="Times New Roman"/>
        </w:rPr>
        <w:t>how to vary the imbalance of a stream, and how to report spread over seeds. The interface is a reasonable skeleton for a screening tool once its data source, scaling and security are replaced with production-grade parts.</w:t>
      </w:r>
    </w:p>
    <w:p w:rsidR="00733DB8" w:rsidRDefault="00A4670C">
      <w:pPr>
        <w:pStyle w:val="Heading2"/>
      </w:pPr>
      <w:r>
        <w:t>1.6 Lessons learned</w:t>
      </w:r>
    </w:p>
    <w:p w:rsidR="00733DB8" w:rsidRDefault="00A4670C">
      <w:pPr>
        <w:spacing w:after="60"/>
        <w:ind w:left="720" w:hanging="360"/>
      </w:pPr>
      <w:r>
        <w:rPr>
          <w:rFonts w:cs="Times New Roman"/>
        </w:rPr>
        <w:t>•  Evaluate aga</w:t>
      </w:r>
      <w:r>
        <w:rPr>
          <w:rFonts w:cs="Times New Roman"/>
        </w:rPr>
        <w:t>inst ordinary baselines early. The RBM looked strong until logistic regression, random forest and XGBoost were trained on the same split and scored higher.</w:t>
      </w:r>
    </w:p>
    <w:p w:rsidR="00733DB8" w:rsidRDefault="00A4670C">
      <w:pPr>
        <w:spacing w:after="60"/>
        <w:ind w:left="720" w:hanging="360"/>
      </w:pPr>
      <w:r>
        <w:rPr>
          <w:rFonts w:cs="Times New Roman"/>
        </w:rPr>
        <w:t xml:space="preserve">•  Never swallow exceptions. A single bare </w:t>
      </w:r>
      <w:r>
        <w:rPr>
          <w:rFonts w:ascii="Consolas" w:eastAsia="Consolas" w:hAnsi="Consolas" w:cs="Consolas"/>
          <w:sz w:val="21"/>
        </w:rPr>
        <w:t>except</w:t>
      </w:r>
      <w:r>
        <w:rPr>
          <w:rFonts w:cs="Times New Roman"/>
        </w:rPr>
        <w:t xml:space="preserve"> hid a feature-scaling error for the whole life of </w:t>
      </w:r>
      <w:r>
        <w:rPr>
          <w:rFonts w:cs="Times New Roman"/>
        </w:rPr>
        <w:t>the batch route; it was found only because served predictions were compared with offline ones.</w:t>
      </w:r>
    </w:p>
    <w:p w:rsidR="00733DB8" w:rsidRDefault="00A4670C">
      <w:pPr>
        <w:spacing w:after="60"/>
        <w:ind w:left="720" w:hanging="360"/>
      </w:pPr>
      <w:r>
        <w:rPr>
          <w:rFonts w:cs="Times New Roman"/>
        </w:rPr>
        <w:t>•  Report final-epoch results. Picking the best epoch on the test split flatters every model, and the interface's dashboard figures show how large the effect is.</w:t>
      </w:r>
    </w:p>
    <w:p w:rsidR="00733DB8" w:rsidRDefault="00A4670C">
      <w:pPr>
        <w:spacing w:after="60"/>
        <w:ind w:left="720" w:hanging="360"/>
      </w:pPr>
      <w:r>
        <w:rPr>
          <w:rFonts w:cs="Times New Roman"/>
        </w:rPr>
        <w:t>•  Report the spread, not only the mean. Five seeds turned one apparently usable PCD model into an unstable trainer.</w:t>
      </w:r>
    </w:p>
    <w:p w:rsidR="00733DB8" w:rsidRDefault="00A4670C">
      <w:pPr>
        <w:spacing w:after="60"/>
        <w:ind w:left="720" w:hanging="360"/>
      </w:pPr>
      <w:r>
        <w:rPr>
          <w:rFonts w:cs="Times New Roman"/>
        </w:rPr>
        <w:t>•  State what the data are. Synthetic data allow a complete, repeatable study, but every conclusion must carry that caveat.</w:t>
      </w:r>
    </w:p>
    <w:p w:rsidR="00733DB8" w:rsidRDefault="00A4670C">
      <w:pPr>
        <w:pStyle w:val="Heading2"/>
      </w:pPr>
      <w:r>
        <w:t>1.7 Known limi</w:t>
      </w:r>
      <w:r>
        <w:t>tations</w:t>
      </w:r>
    </w:p>
    <w:p w:rsidR="00733DB8" w:rsidRDefault="00A4670C">
      <w:r>
        <w:rPr>
          <w:rFonts w:cs="Times New Roman"/>
        </w:rPr>
        <w:t>We chose to document the defects we found rather than hide them or silently repair them, because the screenshots, the latency figures and the test counts in this report all describe the code as shipped; a repair would change them and would need the</w:t>
      </w:r>
      <w:r>
        <w:rPr>
          <w:rFonts w:cs="Times New Roman"/>
        </w:rPr>
        <w:t xml:space="preserve"> measurements to be repeated. That decision keeps the report consistent with the repository and leaves the repair as the first item of future work.</w:t>
      </w:r>
    </w:p>
    <w:p w:rsidR="00733DB8" w:rsidRDefault="00A4670C">
      <w:r>
        <w:rPr>
          <w:rFonts w:cs="Times New Roman"/>
        </w:rPr>
        <w:t xml:space="preserve">The conclusions rest on synthetic data, one split, one machine and a simulated quantum sampler. The serving </w:t>
      </w:r>
      <w:r>
        <w:rPr>
          <w:rFonts w:cs="Times New Roman"/>
        </w:rPr>
        <w:t xml:space="preserve">defect, the optimistic best-epoch display, the pre-split selection, the lack of authentication and the lack of a regression test are all documented in Chapter 8 </w:t>
      </w:r>
      <w:r>
        <w:rPr>
          <w:rFonts w:cs="Times New Roman"/>
        </w:rPr>
        <w:lastRenderedPageBreak/>
        <w:t>and in the limitations document. Until the defect is fixed and the models are checked on real d</w:t>
      </w:r>
      <w:r>
        <w:rPr>
          <w:rFonts w:cs="Times New Roman"/>
        </w:rPr>
        <w:t>ata, SecurePay AI should be treated as a prototype and not as a payment control.</w:t>
      </w:r>
    </w:p>
    <w:p w:rsidR="00733DB8" w:rsidRDefault="00A4670C">
      <w:r>
        <w:rPr>
          <w:rFonts w:cs="Times New Roman"/>
        </w:rPr>
        <w:t>The results behind the key findings are shown below: the shipped models against the simple baselines on the same split, and the stability of the three trainers across five see</w:t>
      </w:r>
      <w:r>
        <w:rPr>
          <w:rFonts w:cs="Times New Roman"/>
        </w:rPr>
        <w:t>ds.</w:t>
      </w:r>
    </w:p>
    <w:p w:rsidR="00733DB8" w:rsidRDefault="00A4670C">
      <w:pPr>
        <w:keepNext/>
        <w:spacing w:after="80" w:line="240" w:lineRule="auto"/>
        <w:jc w:val="center"/>
      </w:pPr>
      <w:r>
        <w:rPr>
          <w:noProof/>
        </w:rPr>
        <w:drawing>
          <wp:inline distT="0" distB="0" distL="0" distR="0">
            <wp:extent cx="5120640" cy="1779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baseline_comparison.png"/>
                    <pic:cNvPicPr/>
                  </pic:nvPicPr>
                  <pic:blipFill>
                    <a:blip r:embed="rId8"/>
                    <a:stretch>
                      <a:fillRect/>
                    </a:stretch>
                  </pic:blipFill>
                  <pic:spPr>
                    <a:xfrm>
                      <a:off x="0" y="0"/>
                      <a:ext cx="5120640" cy="1779595"/>
                    </a:xfrm>
                    <a:prstGeom prst="rect">
                      <a:avLst/>
                    </a:prstGeom>
                  </pic:spPr>
                </pic:pic>
              </a:graphicData>
            </a:graphic>
          </wp:inline>
        </w:drawing>
      </w:r>
    </w:p>
    <w:p w:rsidR="00733DB8" w:rsidRDefault="00A4670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F1 of the three RBM trainers and the ensemble against logistic regression, random forest and XGBoost.</w:t>
      </w:r>
    </w:p>
    <w:p w:rsidR="00733DB8" w:rsidRDefault="00A4670C">
      <w:pPr>
        <w:keepNext/>
        <w:spacing w:after="80" w:line="240" w:lineRule="auto"/>
        <w:jc w:val="center"/>
      </w:pPr>
      <w:r>
        <w:rPr>
          <w:noProof/>
        </w:rPr>
        <w:drawing>
          <wp:inline distT="0" distB="0" distL="0" distR="0">
            <wp:extent cx="4754880" cy="19693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eed_study.png"/>
                    <pic:cNvPicPr/>
                  </pic:nvPicPr>
                  <pic:blipFill>
                    <a:blip r:embed="rId9"/>
                    <a:stretch>
                      <a:fillRect/>
                    </a:stretch>
                  </pic:blipFill>
                  <pic:spPr>
                    <a:xfrm>
                      <a:off x="0" y="0"/>
                      <a:ext cx="4754880" cy="1969397"/>
                    </a:xfrm>
                    <a:prstGeom prst="rect">
                      <a:avLst/>
                    </a:prstGeom>
                  </pic:spPr>
                </pic:pic>
              </a:graphicData>
            </a:graphic>
          </wp:inline>
        </w:drawing>
      </w:r>
    </w:p>
    <w:p w:rsidR="00733DB8" w:rsidRDefault="00A4670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Stability of the three trainers over five seeds: PCD is unstable, SAS is ste</w:t>
      </w:r>
      <w:r>
        <w:rPr>
          <w:rFonts w:cs="Times New Roman"/>
        </w:rPr>
        <w:t>ady.</w:t>
      </w:r>
    </w:p>
    <w:p w:rsidR="00733DB8" w:rsidRDefault="00A4670C">
      <w:pPr>
        <w:pStyle w:val="Heading1"/>
        <w:pageBreakBefore/>
      </w:pPr>
      <w:r>
        <w:lastRenderedPageBreak/>
        <w:t>2. FUTURE SCOPE</w:t>
      </w:r>
    </w:p>
    <w:p w:rsidR="00733DB8" w:rsidRDefault="00A4670C">
      <w:pPr>
        <w:pStyle w:val="Heading2"/>
      </w:pPr>
      <w:r>
        <w:t>2.1 Improvements to the existing system</w:t>
      </w:r>
    </w:p>
    <w:p w:rsidR="00733DB8" w:rsidRDefault="00A4670C">
      <w:pPr>
        <w:spacing w:after="60"/>
        <w:ind w:left="720" w:hanging="432"/>
      </w:pPr>
      <w:r>
        <w:rPr>
          <w:rFonts w:cs="Times New Roman"/>
        </w:rPr>
        <w:t xml:space="preserve">1.  </w:t>
      </w:r>
      <w:r>
        <w:rPr>
          <w:rFonts w:cs="Times New Roman"/>
          <w:b/>
        </w:rPr>
        <w:t>Fix the scaling defect and add a regression test.</w:t>
      </w:r>
      <w:r>
        <w:rPr>
          <w:rFonts w:cs="Times New Roman"/>
        </w:rPr>
        <w:t xml:space="preserve"> Transform with all columns of </w:t>
      </w:r>
      <w:r>
        <w:rPr>
          <w:rFonts w:ascii="Consolas" w:eastAsia="Consolas" w:hAnsi="Consolas" w:cs="Consolas"/>
          <w:sz w:val="21"/>
        </w:rPr>
        <w:t>scaler.feature_names_in_</w:t>
      </w:r>
      <w:r>
        <w:rPr>
          <w:rFonts w:cs="Times New Roman"/>
        </w:rPr>
        <w:t xml:space="preserve"> before selecting features, remove the bare </w:t>
      </w:r>
      <w:r>
        <w:rPr>
          <w:rFonts w:ascii="Consolas" w:eastAsia="Consolas" w:hAnsi="Consolas" w:cs="Consolas"/>
          <w:sz w:val="21"/>
        </w:rPr>
        <w:t>except</w:t>
      </w:r>
      <w:r>
        <w:rPr>
          <w:rFonts w:cs="Times New Roman"/>
        </w:rPr>
        <w:t>, and compare served probabilities wi</w:t>
      </w:r>
      <w:r>
        <w:rPr>
          <w:rFonts w:cs="Times New Roman"/>
        </w:rPr>
        <w:t>th offline ones in a test that fails if they differ (served accuracy is 50.2% today).</w:t>
      </w:r>
    </w:p>
    <w:p w:rsidR="00733DB8" w:rsidRDefault="00A4670C">
      <w:pPr>
        <w:spacing w:after="60"/>
        <w:ind w:left="720" w:hanging="432"/>
      </w:pPr>
      <w:r>
        <w:rPr>
          <w:rFonts w:cs="Times New Roman"/>
        </w:rPr>
        <w:t xml:space="preserve">2.  </w:t>
      </w:r>
      <w:r>
        <w:rPr>
          <w:rFonts w:cs="Times New Roman"/>
          <w:b/>
        </w:rPr>
        <w:t>Choose the threshold on validation data.</w:t>
      </w:r>
      <w:r>
        <w:rPr>
          <w:rFonts w:cs="Times New Roman"/>
        </w:rPr>
        <w:t xml:space="preserve"> Split the data three ways, pick the operating point on the validation part for the cost of a miss against a false alarm, and </w:t>
      </w:r>
      <w:r>
        <w:rPr>
          <w:rFonts w:cs="Times New Roman"/>
        </w:rPr>
        <w:t>calibrate the PCD output (for example with isotonic regression).</w:t>
      </w:r>
    </w:p>
    <w:p w:rsidR="00733DB8" w:rsidRDefault="00A4670C">
      <w:pPr>
        <w:spacing w:after="60"/>
        <w:ind w:left="720" w:hanging="432"/>
      </w:pPr>
      <w:r>
        <w:rPr>
          <w:rFonts w:cs="Times New Roman"/>
        </w:rPr>
        <w:t xml:space="preserve">3.  </w:t>
      </w:r>
      <w:r>
        <w:rPr>
          <w:rFonts w:cs="Times New Roman"/>
          <w:b/>
        </w:rPr>
        <w:t>Remove the evaluation leaks.</w:t>
      </w:r>
      <w:r>
        <w:rPr>
          <w:rFonts w:cs="Times New Roman"/>
        </w:rPr>
        <w:t xml:space="preserve"> Split first, then scale, resample and select features on the training part only, and report final-epoch or validation-selected figures only.</w:t>
      </w:r>
    </w:p>
    <w:p w:rsidR="00733DB8" w:rsidRDefault="00A4670C">
      <w:pPr>
        <w:spacing w:after="60"/>
        <w:ind w:left="720" w:hanging="432"/>
      </w:pPr>
      <w:r>
        <w:rPr>
          <w:rFonts w:cs="Times New Roman"/>
        </w:rPr>
        <w:t xml:space="preserve">4.  </w:t>
      </w:r>
      <w:r>
        <w:rPr>
          <w:rFonts w:cs="Times New Roman"/>
          <w:b/>
        </w:rPr>
        <w:t xml:space="preserve">Make the </w:t>
      </w:r>
      <w:r>
        <w:rPr>
          <w:rFonts w:cs="Times New Roman"/>
          <w:b/>
        </w:rPr>
        <w:t>training reproducible and stable.</w:t>
      </w:r>
      <w:r>
        <w:rPr>
          <w:rFonts w:cs="Times New Roman"/>
        </w:rPr>
        <w:t xml:space="preserve"> Search the hyper-parameters, average several seeds or use early stopping on a validation split, and report the spread.</w:t>
      </w:r>
    </w:p>
    <w:p w:rsidR="00733DB8" w:rsidRDefault="00A4670C">
      <w:r>
        <w:rPr>
          <w:rFonts w:cs="Times New Roman"/>
        </w:rPr>
        <w:t>Fixing the scaling defect is the single most valuable change, and its effect is already measured offlin</w:t>
      </w:r>
      <w:r>
        <w:rPr>
          <w:rFonts w:cs="Times New Roman"/>
        </w:rPr>
        <w:t>e: with the scaler applied, ensemble accuracy on a fresh batch is 94.8% and false positives fall from 995 to 26. A regression test would send the bundled sample file through the running API and through the offline pipeline and assert that the two probabili</w:t>
      </w:r>
      <w:r>
        <w:rPr>
          <w:rFonts w:cs="Times New Roman"/>
        </w:rPr>
        <w:t>ty vectors agree within a tolerance; because it compares by column name, it would also catch a future change of feature order.</w:t>
      </w:r>
    </w:p>
    <w:p w:rsidR="00733DB8" w:rsidRDefault="00A4670C">
      <w:r>
        <w:rPr>
          <w:rFonts w:cs="Times New Roman"/>
        </w:rPr>
        <w:t>The threshold work needs care. In the sweep with steps of 0.05 the ensemble gives F1 94.5% at 0.5 but precision 99.8% with recall</w:t>
      </w:r>
      <w:r>
        <w:rPr>
          <w:rFonts w:cs="Times New Roman"/>
        </w:rPr>
        <w:t xml:space="preserve"> only 67.5% at 0.6, and the PCD model flags everything up to 0.5 and nothing from 0.6, so its probabilities are bunched in a very narrow band. A finer search on a validation split, or a monotone calibration such as isotonic regression, is needed before any</w:t>
      </w:r>
      <w:r>
        <w:rPr>
          <w:rFonts w:cs="Times New Roman"/>
        </w:rPr>
        <w:t xml:space="preserve"> threshold can be called tuned.</w:t>
      </w:r>
    </w:p>
    <w:p w:rsidR="00733DB8" w:rsidRDefault="00A4670C">
      <w:r>
        <w:rPr>
          <w:rFonts w:cs="Times New Roman"/>
        </w:rPr>
        <w:t>These four items are listed in order of priority. The first removes a known defect, the second and third make the reported figures trustworthy, and the fourth makes them repeatable. Together they would turn the prototype int</w:t>
      </w:r>
      <w:r>
        <w:rPr>
          <w:rFonts w:cs="Times New Roman"/>
        </w:rPr>
        <w:t>o a system whose numbers can be defended.</w:t>
      </w:r>
    </w:p>
    <w:p w:rsidR="00733DB8" w:rsidRDefault="00A4670C">
      <w:pPr>
        <w:pStyle w:val="Heading2"/>
      </w:pPr>
      <w:r>
        <w:lastRenderedPageBreak/>
        <w:t>2.2 Additional features</w:t>
      </w:r>
    </w:p>
    <w:p w:rsidR="00733DB8" w:rsidRDefault="00A4670C">
      <w:pPr>
        <w:spacing w:after="60"/>
        <w:ind w:left="720" w:hanging="360"/>
      </w:pPr>
      <w:r>
        <w:rPr>
          <w:rFonts w:cs="Times New Roman"/>
        </w:rPr>
        <w:t>•  Real-data pilot with a partner's anonymised transactions, with a held-out time period instead of a random split.</w:t>
      </w:r>
    </w:p>
    <w:p w:rsidR="00733DB8" w:rsidRDefault="00A4670C">
      <w:pPr>
        <w:spacing w:after="60"/>
        <w:ind w:left="720" w:hanging="360"/>
      </w:pPr>
      <w:r>
        <w:rPr>
          <w:rFonts w:cs="Times New Roman"/>
        </w:rPr>
        <w:t xml:space="preserve">•  A gradient-boosting champion model beside the RBMs: XGBoost reaches F1 </w:t>
      </w:r>
      <w:r>
        <w:rPr>
          <w:rFonts w:cs="Times New Roman"/>
        </w:rPr>
        <w:t>96.5% here and trains in a fraction of a second, so it is the obvious reference for any RBM claim.</w:t>
      </w:r>
    </w:p>
    <w:p w:rsidR="00733DB8" w:rsidRDefault="00A4670C">
      <w:pPr>
        <w:spacing w:after="60"/>
        <w:ind w:left="720" w:hanging="360"/>
      </w:pPr>
      <w:r>
        <w:rPr>
          <w:rFonts w:cs="Times New Roman"/>
        </w:rPr>
        <w:t>•  Cost-sensitive decisions and an alert budget, so the three actions reflect money and analyst capacity rather than fixed 0.4 and 0.7 cut-offs.</w:t>
      </w:r>
    </w:p>
    <w:p w:rsidR="00733DB8" w:rsidRDefault="00A4670C">
      <w:pPr>
        <w:spacing w:after="60"/>
        <w:ind w:left="720" w:hanging="360"/>
      </w:pPr>
      <w:r>
        <w:rPr>
          <w:rFonts w:cs="Times New Roman"/>
        </w:rPr>
        <w:t>•  Explanati</w:t>
      </w:r>
      <w:r>
        <w:rPr>
          <w:rFonts w:cs="Times New Roman"/>
        </w:rPr>
        <w:t>ons for each decision (feature contributions for the single check), and storage of every prediction for audit.</w:t>
      </w:r>
    </w:p>
    <w:p w:rsidR="00733DB8" w:rsidRDefault="00A4670C">
      <w:pPr>
        <w:spacing w:after="60"/>
        <w:ind w:left="720" w:hanging="360"/>
      </w:pPr>
      <w:r>
        <w:rPr>
          <w:rFonts w:cs="Times New Roman"/>
        </w:rPr>
        <w:t>•  A model-monitoring screen with drift statistics and a scheduled retraining job.</w:t>
      </w:r>
    </w:p>
    <w:p w:rsidR="00733DB8" w:rsidRDefault="00A4670C">
      <w:r>
        <w:rPr>
          <w:rFonts w:cs="Times New Roman"/>
        </w:rPr>
        <w:t>Of these, the gradient-boosting champion and the cost-sensitiv</w:t>
      </w:r>
      <w:r>
        <w:rPr>
          <w:rFonts w:cs="Times New Roman"/>
        </w:rPr>
        <w:t>e decision layer matter most. The first gives a fair yardstick for every other model; the second turns a probability into an action in a way a business can reason about, for example by flagging the highest-risk transactions up to a daily review budget of a</w:t>
      </w:r>
      <w:r>
        <w:rPr>
          <w:rFonts w:cs="Times New Roman"/>
        </w:rPr>
        <w:t>nalysts' time.</w:t>
      </w:r>
    </w:p>
    <w:p w:rsidR="00733DB8" w:rsidRDefault="00A4670C">
      <w:r>
        <w:rPr>
          <w:rFonts w:cs="Times New Roman"/>
        </w:rPr>
        <w:t>Explanations deserve a concrete design. For an RBM classifier the free-energy difference between the fraud and legitimate hypotheses can be split into per-feature contributions, so the single-check screen could show which of the 18 inputs pu</w:t>
      </w:r>
      <w:r>
        <w:rPr>
          <w:rFonts w:cs="Times New Roman"/>
        </w:rPr>
        <w:t>shed the score up. Storing every prediction with its inputs, model version and later label is also the precondition for monitoring and retraining.</w:t>
      </w:r>
    </w:p>
    <w:p w:rsidR="00733DB8" w:rsidRDefault="00A4670C">
      <w:pPr>
        <w:pStyle w:val="Heading2"/>
      </w:pPr>
      <w:r>
        <w:t>2.3 Scalability and deployment</w:t>
      </w:r>
    </w:p>
    <w:p w:rsidR="00733DB8" w:rsidRDefault="00A4670C">
      <w:pPr>
        <w:spacing w:after="60"/>
        <w:ind w:left="720" w:hanging="360"/>
      </w:pPr>
      <w:r>
        <w:rPr>
          <w:rFonts w:cs="Times New Roman"/>
        </w:rPr>
        <w:t>•  Replace the Flask development server with a production server behind HTTPS,</w:t>
      </w:r>
      <w:r>
        <w:rPr>
          <w:rFonts w:cs="Times New Roman"/>
        </w:rPr>
        <w:t xml:space="preserve"> with authentication and role-based access (analyst and administrator).</w:t>
      </w:r>
    </w:p>
    <w:p w:rsidR="00733DB8" w:rsidRDefault="00A4670C">
      <w:pPr>
        <w:spacing w:after="60"/>
        <w:ind w:left="720" w:hanging="360"/>
      </w:pPr>
      <w:r>
        <w:rPr>
          <w:rFonts w:cs="Times New Roman"/>
        </w:rPr>
        <w:t>•  Containerise the API and the web build with Docker, read configuration from the environment and move model files to versioned storage.</w:t>
      </w:r>
    </w:p>
    <w:p w:rsidR="00733DB8" w:rsidRDefault="00A4670C">
      <w:pPr>
        <w:spacing w:after="60"/>
        <w:ind w:left="720" w:hanging="360"/>
      </w:pPr>
      <w:r>
        <w:rPr>
          <w:rFonts w:cs="Times New Roman"/>
        </w:rPr>
        <w:t>•  Keep predictions and model versions in a da</w:t>
      </w:r>
      <w:r>
        <w:rPr>
          <w:rFonts w:cs="Times New Roman"/>
        </w:rPr>
        <w:t>tabase instead of CSV and pickle files, and make the batch route write per-request files.</w:t>
      </w:r>
    </w:p>
    <w:p w:rsidR="00733DB8" w:rsidRDefault="00A4670C">
      <w:pPr>
        <w:spacing w:after="60"/>
        <w:ind w:left="720" w:hanging="360"/>
      </w:pPr>
      <w:r>
        <w:rPr>
          <w:rFonts w:cs="Times New Roman"/>
        </w:rPr>
        <w:t>•  Vectorise scoring for batches (it already is) and load-test with concurrent clients; the measured median of 17 ms per check is for one client.</w:t>
      </w:r>
    </w:p>
    <w:p w:rsidR="00733DB8" w:rsidRDefault="00A4670C">
      <w:r>
        <w:rPr>
          <w:rFonts w:cs="Times New Roman"/>
        </w:rPr>
        <w:t>A realistic target d</w:t>
      </w:r>
      <w:r>
        <w:rPr>
          <w:rFonts w:cs="Times New Roman"/>
        </w:rPr>
        <w:t xml:space="preserve">eployment is a containerised API behind a reverse proxy with HTTPS, a managed relational database for predictions, labels and model versions, a scheduled job </w:t>
      </w:r>
      <w:r>
        <w:rPr>
          <w:rFonts w:cs="Times New Roman"/>
        </w:rPr>
        <w:lastRenderedPageBreak/>
        <w:t xml:space="preserve">that retrains and evaluates a candidate model on the latest labelled period, and a promotion step </w:t>
      </w:r>
      <w:r>
        <w:rPr>
          <w:rFonts w:cs="Times New Roman"/>
        </w:rPr>
        <w:t xml:space="preserve">that replaces the serving model only when the candidate beats it on a held-out later period. The present models are small matrix products, so a single process is plausibly enough for a prototype, but throughput under load was not measured and would depend </w:t>
      </w:r>
      <w:r>
        <w:rPr>
          <w:rFonts w:cs="Times New Roman"/>
        </w:rPr>
        <w:t>on feature construction and I/O.</w:t>
      </w:r>
    </w:p>
    <w:p w:rsidR="00733DB8" w:rsidRDefault="00A4670C">
      <w:r>
        <w:rPr>
          <w:rFonts w:cs="Times New Roman"/>
        </w:rPr>
        <w:t>One open question in the present results can be tested cheaply. The classical trainer uses batches of 512 rows, so about 13 updates per epoch on 6,400 training rows, while the annealing trainers use batches of 32 over a 3,0</w:t>
      </w:r>
      <w:r>
        <w:rPr>
          <w:rFonts w:cs="Times New Roman"/>
        </w:rPr>
        <w:t>00-row subsample, about 94 updates per epoch. The instability of PCD (F1 69.2 +/- 23.1 over five seeds) may therefore come from too few updates under a decaying learning rate rather than from the sampler. We have not tested this; a sweep over batch size an</w:t>
      </w:r>
      <w:r>
        <w:rPr>
          <w:rFonts w:cs="Times New Roman"/>
        </w:rPr>
        <w:t>d learning rate would settle it.</w:t>
      </w:r>
    </w:p>
    <w:p w:rsidR="00733DB8" w:rsidRDefault="00A4670C">
      <w:r>
        <w:rPr>
          <w:rFonts w:cs="Times New Roman"/>
        </w:rPr>
        <w:t xml:space="preserve">An evaluation protocol for any later study should be fixed in advance: a time-ordered split so that the test period follows the training period, scaling and resampling fitted on the training part only, thresholds chosen on </w:t>
      </w:r>
      <w:r>
        <w:rPr>
          <w:rFonts w:cs="Times New Roman"/>
        </w:rPr>
        <w:t xml:space="preserve">a validation period, and results reported as precision at a fixed alert budget, recall at a fixed false-positive rate and AUPRC, with the spread over several seeds. Such a protocol makes the numbers comparable with the base paper's successors and with the </w:t>
      </w:r>
      <w:r>
        <w:rPr>
          <w:rFonts w:cs="Times New Roman"/>
        </w:rPr>
        <w:t>literature on real card data.</w:t>
      </w:r>
    </w:p>
    <w:p w:rsidR="00733DB8" w:rsidRDefault="00A4670C">
      <w:pPr>
        <w:pStyle w:val="Heading2"/>
      </w:pPr>
      <w:r>
        <w:t>2.4 Further research</w:t>
      </w:r>
    </w:p>
    <w:p w:rsidR="00733DB8" w:rsidRDefault="00A4670C">
      <w:pPr>
        <w:spacing w:after="60"/>
        <w:ind w:left="720" w:hanging="360"/>
      </w:pPr>
      <w:r>
        <w:rPr>
          <w:rFonts w:cs="Times New Roman"/>
        </w:rPr>
        <w:t xml:space="preserve">•  Replace the simplified samplers with a faithful path-integral simulated-annealing sampler, and obtain cloud access to a quantum annealer to test whether the effects reported in the base paper appear on </w:t>
      </w:r>
      <w:r>
        <w:rPr>
          <w:rFonts w:cs="Times New Roman"/>
        </w:rPr>
        <w:t>real hardware.</w:t>
      </w:r>
    </w:p>
    <w:p w:rsidR="00733DB8" w:rsidRDefault="00A4670C">
      <w:pPr>
        <w:spacing w:after="60"/>
        <w:ind w:left="720" w:hanging="360"/>
      </w:pPr>
      <w:r>
        <w:rPr>
          <w:rFonts w:cs="Times New Roman"/>
        </w:rPr>
        <w:t>•  Study the Gaussian-Bernoulli RBM with learned variances and with a binary expansion of the visible units, as the paper's QUBO formulation requires.</w:t>
      </w:r>
    </w:p>
    <w:p w:rsidR="00733DB8" w:rsidRDefault="00A4670C">
      <w:pPr>
        <w:spacing w:after="60"/>
        <w:ind w:left="720" w:hanging="360"/>
      </w:pPr>
      <w:r>
        <w:rPr>
          <w:rFonts w:cs="Times New Roman"/>
        </w:rPr>
        <w:t xml:space="preserve">•  Compare the RBM classifier with a deep belief network, as the paper proposes as future </w:t>
      </w:r>
      <w:r>
        <w:rPr>
          <w:rFonts w:cs="Times New Roman"/>
        </w:rPr>
        <w:t>work, and with tabular deep models.</w:t>
      </w:r>
    </w:p>
    <w:p w:rsidR="00733DB8" w:rsidRDefault="00A4670C">
      <w:pPr>
        <w:spacing w:after="60"/>
        <w:ind w:left="720" w:hanging="360"/>
      </w:pPr>
      <w:r>
        <w:rPr>
          <w:rFonts w:cs="Times New Roman"/>
        </w:rPr>
        <w:t>•  Evaluate on public benchmarks with realistic imbalance, reporting AUPRC and cost curves as recommended for rare-event problems [16], [34].</w:t>
      </w:r>
    </w:p>
    <w:p w:rsidR="00733DB8" w:rsidRDefault="00A4670C">
      <w:pPr>
        <w:pStyle w:val="Heading2"/>
      </w:pPr>
      <w:r>
        <w:t>2.5 Suggested roadmap</w:t>
      </w:r>
    </w:p>
    <w:p w:rsidR="00733DB8" w:rsidRDefault="00A4670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Roadmap from prototype </w:t>
      </w:r>
      <w:r>
        <w:rPr>
          <w:rFonts w:cs="Times New Roman"/>
        </w:rPr>
        <w:t>to pilot</w:t>
      </w:r>
    </w:p>
    <w:tbl>
      <w:tblPr>
        <w:tblStyle w:val="TableGrid"/>
        <w:tblW w:w="0" w:type="auto"/>
        <w:jc w:val="center"/>
        <w:tblLook w:val="04A0" w:firstRow="1" w:lastRow="0" w:firstColumn="1" w:lastColumn="0" w:noHBand="0" w:noVBand="1"/>
      </w:tblPr>
      <w:tblGrid>
        <w:gridCol w:w="1416"/>
        <w:gridCol w:w="4520"/>
        <w:gridCol w:w="2946"/>
      </w:tblGrid>
      <w:tr w:rsidR="00733DB8">
        <w:trPr>
          <w:cantSplit/>
          <w:tblHeader/>
          <w:jc w:val="center"/>
        </w:trPr>
        <w:tc>
          <w:tcPr>
            <w:tcW w:w="1440" w:type="dxa"/>
            <w:shd w:val="clear" w:color="auto" w:fill="1B2A41"/>
          </w:tcPr>
          <w:p w:rsidR="00733DB8" w:rsidRDefault="00A4670C">
            <w:pPr>
              <w:spacing w:after="40" w:line="240" w:lineRule="auto"/>
              <w:jc w:val="center"/>
            </w:pPr>
            <w:r>
              <w:rPr>
                <w:rFonts w:cs="Times New Roman"/>
                <w:b/>
                <w:color w:val="FFFFFF"/>
                <w:sz w:val="19"/>
              </w:rPr>
              <w:t>Phase</w:t>
            </w:r>
          </w:p>
        </w:tc>
        <w:tc>
          <w:tcPr>
            <w:tcW w:w="4608" w:type="dxa"/>
            <w:shd w:val="clear" w:color="auto" w:fill="1B2A41"/>
          </w:tcPr>
          <w:p w:rsidR="00733DB8" w:rsidRDefault="00A4670C">
            <w:pPr>
              <w:spacing w:after="40" w:line="240" w:lineRule="auto"/>
              <w:jc w:val="center"/>
            </w:pPr>
            <w:r>
              <w:rPr>
                <w:rFonts w:cs="Times New Roman"/>
                <w:b/>
                <w:color w:val="FFFFFF"/>
                <w:sz w:val="19"/>
              </w:rPr>
              <w:t>Work</w:t>
            </w:r>
          </w:p>
        </w:tc>
        <w:tc>
          <w:tcPr>
            <w:tcW w:w="3024" w:type="dxa"/>
            <w:shd w:val="clear" w:color="auto" w:fill="1B2A41"/>
          </w:tcPr>
          <w:p w:rsidR="00733DB8" w:rsidRDefault="00A4670C">
            <w:pPr>
              <w:spacing w:after="40" w:line="240" w:lineRule="auto"/>
              <w:jc w:val="center"/>
            </w:pPr>
            <w:r>
              <w:rPr>
                <w:rFonts w:cs="Times New Roman"/>
                <w:b/>
                <w:color w:val="FFFFFF"/>
                <w:sz w:val="19"/>
              </w:rPr>
              <w:t>Evidence of success</w:t>
            </w:r>
          </w:p>
        </w:tc>
      </w:tr>
      <w:tr w:rsidR="00733DB8">
        <w:trPr>
          <w:cantSplit/>
          <w:jc w:val="center"/>
        </w:trPr>
        <w:tc>
          <w:tcPr>
            <w:tcW w:w="1440" w:type="dxa"/>
          </w:tcPr>
          <w:p w:rsidR="00733DB8" w:rsidRDefault="00A4670C">
            <w:pPr>
              <w:spacing w:after="40" w:line="240" w:lineRule="auto"/>
              <w:jc w:val="left"/>
            </w:pPr>
            <w:r>
              <w:rPr>
                <w:rFonts w:cs="Times New Roman"/>
                <w:sz w:val="19"/>
              </w:rPr>
              <w:lastRenderedPageBreak/>
              <w:t>1. Repair</w:t>
            </w:r>
          </w:p>
        </w:tc>
        <w:tc>
          <w:tcPr>
            <w:tcW w:w="4608" w:type="dxa"/>
          </w:tcPr>
          <w:p w:rsidR="00733DB8" w:rsidRDefault="00A4670C">
            <w:pPr>
              <w:spacing w:after="40" w:line="240" w:lineRule="auto"/>
              <w:jc w:val="left"/>
            </w:pPr>
            <w:r>
              <w:rPr>
                <w:rFonts w:cs="Times New Roman"/>
                <w:sz w:val="19"/>
              </w:rPr>
              <w:t>Fix scaling, remove bare exceptions, add the regression test, split before selecting features</w:t>
            </w:r>
          </w:p>
        </w:tc>
        <w:tc>
          <w:tcPr>
            <w:tcW w:w="3024" w:type="dxa"/>
          </w:tcPr>
          <w:p w:rsidR="00733DB8" w:rsidRDefault="00A4670C">
            <w:pPr>
              <w:spacing w:after="40" w:line="240" w:lineRule="auto"/>
              <w:jc w:val="left"/>
            </w:pPr>
            <w:r>
              <w:rPr>
                <w:rFonts w:cs="Times New Roman"/>
                <w:sz w:val="19"/>
              </w:rPr>
              <w:t>Served and offline probabilities agree; test passes in continuous integration</w:t>
            </w:r>
          </w:p>
        </w:tc>
      </w:tr>
      <w:tr w:rsidR="00733DB8">
        <w:trPr>
          <w:cantSplit/>
          <w:jc w:val="center"/>
        </w:trPr>
        <w:tc>
          <w:tcPr>
            <w:tcW w:w="1440" w:type="dxa"/>
          </w:tcPr>
          <w:p w:rsidR="00733DB8" w:rsidRDefault="00A4670C">
            <w:pPr>
              <w:spacing w:after="40" w:line="240" w:lineRule="auto"/>
              <w:jc w:val="left"/>
            </w:pPr>
            <w:r>
              <w:rPr>
                <w:rFonts w:cs="Times New Roman"/>
                <w:sz w:val="19"/>
              </w:rPr>
              <w:t>2. Re-measure</w:t>
            </w:r>
          </w:p>
        </w:tc>
        <w:tc>
          <w:tcPr>
            <w:tcW w:w="4608" w:type="dxa"/>
          </w:tcPr>
          <w:p w:rsidR="00733DB8" w:rsidRDefault="00A4670C">
            <w:pPr>
              <w:spacing w:after="40" w:line="240" w:lineRule="auto"/>
              <w:jc w:val="left"/>
            </w:pPr>
            <w:r>
              <w:rPr>
                <w:rFonts w:cs="Times New Roman"/>
                <w:sz w:val="19"/>
              </w:rPr>
              <w:t xml:space="preserve">Rerun </w:t>
            </w:r>
            <w:r>
              <w:rPr>
                <w:rFonts w:ascii="Consolas" w:eastAsia="Consolas" w:hAnsi="Consolas" w:cs="Consolas"/>
                <w:sz w:val="16"/>
              </w:rPr>
              <w:t>scripts/run_experiments.py</w:t>
            </w:r>
            <w:r>
              <w:rPr>
                <w:rFonts w:cs="Times New Roman"/>
                <w:sz w:val="19"/>
              </w:rPr>
              <w:t xml:space="preserve"> with validation-selected thresholds and final-epoch reporting; add the cost-sensitive layer</w:t>
            </w:r>
          </w:p>
        </w:tc>
        <w:tc>
          <w:tcPr>
            <w:tcW w:w="3024" w:type="dxa"/>
          </w:tcPr>
          <w:p w:rsidR="00733DB8" w:rsidRDefault="00A4670C">
            <w:pPr>
              <w:spacing w:after="40" w:line="240" w:lineRule="auto"/>
              <w:jc w:val="left"/>
            </w:pPr>
            <w:r>
              <w:rPr>
                <w:rFonts w:cs="Times New Roman"/>
                <w:sz w:val="19"/>
              </w:rPr>
              <w:t>Updated tables in the report; a stated cost assumption</w:t>
            </w:r>
          </w:p>
        </w:tc>
      </w:tr>
      <w:tr w:rsidR="00733DB8">
        <w:trPr>
          <w:cantSplit/>
          <w:jc w:val="center"/>
        </w:trPr>
        <w:tc>
          <w:tcPr>
            <w:tcW w:w="1440" w:type="dxa"/>
          </w:tcPr>
          <w:p w:rsidR="00733DB8" w:rsidRDefault="00A4670C">
            <w:pPr>
              <w:spacing w:after="40" w:line="240" w:lineRule="auto"/>
              <w:jc w:val="left"/>
            </w:pPr>
            <w:r>
              <w:rPr>
                <w:rFonts w:cs="Times New Roman"/>
                <w:sz w:val="19"/>
              </w:rPr>
              <w:t>3. Harden</w:t>
            </w:r>
          </w:p>
        </w:tc>
        <w:tc>
          <w:tcPr>
            <w:tcW w:w="4608" w:type="dxa"/>
          </w:tcPr>
          <w:p w:rsidR="00733DB8" w:rsidRDefault="00A4670C">
            <w:pPr>
              <w:spacing w:after="40" w:line="240" w:lineRule="auto"/>
              <w:jc w:val="left"/>
            </w:pPr>
            <w:r>
              <w:rPr>
                <w:rFonts w:cs="Times New Roman"/>
                <w:sz w:val="19"/>
              </w:rPr>
              <w:t xml:space="preserve">Authentication, HTTPS, production server, containers, stored </w:t>
            </w:r>
            <w:r>
              <w:rPr>
                <w:rFonts w:cs="Times New Roman"/>
                <w:sz w:val="19"/>
              </w:rPr>
              <w:t>predictions</w:t>
            </w:r>
          </w:p>
        </w:tc>
        <w:tc>
          <w:tcPr>
            <w:tcW w:w="3024" w:type="dxa"/>
          </w:tcPr>
          <w:p w:rsidR="00733DB8" w:rsidRDefault="00A4670C">
            <w:pPr>
              <w:spacing w:after="40" w:line="240" w:lineRule="auto"/>
              <w:jc w:val="left"/>
            </w:pPr>
            <w:r>
              <w:rPr>
                <w:rFonts w:cs="Times New Roman"/>
                <w:sz w:val="19"/>
              </w:rPr>
              <w:t>Security checklist passed; deployment from a clean machine</w:t>
            </w:r>
          </w:p>
        </w:tc>
      </w:tr>
      <w:tr w:rsidR="00733DB8">
        <w:trPr>
          <w:cantSplit/>
          <w:jc w:val="center"/>
        </w:trPr>
        <w:tc>
          <w:tcPr>
            <w:tcW w:w="1440" w:type="dxa"/>
          </w:tcPr>
          <w:p w:rsidR="00733DB8" w:rsidRDefault="00A4670C">
            <w:pPr>
              <w:spacing w:after="40" w:line="240" w:lineRule="auto"/>
              <w:jc w:val="left"/>
            </w:pPr>
            <w:r>
              <w:rPr>
                <w:rFonts w:cs="Times New Roman"/>
                <w:sz w:val="19"/>
              </w:rPr>
              <w:t>4. Pilot</w:t>
            </w:r>
          </w:p>
        </w:tc>
        <w:tc>
          <w:tcPr>
            <w:tcW w:w="4608" w:type="dxa"/>
          </w:tcPr>
          <w:p w:rsidR="00733DB8" w:rsidRDefault="00A4670C">
            <w:pPr>
              <w:spacing w:after="40" w:line="240" w:lineRule="auto"/>
              <w:jc w:val="left"/>
            </w:pPr>
            <w:r>
              <w:rPr>
                <w:rFonts w:cs="Times New Roman"/>
                <w:sz w:val="19"/>
              </w:rPr>
              <w:t>Score a partner's anonymised, time-ordered transactions; compare RBM, XGBoost and rules at a fixed alert budget</w:t>
            </w:r>
          </w:p>
        </w:tc>
        <w:tc>
          <w:tcPr>
            <w:tcW w:w="3024" w:type="dxa"/>
          </w:tcPr>
          <w:p w:rsidR="00733DB8" w:rsidRDefault="00A4670C">
            <w:pPr>
              <w:spacing w:after="40" w:line="240" w:lineRule="auto"/>
              <w:jc w:val="left"/>
            </w:pPr>
            <w:r>
              <w:rPr>
                <w:rFonts w:cs="Times New Roman"/>
                <w:sz w:val="19"/>
              </w:rPr>
              <w:t>Precision at the budget and recall measured on real data</w:t>
            </w:r>
          </w:p>
        </w:tc>
      </w:tr>
    </w:tbl>
    <w:p w:rsidR="00733DB8" w:rsidRDefault="00733DB8">
      <w:pPr>
        <w:spacing w:line="192" w:lineRule="auto"/>
      </w:pPr>
    </w:p>
    <w:p w:rsidR="00733DB8" w:rsidRDefault="00A4670C">
      <w:pPr>
        <w:pStyle w:val="Heading1"/>
        <w:pageBreakBefore/>
      </w:pPr>
      <w:r>
        <w:lastRenderedPageBreak/>
        <w:t>3. R</w:t>
      </w:r>
      <w:r>
        <w:t>EFERENCES</w:t>
      </w:r>
    </w:p>
    <w:p w:rsidR="00733DB8" w:rsidRDefault="00A4670C">
      <w:pPr>
        <w:spacing w:after="100" w:line="276" w:lineRule="auto"/>
        <w:ind w:left="648" w:hanging="648"/>
      </w:pPr>
      <w:r>
        <w:rPr>
          <w:rFonts w:cs="Times New Roman"/>
          <w:sz w:val="20"/>
        </w:rPr>
        <w:t xml:space="preserve">[1]  J. M. C. de Albuquerque Neto, G. C. do Amaral and G. P. Temporao, "Fraud detection in credit card transactions using quantum-assisted restricted Boltzmann machines," </w:t>
      </w:r>
      <w:r>
        <w:rPr>
          <w:rFonts w:cs="Times New Roman"/>
          <w:i/>
          <w:sz w:val="20"/>
        </w:rPr>
        <w:t>IEEE Access</w:t>
      </w:r>
      <w:r>
        <w:rPr>
          <w:rFonts w:cs="Times New Roman"/>
          <w:sz w:val="20"/>
        </w:rPr>
        <w:t>, vol. 14, pp. 62923-62932, 2026, doi: 10.1109/ACCESS.2026.36833</w:t>
      </w:r>
      <w:r>
        <w:rPr>
          <w:rFonts w:cs="Times New Roman"/>
          <w:sz w:val="20"/>
        </w:rPr>
        <w:t>08.</w:t>
      </w:r>
    </w:p>
    <w:p w:rsidR="00733DB8" w:rsidRDefault="00A4670C">
      <w:pPr>
        <w:spacing w:after="100" w:line="276" w:lineRule="auto"/>
        <w:ind w:left="648" w:hanging="648"/>
      </w:pPr>
      <w:r>
        <w:rPr>
          <w:rFonts w:cs="Times New Roman"/>
          <w:sz w:val="20"/>
        </w:rPr>
        <w:t>[2]  A. H. M. Aburbeian and H. I. Ashqar, "Credit card fraud detection using enhanced random forest classifier for imbalanced data," arXiv:2303.06514, Mar. 2023.</w:t>
      </w:r>
    </w:p>
    <w:p w:rsidR="00733DB8" w:rsidRDefault="00A4670C">
      <w:pPr>
        <w:spacing w:after="100" w:line="276" w:lineRule="auto"/>
        <w:ind w:left="648" w:hanging="648"/>
      </w:pPr>
      <w:r>
        <w:rPr>
          <w:rFonts w:cs="Times New Roman"/>
          <w:sz w:val="20"/>
        </w:rPr>
        <w:t>[3]  X. Han and C. Wu, "Validation-stage combinatorial fusion analysis for imbalanced cred</w:t>
      </w:r>
      <w:r>
        <w:rPr>
          <w:rFonts w:cs="Times New Roman"/>
          <w:sz w:val="20"/>
        </w:rPr>
        <w:t>it-card fraud detection," arXiv:2606.10393, Jun. 2026.</w:t>
      </w:r>
    </w:p>
    <w:p w:rsidR="00733DB8" w:rsidRDefault="00A4670C">
      <w:pPr>
        <w:spacing w:after="100" w:line="276" w:lineRule="auto"/>
        <w:ind w:left="648" w:hanging="648"/>
      </w:pPr>
      <w:r>
        <w:rPr>
          <w:rFonts w:cs="Times New Roman"/>
          <w:sz w:val="20"/>
        </w:rPr>
        <w:t xml:space="preserve">[4]  J. Shi, "Credit card fraud detection based on ANN and XGBoost," in </w:t>
      </w:r>
      <w:r>
        <w:rPr>
          <w:rFonts w:cs="Times New Roman"/>
          <w:i/>
          <w:sz w:val="20"/>
        </w:rPr>
        <w:t>Proc. 1st Int. Conf. E-commerce and Artificial Intelligence (ECAI)</w:t>
      </w:r>
      <w:r>
        <w:rPr>
          <w:rFonts w:cs="Times New Roman"/>
          <w:sz w:val="20"/>
        </w:rPr>
        <w:t>, SciTePress, 2024, pp. 195-199, doi: 10.5220/0013212700004568.</w:t>
      </w:r>
    </w:p>
    <w:p w:rsidR="00733DB8" w:rsidRDefault="00A4670C">
      <w:pPr>
        <w:spacing w:after="100" w:line="276" w:lineRule="auto"/>
        <w:ind w:left="648" w:hanging="648"/>
      </w:pPr>
      <w:r>
        <w:rPr>
          <w:rFonts w:cs="Times New Roman"/>
          <w:sz w:val="20"/>
        </w:rPr>
        <w:t xml:space="preserve">[5]  S. Bhattacharyya, S. Jha, K. Tharakunnel and J. C. Westland, "Data mining for credit card fraud: A comparative study," </w:t>
      </w:r>
      <w:r>
        <w:rPr>
          <w:rFonts w:cs="Times New Roman"/>
          <w:i/>
          <w:sz w:val="20"/>
        </w:rPr>
        <w:t>Decision Support Systems</w:t>
      </w:r>
      <w:r>
        <w:rPr>
          <w:rFonts w:cs="Times New Roman"/>
          <w:sz w:val="20"/>
        </w:rPr>
        <w:t>, vol. 50, no. 3, pp. 602-613, 2011.</w:t>
      </w:r>
    </w:p>
    <w:p w:rsidR="00733DB8" w:rsidRDefault="00A4670C">
      <w:pPr>
        <w:spacing w:after="100" w:line="276" w:lineRule="auto"/>
        <w:ind w:left="648" w:hanging="648"/>
      </w:pPr>
      <w:r>
        <w:rPr>
          <w:rFonts w:cs="Times New Roman"/>
          <w:sz w:val="20"/>
        </w:rPr>
        <w:t>[6]  A. Dal Pozzolo, G. Boracchi, O. Caelen, C. Alippi and G. Bontempi</w:t>
      </w:r>
      <w:r>
        <w:rPr>
          <w:rFonts w:cs="Times New Roman"/>
          <w:sz w:val="20"/>
        </w:rPr>
        <w:t xml:space="preserve">, "Credit card fraud detection: A realistic modeling and a novel learning strategy," </w:t>
      </w:r>
      <w:r>
        <w:rPr>
          <w:rFonts w:cs="Times New Roman"/>
          <w:i/>
          <w:sz w:val="20"/>
        </w:rPr>
        <w:t>IEEE Trans. Neural Netw. Learn. Syst.</w:t>
      </w:r>
      <w:r>
        <w:rPr>
          <w:rFonts w:cs="Times New Roman"/>
          <w:sz w:val="20"/>
        </w:rPr>
        <w:t>, vol. 29, no. 8, pp. 3784-3797, Aug. 2018.</w:t>
      </w:r>
    </w:p>
    <w:p w:rsidR="00733DB8" w:rsidRDefault="00A4670C">
      <w:pPr>
        <w:spacing w:after="100" w:line="276" w:lineRule="auto"/>
        <w:ind w:left="648" w:hanging="648"/>
      </w:pPr>
      <w:r>
        <w:rPr>
          <w:rFonts w:cs="Times New Roman"/>
          <w:sz w:val="20"/>
        </w:rPr>
        <w:t xml:space="preserve">[7]  "Research on credit card fraud detection based on PySpark," in </w:t>
      </w:r>
      <w:r>
        <w:rPr>
          <w:rFonts w:cs="Times New Roman"/>
          <w:i/>
          <w:sz w:val="20"/>
        </w:rPr>
        <w:t>Proc. 3rd Int. Conf. C</w:t>
      </w:r>
      <w:r>
        <w:rPr>
          <w:rFonts w:cs="Times New Roman"/>
          <w:i/>
          <w:sz w:val="20"/>
        </w:rPr>
        <w:t>omputer Science and Mechatronics</w:t>
      </w:r>
      <w:r>
        <w:rPr>
          <w:rFonts w:cs="Times New Roman"/>
          <w:sz w:val="20"/>
        </w:rPr>
        <w:t>, 2025. [Listed in the batch literature survey; authors and pages could not be verified, so it is not cited in the text.]</w:t>
      </w:r>
    </w:p>
    <w:p w:rsidR="00733DB8" w:rsidRDefault="00A4670C">
      <w:pPr>
        <w:spacing w:after="100" w:line="276" w:lineRule="auto"/>
        <w:ind w:left="648" w:hanging="648"/>
      </w:pPr>
      <w:r>
        <w:rPr>
          <w:rFonts w:cs="Times New Roman"/>
          <w:sz w:val="20"/>
        </w:rPr>
        <w:t xml:space="preserve">[8]  "Enhancing e-commerce security: A novel approach to credit card fraud detection," 2025. [Listed </w:t>
      </w:r>
      <w:r>
        <w:rPr>
          <w:rFonts w:cs="Times New Roman"/>
          <w:sz w:val="20"/>
        </w:rPr>
        <w:t>in the batch literature survey; venue and authors could not be verified, so it is not cited in the text.]</w:t>
      </w:r>
    </w:p>
    <w:p w:rsidR="00733DB8" w:rsidRDefault="00A4670C">
      <w:pPr>
        <w:spacing w:after="100" w:line="276" w:lineRule="auto"/>
        <w:ind w:left="648" w:hanging="648"/>
      </w:pPr>
      <w:r>
        <w:rPr>
          <w:rFonts w:cs="Times New Roman"/>
          <w:sz w:val="20"/>
        </w:rPr>
        <w:t xml:space="preserve">[9]  "Credit card fraud detection," </w:t>
      </w:r>
      <w:r>
        <w:rPr>
          <w:rFonts w:cs="Times New Roman"/>
          <w:i/>
          <w:sz w:val="20"/>
        </w:rPr>
        <w:t>Int. J. Research Publication and Reviews</w:t>
      </w:r>
      <w:r>
        <w:rPr>
          <w:rFonts w:cs="Times New Roman"/>
          <w:sz w:val="20"/>
        </w:rPr>
        <w:t>, 2025. [Listed in the batch literature survey; authors and volume could n</w:t>
      </w:r>
      <w:r>
        <w:rPr>
          <w:rFonts w:cs="Times New Roman"/>
          <w:sz w:val="20"/>
        </w:rPr>
        <w:t>ot be verified, so it is not cited in the text.]</w:t>
      </w:r>
    </w:p>
    <w:p w:rsidR="00733DB8" w:rsidRDefault="00A4670C">
      <w:pPr>
        <w:spacing w:after="100" w:line="276" w:lineRule="auto"/>
        <w:ind w:left="648" w:hanging="648"/>
      </w:pPr>
      <w:r>
        <w:rPr>
          <w:rFonts w:cs="Times New Roman"/>
          <w:sz w:val="20"/>
        </w:rPr>
        <w:t xml:space="preserve">[10]  F. Carcillo, Y.-A. Le Borgne, O. Caelen, Y. Kessaci, F. Oble and G. Bontempi, "Combining unsupervised and supervised learning in credit card fraud detection," </w:t>
      </w:r>
      <w:r>
        <w:rPr>
          <w:rFonts w:cs="Times New Roman"/>
          <w:i/>
          <w:sz w:val="20"/>
        </w:rPr>
        <w:t>Information Sciences</w:t>
      </w:r>
      <w:r>
        <w:rPr>
          <w:rFonts w:cs="Times New Roman"/>
          <w:sz w:val="20"/>
        </w:rPr>
        <w:t>, vol. 557, pp. 317-33</w:t>
      </w:r>
      <w:r>
        <w:rPr>
          <w:rFonts w:cs="Times New Roman"/>
          <w:sz w:val="20"/>
        </w:rPr>
        <w:t>1, 2021.</w:t>
      </w:r>
    </w:p>
    <w:p w:rsidR="00733DB8" w:rsidRDefault="00A4670C">
      <w:pPr>
        <w:spacing w:after="100" w:line="276" w:lineRule="auto"/>
        <w:ind w:left="648" w:hanging="648"/>
      </w:pPr>
      <w:r>
        <w:rPr>
          <w:rFonts w:cs="Times New Roman"/>
          <w:sz w:val="20"/>
        </w:rPr>
        <w:t xml:space="preserve">[11]  A. Dal Pozzolo, O. Caelen, R. A. Johnson and G. Bontempi, "Calibrating probability with undersampling for unbalanced classification," in </w:t>
      </w:r>
      <w:r>
        <w:rPr>
          <w:rFonts w:cs="Times New Roman"/>
          <w:i/>
          <w:sz w:val="20"/>
        </w:rPr>
        <w:t>Proc. IEEE Symp. Series on Computational Intelligence (SSCI)</w:t>
      </w:r>
      <w:r>
        <w:rPr>
          <w:rFonts w:cs="Times New Roman"/>
          <w:sz w:val="20"/>
        </w:rPr>
        <w:t>, 2015, pp. 159-166.</w:t>
      </w:r>
    </w:p>
    <w:p w:rsidR="00733DB8" w:rsidRDefault="00A4670C">
      <w:pPr>
        <w:spacing w:after="100" w:line="276" w:lineRule="auto"/>
        <w:ind w:left="648" w:hanging="648"/>
      </w:pPr>
      <w:r>
        <w:rPr>
          <w:rFonts w:cs="Times New Roman"/>
          <w:sz w:val="20"/>
        </w:rPr>
        <w:t xml:space="preserve">[12]  N. V. Chawla, K. </w:t>
      </w:r>
      <w:r>
        <w:rPr>
          <w:rFonts w:cs="Times New Roman"/>
          <w:sz w:val="20"/>
        </w:rPr>
        <w:t xml:space="preserve">W. Bowyer, L. O. Hall and W. P. Kegelmeyer, "SMOTE: Synthetic minority over-sampling technique," </w:t>
      </w:r>
      <w:r>
        <w:rPr>
          <w:rFonts w:cs="Times New Roman"/>
          <w:i/>
          <w:sz w:val="20"/>
        </w:rPr>
        <w:t>J. Artif. Intell. Res.</w:t>
      </w:r>
      <w:r>
        <w:rPr>
          <w:rFonts w:cs="Times New Roman"/>
          <w:sz w:val="20"/>
        </w:rPr>
        <w:t>, vol. 16, pp. 321-357, Jun. 2002.</w:t>
      </w:r>
    </w:p>
    <w:p w:rsidR="00733DB8" w:rsidRDefault="00A4670C">
      <w:pPr>
        <w:spacing w:after="100" w:line="276" w:lineRule="auto"/>
        <w:ind w:left="648" w:hanging="648"/>
      </w:pPr>
      <w:r>
        <w:rPr>
          <w:rFonts w:cs="Times New Roman"/>
          <w:sz w:val="20"/>
        </w:rPr>
        <w:t xml:space="preserve">[13]  I. Tomek, "Two modifications of CNN," </w:t>
      </w:r>
      <w:r>
        <w:rPr>
          <w:rFonts w:cs="Times New Roman"/>
          <w:i/>
          <w:sz w:val="20"/>
        </w:rPr>
        <w:t>IEEE Trans. Syst., Man, Cybern.</w:t>
      </w:r>
      <w:r>
        <w:rPr>
          <w:rFonts w:cs="Times New Roman"/>
          <w:sz w:val="20"/>
        </w:rPr>
        <w:t>, vol. SMC-6, no. 11, pp. 7</w:t>
      </w:r>
      <w:r>
        <w:rPr>
          <w:rFonts w:cs="Times New Roman"/>
          <w:sz w:val="20"/>
        </w:rPr>
        <w:t>69-772, Nov. 1976.</w:t>
      </w:r>
    </w:p>
    <w:p w:rsidR="00733DB8" w:rsidRDefault="00A4670C">
      <w:pPr>
        <w:spacing w:after="100" w:line="276" w:lineRule="auto"/>
        <w:ind w:left="648" w:hanging="648"/>
      </w:pPr>
      <w:r>
        <w:rPr>
          <w:rFonts w:cs="Times New Roman"/>
          <w:sz w:val="20"/>
        </w:rPr>
        <w:t xml:space="preserve">[14]  H. He and E. A. Garcia, "Learning from imbalanced data," </w:t>
      </w:r>
      <w:r>
        <w:rPr>
          <w:rFonts w:cs="Times New Roman"/>
          <w:i/>
          <w:sz w:val="20"/>
        </w:rPr>
        <w:t>IEEE Trans. Knowl. Data Eng.</w:t>
      </w:r>
      <w:r>
        <w:rPr>
          <w:rFonts w:cs="Times New Roman"/>
          <w:sz w:val="20"/>
        </w:rPr>
        <w:t>, vol. 21, no. 9, pp. 1263-1284, Sep. 2009.</w:t>
      </w:r>
    </w:p>
    <w:p w:rsidR="00733DB8" w:rsidRDefault="00A4670C">
      <w:pPr>
        <w:spacing w:after="100" w:line="276" w:lineRule="auto"/>
        <w:ind w:left="648" w:hanging="648"/>
      </w:pPr>
      <w:r>
        <w:rPr>
          <w:rFonts w:cs="Times New Roman"/>
          <w:sz w:val="20"/>
        </w:rPr>
        <w:t xml:space="preserve">[15]  A. Fernandez, S. Garcia, M. Galar, R. C. Prati, B. Krawczyk and F. Herrera, </w:t>
      </w:r>
      <w:r>
        <w:rPr>
          <w:rFonts w:cs="Times New Roman"/>
          <w:i/>
          <w:sz w:val="20"/>
        </w:rPr>
        <w:t>Learning From Imbala</w:t>
      </w:r>
      <w:r>
        <w:rPr>
          <w:rFonts w:cs="Times New Roman"/>
          <w:i/>
          <w:sz w:val="20"/>
        </w:rPr>
        <w:t>nced Data Sets</w:t>
      </w:r>
      <w:r>
        <w:rPr>
          <w:rFonts w:cs="Times New Roman"/>
          <w:sz w:val="20"/>
        </w:rPr>
        <w:t>. Cham, Switzerland: Springer, 2018.</w:t>
      </w:r>
    </w:p>
    <w:p w:rsidR="00733DB8" w:rsidRDefault="00A4670C">
      <w:pPr>
        <w:spacing w:after="100" w:line="276" w:lineRule="auto"/>
        <w:ind w:left="648" w:hanging="648"/>
      </w:pPr>
      <w:r>
        <w:rPr>
          <w:rFonts w:cs="Times New Roman"/>
          <w:sz w:val="20"/>
        </w:rPr>
        <w:t xml:space="preserve">[16]  T. Saito and M. Rehmsmeier, "The precision-recall plot is more informative than the ROC plot when evaluating binary classifiers on imbalanced datasets," </w:t>
      </w:r>
      <w:r>
        <w:rPr>
          <w:rFonts w:cs="Times New Roman"/>
          <w:i/>
          <w:sz w:val="20"/>
        </w:rPr>
        <w:t>PLoS ONE</w:t>
      </w:r>
      <w:r>
        <w:rPr>
          <w:rFonts w:cs="Times New Roman"/>
          <w:sz w:val="20"/>
        </w:rPr>
        <w:t>, vol. 10, no. 3, Art. no. e0118432, 2</w:t>
      </w:r>
      <w:r>
        <w:rPr>
          <w:rFonts w:cs="Times New Roman"/>
          <w:sz w:val="20"/>
        </w:rPr>
        <w:t>015.</w:t>
      </w:r>
    </w:p>
    <w:p w:rsidR="00733DB8" w:rsidRDefault="00A4670C">
      <w:pPr>
        <w:spacing w:after="100" w:line="276" w:lineRule="auto"/>
        <w:ind w:left="648" w:hanging="648"/>
      </w:pPr>
      <w:r>
        <w:rPr>
          <w:rFonts w:cs="Times New Roman"/>
          <w:sz w:val="20"/>
        </w:rPr>
        <w:t xml:space="preserve">[17]  T. Fawcett, "An introduction to ROC analysis," </w:t>
      </w:r>
      <w:r>
        <w:rPr>
          <w:rFonts w:cs="Times New Roman"/>
          <w:i/>
          <w:sz w:val="20"/>
        </w:rPr>
        <w:t>Pattern Recognition Letters</w:t>
      </w:r>
      <w:r>
        <w:rPr>
          <w:rFonts w:cs="Times New Roman"/>
          <w:sz w:val="20"/>
        </w:rPr>
        <w:t>, vol. 27, no. 8, pp. 861-874, 2006.</w:t>
      </w:r>
    </w:p>
    <w:p w:rsidR="00733DB8" w:rsidRDefault="00A4670C">
      <w:pPr>
        <w:spacing w:after="100" w:line="276" w:lineRule="auto"/>
        <w:ind w:left="648" w:hanging="648"/>
      </w:pPr>
      <w:r>
        <w:rPr>
          <w:rFonts w:cs="Times New Roman"/>
          <w:sz w:val="20"/>
        </w:rPr>
        <w:t xml:space="preserve">[18]  D. M. W. Powers, "Evaluation: From precision, recall and F-measure to ROC, informedness, markedness and correlation," </w:t>
      </w:r>
      <w:r>
        <w:rPr>
          <w:rFonts w:cs="Times New Roman"/>
          <w:sz w:val="20"/>
        </w:rPr>
        <w:t>arXiv:2010.16061, 2020.</w:t>
      </w:r>
    </w:p>
    <w:p w:rsidR="00733DB8" w:rsidRDefault="00A4670C">
      <w:pPr>
        <w:spacing w:after="100" w:line="276" w:lineRule="auto"/>
        <w:ind w:left="648" w:hanging="648"/>
      </w:pPr>
      <w:r>
        <w:rPr>
          <w:rFonts w:cs="Times New Roman"/>
          <w:sz w:val="20"/>
        </w:rPr>
        <w:lastRenderedPageBreak/>
        <w:t xml:space="preserve">[19]  L. Breiman, "Random forests," </w:t>
      </w:r>
      <w:r>
        <w:rPr>
          <w:rFonts w:cs="Times New Roman"/>
          <w:i/>
          <w:sz w:val="20"/>
        </w:rPr>
        <w:t>Machine Learning</w:t>
      </w:r>
      <w:r>
        <w:rPr>
          <w:rFonts w:cs="Times New Roman"/>
          <w:sz w:val="20"/>
        </w:rPr>
        <w:t>, vol. 45, no. 1, pp. 5-32, 2001.</w:t>
      </w:r>
    </w:p>
    <w:p w:rsidR="00733DB8" w:rsidRDefault="00A4670C">
      <w:pPr>
        <w:spacing w:after="100" w:line="276" w:lineRule="auto"/>
        <w:ind w:left="648" w:hanging="648"/>
      </w:pPr>
      <w:r>
        <w:rPr>
          <w:rFonts w:cs="Times New Roman"/>
          <w:sz w:val="20"/>
        </w:rPr>
        <w:t xml:space="preserve">[20]  T. Chen and C. Guestrin, "XGBoost: A scalable tree boosting system," in </w:t>
      </w:r>
      <w:r>
        <w:rPr>
          <w:rFonts w:cs="Times New Roman"/>
          <w:i/>
          <w:sz w:val="20"/>
        </w:rPr>
        <w:t>Proc. 22nd ACM SIGKDD Int. Conf. Knowledge Discovery and Data Mining</w:t>
      </w:r>
      <w:r>
        <w:rPr>
          <w:rFonts w:cs="Times New Roman"/>
          <w:sz w:val="20"/>
        </w:rPr>
        <w:t>, 2016, pp. 785-794.</w:t>
      </w:r>
    </w:p>
    <w:p w:rsidR="00733DB8" w:rsidRDefault="00A4670C">
      <w:pPr>
        <w:spacing w:after="100" w:line="276" w:lineRule="auto"/>
        <w:ind w:left="648" w:hanging="648"/>
      </w:pPr>
      <w:r>
        <w:rPr>
          <w:rFonts w:cs="Times New Roman"/>
          <w:sz w:val="20"/>
        </w:rPr>
        <w:t xml:space="preserve">[21]  J. T. Hancock and T. M. Khoshgoftaar, "CatBoost for big data: An interdisciplinary review," </w:t>
      </w:r>
      <w:r>
        <w:rPr>
          <w:rFonts w:cs="Times New Roman"/>
          <w:i/>
          <w:sz w:val="20"/>
        </w:rPr>
        <w:t>J. Big Data</w:t>
      </w:r>
      <w:r>
        <w:rPr>
          <w:rFonts w:cs="Times New Roman"/>
          <w:sz w:val="20"/>
        </w:rPr>
        <w:t>, vol. 7, no. 1, p. 94, Dec. 2020.</w:t>
      </w:r>
    </w:p>
    <w:p w:rsidR="00733DB8" w:rsidRDefault="00A4670C">
      <w:pPr>
        <w:spacing w:after="100" w:line="276" w:lineRule="auto"/>
        <w:ind w:left="648" w:hanging="648"/>
      </w:pPr>
      <w:r>
        <w:rPr>
          <w:rFonts w:cs="Times New Roman"/>
          <w:sz w:val="20"/>
        </w:rPr>
        <w:t>[22]  G. E. Hinton, S. Osindero and Y.-W. Teh, "A fast learning algorithm for deep belief n</w:t>
      </w:r>
      <w:r>
        <w:rPr>
          <w:rFonts w:cs="Times New Roman"/>
          <w:sz w:val="20"/>
        </w:rPr>
        <w:t xml:space="preserve">ets," </w:t>
      </w:r>
      <w:r>
        <w:rPr>
          <w:rFonts w:cs="Times New Roman"/>
          <w:i/>
          <w:sz w:val="20"/>
        </w:rPr>
        <w:t>Neural Computation</w:t>
      </w:r>
      <w:r>
        <w:rPr>
          <w:rFonts w:cs="Times New Roman"/>
          <w:sz w:val="20"/>
        </w:rPr>
        <w:t>, vol. 18, no. 7, pp. 1527-1554, Jul. 2006.</w:t>
      </w:r>
    </w:p>
    <w:p w:rsidR="00733DB8" w:rsidRDefault="00A4670C">
      <w:pPr>
        <w:spacing w:after="100" w:line="276" w:lineRule="auto"/>
        <w:ind w:left="648" w:hanging="648"/>
      </w:pPr>
      <w:r>
        <w:rPr>
          <w:rFonts w:cs="Times New Roman"/>
          <w:sz w:val="20"/>
        </w:rPr>
        <w:t xml:space="preserve">[23]  G. E. Hinton, "Training products of experts by minimizing contrastive divergence," </w:t>
      </w:r>
      <w:r>
        <w:rPr>
          <w:rFonts w:cs="Times New Roman"/>
          <w:i/>
          <w:sz w:val="20"/>
        </w:rPr>
        <w:t>Neural Computation</w:t>
      </w:r>
      <w:r>
        <w:rPr>
          <w:rFonts w:cs="Times New Roman"/>
          <w:sz w:val="20"/>
        </w:rPr>
        <w:t>, vol. 14, no. 8, pp. 1771-1800, Aug. 2002.</w:t>
      </w:r>
    </w:p>
    <w:p w:rsidR="00733DB8" w:rsidRDefault="00A4670C">
      <w:pPr>
        <w:spacing w:after="100" w:line="276" w:lineRule="auto"/>
        <w:ind w:left="648" w:hanging="648"/>
      </w:pPr>
      <w:r>
        <w:rPr>
          <w:rFonts w:cs="Times New Roman"/>
          <w:sz w:val="20"/>
        </w:rPr>
        <w:t>[24]  T. Tieleman, "Training restrict</w:t>
      </w:r>
      <w:r>
        <w:rPr>
          <w:rFonts w:cs="Times New Roman"/>
          <w:sz w:val="20"/>
        </w:rPr>
        <w:t xml:space="preserve">ed Boltzmann machines using approximations to the likelihood gradient," in </w:t>
      </w:r>
      <w:r>
        <w:rPr>
          <w:rFonts w:cs="Times New Roman"/>
          <w:i/>
          <w:sz w:val="20"/>
        </w:rPr>
        <w:t>Proc. 25th Int. Conf. Machine Learning (ICML)</w:t>
      </w:r>
      <w:r>
        <w:rPr>
          <w:rFonts w:cs="Times New Roman"/>
          <w:sz w:val="20"/>
        </w:rPr>
        <w:t>, 2008, pp. 1064-1071.</w:t>
      </w:r>
    </w:p>
    <w:p w:rsidR="00733DB8" w:rsidRDefault="00A4670C">
      <w:pPr>
        <w:spacing w:after="100" w:line="276" w:lineRule="auto"/>
        <w:ind w:left="648" w:hanging="648"/>
      </w:pPr>
      <w:r>
        <w:rPr>
          <w:rFonts w:cs="Times New Roman"/>
          <w:sz w:val="20"/>
        </w:rPr>
        <w:t xml:space="preserve">[25]  G. E. Hinton, "A practical guide to training restricted Boltzmann machines," in </w:t>
      </w:r>
      <w:r>
        <w:rPr>
          <w:rFonts w:cs="Times New Roman"/>
          <w:i/>
          <w:sz w:val="20"/>
        </w:rPr>
        <w:t xml:space="preserve">Neural Networks: Tricks of </w:t>
      </w:r>
      <w:r>
        <w:rPr>
          <w:rFonts w:cs="Times New Roman"/>
          <w:i/>
          <w:sz w:val="20"/>
        </w:rPr>
        <w:t>the Trade</w:t>
      </w:r>
      <w:r>
        <w:rPr>
          <w:rFonts w:cs="Times New Roman"/>
          <w:sz w:val="20"/>
        </w:rPr>
        <w:t>, 2nd ed. Berlin, Germany: Springer, 2012, pp. 599-619.</w:t>
      </w:r>
    </w:p>
    <w:p w:rsidR="00733DB8" w:rsidRDefault="00A4670C">
      <w:pPr>
        <w:spacing w:after="100" w:line="276" w:lineRule="auto"/>
        <w:ind w:left="648" w:hanging="648"/>
      </w:pPr>
      <w:r>
        <w:rPr>
          <w:rFonts w:cs="Times New Roman"/>
          <w:sz w:val="20"/>
        </w:rPr>
        <w:t xml:space="preserve">[26]  A. Fischer and C. Igel, "Training restricted Boltzmann machines: An introduction," </w:t>
      </w:r>
      <w:r>
        <w:rPr>
          <w:rFonts w:cs="Times New Roman"/>
          <w:i/>
          <w:sz w:val="20"/>
        </w:rPr>
        <w:t>Pattern Recognition</w:t>
      </w:r>
      <w:r>
        <w:rPr>
          <w:rFonts w:cs="Times New Roman"/>
          <w:sz w:val="20"/>
        </w:rPr>
        <w:t>, vol. 47, no. 1, pp. 25-39, 2014.</w:t>
      </w:r>
    </w:p>
    <w:p w:rsidR="00733DB8" w:rsidRDefault="00A4670C">
      <w:pPr>
        <w:spacing w:after="100" w:line="276" w:lineRule="auto"/>
        <w:ind w:left="648" w:hanging="648"/>
      </w:pPr>
      <w:r>
        <w:rPr>
          <w:rFonts w:cs="Times New Roman"/>
          <w:sz w:val="20"/>
        </w:rPr>
        <w:t>[27]  H. Larochelle, M. Mandel, R. Pascanu and Y</w:t>
      </w:r>
      <w:r>
        <w:rPr>
          <w:rFonts w:cs="Times New Roman"/>
          <w:sz w:val="20"/>
        </w:rPr>
        <w:t xml:space="preserve">. Bengio, "Learning algorithms for the classification restricted Boltzmann machine," </w:t>
      </w:r>
      <w:r>
        <w:rPr>
          <w:rFonts w:cs="Times New Roman"/>
          <w:i/>
          <w:sz w:val="20"/>
        </w:rPr>
        <w:t>J. Mach. Learn. Res.</w:t>
      </w:r>
      <w:r>
        <w:rPr>
          <w:rFonts w:cs="Times New Roman"/>
          <w:sz w:val="20"/>
        </w:rPr>
        <w:t>, vol. 13, pp. 643-669, 2012.</w:t>
      </w:r>
    </w:p>
    <w:p w:rsidR="00733DB8" w:rsidRDefault="00A4670C">
      <w:pPr>
        <w:spacing w:after="100" w:line="276" w:lineRule="auto"/>
        <w:ind w:left="648" w:hanging="648"/>
      </w:pPr>
      <w:r>
        <w:rPr>
          <w:rFonts w:cs="Times New Roman"/>
          <w:sz w:val="20"/>
        </w:rPr>
        <w:t>[28]  R. Liao, S. Kornblith, M. Ren, D. J. Fleet and G. Hinton, "Gaussian-Bernoulli RBMs without tears," arXiv:2210.10318</w:t>
      </w:r>
      <w:r>
        <w:rPr>
          <w:rFonts w:cs="Times New Roman"/>
          <w:sz w:val="20"/>
        </w:rPr>
        <w:t>, 2022.</w:t>
      </w:r>
    </w:p>
    <w:p w:rsidR="00733DB8" w:rsidRDefault="00A4670C">
      <w:pPr>
        <w:spacing w:after="100" w:line="276" w:lineRule="auto"/>
        <w:ind w:left="648" w:hanging="648"/>
      </w:pPr>
      <w:r>
        <w:rPr>
          <w:rFonts w:cs="Times New Roman"/>
          <w:sz w:val="20"/>
        </w:rPr>
        <w:t xml:space="preserve">[29]  S. Kirkpatrick, C. D. Gelatt Jr. and M. P. Vecchi, "Optimization by simulated annealing," </w:t>
      </w:r>
      <w:r>
        <w:rPr>
          <w:rFonts w:cs="Times New Roman"/>
          <w:i/>
          <w:sz w:val="20"/>
        </w:rPr>
        <w:t>Science</w:t>
      </w:r>
      <w:r>
        <w:rPr>
          <w:rFonts w:cs="Times New Roman"/>
          <w:sz w:val="20"/>
        </w:rPr>
        <w:t>, vol. 220, no. 4598, pp. 671-680, 1983.</w:t>
      </w:r>
    </w:p>
    <w:p w:rsidR="00733DB8" w:rsidRDefault="00A4670C">
      <w:pPr>
        <w:spacing w:after="100" w:line="276" w:lineRule="auto"/>
        <w:ind w:left="648" w:hanging="648"/>
      </w:pPr>
      <w:r>
        <w:rPr>
          <w:rFonts w:cs="Times New Roman"/>
          <w:sz w:val="20"/>
        </w:rPr>
        <w:t>[30]  S. H. Adachi and M. P. Henderson, "Application of quantum annealing to training of deep neural net</w:t>
      </w:r>
      <w:r>
        <w:rPr>
          <w:rFonts w:cs="Times New Roman"/>
          <w:sz w:val="20"/>
        </w:rPr>
        <w:t>works," arXiv:1510.06356, 2015.</w:t>
      </w:r>
    </w:p>
    <w:p w:rsidR="00733DB8" w:rsidRDefault="00A4670C">
      <w:pPr>
        <w:spacing w:after="100" w:line="276" w:lineRule="auto"/>
        <w:ind w:left="648" w:hanging="648"/>
      </w:pPr>
      <w:r>
        <w:rPr>
          <w:rFonts w:cs="Times New Roman"/>
          <w:sz w:val="20"/>
        </w:rPr>
        <w:t xml:space="preserve">[31]  A. Ajagekar and F. You, "Quantum computing assisted deep learning for fault detection and diagnosis in industrial process systems," </w:t>
      </w:r>
      <w:r>
        <w:rPr>
          <w:rFonts w:cs="Times New Roman"/>
          <w:i/>
          <w:sz w:val="20"/>
        </w:rPr>
        <w:t>Computers &amp; Chemical Engineering</w:t>
      </w:r>
      <w:r>
        <w:rPr>
          <w:rFonts w:cs="Times New Roman"/>
          <w:sz w:val="20"/>
        </w:rPr>
        <w:t>, vol. 143, Art. no. 107119, Dec. 2020.</w:t>
      </w:r>
    </w:p>
    <w:p w:rsidR="00733DB8" w:rsidRDefault="00A4670C">
      <w:pPr>
        <w:spacing w:after="100" w:line="276" w:lineRule="auto"/>
        <w:ind w:left="648" w:hanging="648"/>
      </w:pPr>
      <w:r>
        <w:rPr>
          <w:rFonts w:cs="Times New Roman"/>
          <w:sz w:val="20"/>
        </w:rPr>
        <w:t>[32]  F. Pedre</w:t>
      </w:r>
      <w:r>
        <w:rPr>
          <w:rFonts w:cs="Times New Roman"/>
          <w:sz w:val="20"/>
        </w:rPr>
        <w:t xml:space="preserve">gosa et al., "Scikit-learn: Machine learning in Python," </w:t>
      </w:r>
      <w:r>
        <w:rPr>
          <w:rFonts w:cs="Times New Roman"/>
          <w:i/>
          <w:sz w:val="20"/>
        </w:rPr>
        <w:t>J. Mach. Learn. Res.</w:t>
      </w:r>
      <w:r>
        <w:rPr>
          <w:rFonts w:cs="Times New Roman"/>
          <w:sz w:val="20"/>
        </w:rPr>
        <w:t>, vol. 12, pp. 2825-2830, 2011.</w:t>
      </w:r>
    </w:p>
    <w:p w:rsidR="00733DB8" w:rsidRDefault="00A4670C">
      <w:pPr>
        <w:spacing w:after="100" w:line="276" w:lineRule="auto"/>
        <w:ind w:left="648" w:hanging="648"/>
      </w:pPr>
      <w:r>
        <w:rPr>
          <w:rFonts w:cs="Times New Roman"/>
          <w:sz w:val="20"/>
        </w:rPr>
        <w:t>[33]  G. Lemaitre, F. Nogueira and C. K. Aridas, "Imbalanced-learn: A Python toolbox to tackle the curse of imbalanced datasets in machine learning</w:t>
      </w:r>
      <w:r>
        <w:rPr>
          <w:rFonts w:cs="Times New Roman"/>
          <w:sz w:val="20"/>
        </w:rPr>
        <w:t xml:space="preserve">," </w:t>
      </w:r>
      <w:r>
        <w:rPr>
          <w:rFonts w:cs="Times New Roman"/>
          <w:i/>
          <w:sz w:val="20"/>
        </w:rPr>
        <w:t>J. Mach. Learn. Res.</w:t>
      </w:r>
      <w:r>
        <w:rPr>
          <w:rFonts w:cs="Times New Roman"/>
          <w:sz w:val="20"/>
        </w:rPr>
        <w:t>, vol. 18, no. 17, pp. 1-5, 2017.</w:t>
      </w:r>
    </w:p>
    <w:p w:rsidR="00733DB8" w:rsidRDefault="00A4670C">
      <w:pPr>
        <w:spacing w:after="100" w:line="276" w:lineRule="auto"/>
        <w:ind w:left="648" w:hanging="648"/>
      </w:pPr>
      <w:r>
        <w:rPr>
          <w:rFonts w:cs="Times New Roman"/>
          <w:sz w:val="20"/>
        </w:rPr>
        <w:t xml:space="preserve">[34]  J. Davis and M. Goadrich, "The relationship between precision-recall and ROC curves," in </w:t>
      </w:r>
      <w:r>
        <w:rPr>
          <w:rFonts w:cs="Times New Roman"/>
          <w:i/>
          <w:sz w:val="20"/>
        </w:rPr>
        <w:t>Proc. 23rd Int. Conf. Machine Learning (ICML)</w:t>
      </w:r>
      <w:r>
        <w:rPr>
          <w:rFonts w:cs="Times New Roman"/>
          <w:sz w:val="20"/>
        </w:rPr>
        <w:t>, 2006, pp. 233-240.</w:t>
      </w:r>
    </w:p>
    <w:sectPr w:rsidR="00733DB8"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4670C">
      <w:pPr>
        <w:spacing w:after="0" w:line="240" w:lineRule="auto"/>
      </w:pPr>
      <w:r>
        <w:separator/>
      </w:r>
    </w:p>
  </w:endnote>
  <w:endnote w:type="continuationSeparator" w:id="0">
    <w:p w:rsidR="00000000" w:rsidRDefault="00A46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DB8" w:rsidRDefault="00A4670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4670C">
      <w:pPr>
        <w:spacing w:after="0" w:line="240" w:lineRule="auto"/>
      </w:pPr>
      <w:r>
        <w:separator/>
      </w:r>
    </w:p>
  </w:footnote>
  <w:footnote w:type="continuationSeparator" w:id="0">
    <w:p w:rsidR="00000000" w:rsidRDefault="00A46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DB8" w:rsidRDefault="00A4670C">
    <w:pPr>
      <w:pStyle w:val="Header"/>
      <w:jc w:val="center"/>
    </w:pPr>
    <w:r>
      <w:rPr>
        <w:rFonts w:cs="Times New Roman"/>
        <w:i/>
        <w:color w:val="555555"/>
        <w:sz w:val="20"/>
      </w:rPr>
      <w:t>SecurePay AI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DB8"/>
    <w:rsid w:val="00A467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BB23FE3-6977-47A2-80F0-DDE15A080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A4670C"/>
    <w:pPr>
      <w:spacing w:after="0" w:line="240" w:lineRule="auto"/>
    </w:pPr>
    <w:rPr>
      <w:rFonts w:cs="Times New Roman"/>
      <w:sz w:val="21"/>
    </w:rPr>
  </w:style>
  <w:style w:type="paragraph" w:styleId="TOC2">
    <w:name w:val="toc 2"/>
    <w:basedOn w:val="Normal"/>
    <w:next w:val="Normal"/>
    <w:autoRedefine/>
    <w:uiPriority w:val="39"/>
    <w:semiHidden/>
    <w:unhideWhenUsed/>
    <w:rsid w:val="00A4670C"/>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A4670C"/>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3B98F3-EA83-47C7-BDFA-356160B4C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3454</Words>
  <Characters>18214</Characters>
  <Application>Microsoft Office Word</Application>
  <DocSecurity>0</DocSecurity>
  <Lines>371</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2026-10-25T03:00:00Z</dcterms:modified>
  <cp:category/>
</cp:coreProperties>
</file>