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63FA0" w:rsidRDefault="00A63FA0">
      <w:pPr>
        <w:spacing w:after="480" w:line="240" w:lineRule="auto"/>
      </w:pPr>
      <w:bookmarkStart w:id="0" w:name="_GoBack"/>
      <w:bookmarkEnd w:id="0"/>
    </w:p>
    <w:p w:rsidR="00A63FA0" w:rsidRDefault="0034235D">
      <w:pPr>
        <w:jc w:val="center"/>
      </w:pPr>
      <w:r>
        <w:rPr>
          <w:rFonts w:cs="Times New Roman"/>
          <w:b/>
          <w:sz w:val="36"/>
        </w:rPr>
        <w:t>STOCK MARKET PREDICTION USING MULTI-SOURCE MULTIPLE INSTANCE LEARNING</w:t>
      </w:r>
    </w:p>
    <w:p w:rsidR="00A63FA0" w:rsidRDefault="0034235D">
      <w:pPr>
        <w:spacing w:after="280"/>
        <w:jc w:val="center"/>
      </w:pPr>
      <w:r>
        <w:rPr>
          <w:rFonts w:cs="Times New Roman"/>
          <w:b/>
          <w:sz w:val="28"/>
        </w:rPr>
        <w:t>Conclusion, Future Scope and References</w:t>
      </w:r>
    </w:p>
    <w:p w:rsidR="00A63FA0" w:rsidRDefault="0034235D">
      <w:pPr>
        <w:spacing w:after="40"/>
        <w:jc w:val="center"/>
      </w:pPr>
      <w:r>
        <w:rPr>
          <w:rFonts w:cs="Times New Roman"/>
        </w:rPr>
        <w:t>Department of Computer Science and Engineering, [COLLEGE NAME]</w:t>
      </w:r>
    </w:p>
    <w:p w:rsidR="00A63FA0" w:rsidRDefault="0034235D">
      <w:pPr>
        <w:spacing w:after="240"/>
        <w:jc w:val="center"/>
      </w:pPr>
      <w:r>
        <w:rPr>
          <w:rFonts w:cs="Times New Roman"/>
        </w:rPr>
        <w:t>Batch C4 (CSE-C)  ·  Academic year [ACADEMIC YEAR]</w:t>
      </w:r>
    </w:p>
    <w:p w:rsidR="00A63FA0" w:rsidRDefault="0034235D">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Project team</w:t>
      </w:r>
    </w:p>
    <w:tbl>
      <w:tblPr>
        <w:tblStyle w:val="TableGrid"/>
        <w:tblW w:w="0" w:type="auto"/>
        <w:jc w:val="center"/>
        <w:tblLook w:val="04A0" w:firstRow="1" w:lastRow="0" w:firstColumn="1" w:lastColumn="0" w:noHBand="0" w:noVBand="1"/>
      </w:tblPr>
      <w:tblGrid>
        <w:gridCol w:w="1008"/>
        <w:gridCol w:w="4896"/>
        <w:gridCol w:w="2592"/>
      </w:tblGrid>
      <w:tr w:rsidR="00A63FA0">
        <w:trPr>
          <w:cantSplit/>
          <w:tblHeader/>
          <w:jc w:val="center"/>
        </w:trPr>
        <w:tc>
          <w:tcPr>
            <w:tcW w:w="1008" w:type="dxa"/>
            <w:shd w:val="clear" w:color="auto" w:fill="1B2A41"/>
          </w:tcPr>
          <w:p w:rsidR="00A63FA0" w:rsidRDefault="0034235D">
            <w:pPr>
              <w:spacing w:after="40" w:line="240" w:lineRule="auto"/>
              <w:jc w:val="center"/>
            </w:pPr>
            <w:r>
              <w:rPr>
                <w:rFonts w:cs="Times New Roman"/>
                <w:b/>
                <w:color w:val="FFFFFF"/>
                <w:sz w:val="22"/>
              </w:rPr>
              <w:t>S.No.</w:t>
            </w:r>
          </w:p>
        </w:tc>
        <w:tc>
          <w:tcPr>
            <w:tcW w:w="4896" w:type="dxa"/>
            <w:shd w:val="clear" w:color="auto" w:fill="1B2A41"/>
          </w:tcPr>
          <w:p w:rsidR="00A63FA0" w:rsidRDefault="0034235D">
            <w:pPr>
              <w:spacing w:after="40" w:line="240" w:lineRule="auto"/>
              <w:jc w:val="center"/>
            </w:pPr>
            <w:r>
              <w:rPr>
                <w:rFonts w:cs="Times New Roman"/>
                <w:b/>
                <w:color w:val="FFFFFF"/>
                <w:sz w:val="22"/>
              </w:rPr>
              <w:t>Student name</w:t>
            </w:r>
          </w:p>
        </w:tc>
        <w:tc>
          <w:tcPr>
            <w:tcW w:w="2592" w:type="dxa"/>
            <w:shd w:val="clear" w:color="auto" w:fill="1B2A41"/>
          </w:tcPr>
          <w:p w:rsidR="00A63FA0" w:rsidRDefault="0034235D">
            <w:pPr>
              <w:spacing w:after="40" w:line="240" w:lineRule="auto"/>
              <w:jc w:val="center"/>
            </w:pPr>
            <w:r>
              <w:rPr>
                <w:rFonts w:cs="Times New Roman"/>
                <w:b/>
                <w:color w:val="FFFFFF"/>
                <w:sz w:val="22"/>
              </w:rPr>
              <w:t>Roll number</w:t>
            </w:r>
          </w:p>
        </w:tc>
      </w:tr>
      <w:tr w:rsidR="00A63FA0">
        <w:trPr>
          <w:cantSplit/>
          <w:jc w:val="center"/>
        </w:trPr>
        <w:tc>
          <w:tcPr>
            <w:tcW w:w="1008" w:type="dxa"/>
          </w:tcPr>
          <w:p w:rsidR="00A63FA0" w:rsidRDefault="0034235D">
            <w:pPr>
              <w:spacing w:after="40" w:line="240" w:lineRule="auto"/>
              <w:jc w:val="center"/>
            </w:pPr>
            <w:r>
              <w:rPr>
                <w:rFonts w:cs="Times New Roman"/>
                <w:sz w:val="22"/>
              </w:rPr>
              <w:t>1</w:t>
            </w:r>
          </w:p>
        </w:tc>
        <w:tc>
          <w:tcPr>
            <w:tcW w:w="4896" w:type="dxa"/>
          </w:tcPr>
          <w:p w:rsidR="00A63FA0" w:rsidRDefault="0034235D">
            <w:pPr>
              <w:spacing w:after="40" w:line="240" w:lineRule="auto"/>
              <w:jc w:val="left"/>
            </w:pPr>
            <w:r>
              <w:rPr>
                <w:rFonts w:cs="Times New Roman"/>
                <w:sz w:val="22"/>
              </w:rPr>
              <w:t>Pottepaka Lingaswamy</w:t>
            </w:r>
          </w:p>
        </w:tc>
        <w:tc>
          <w:tcPr>
            <w:tcW w:w="2592" w:type="dxa"/>
          </w:tcPr>
          <w:p w:rsidR="00A63FA0" w:rsidRDefault="0034235D">
            <w:pPr>
              <w:spacing w:after="40" w:line="240" w:lineRule="auto"/>
              <w:jc w:val="center"/>
            </w:pPr>
            <w:r>
              <w:rPr>
                <w:rFonts w:cs="Times New Roman"/>
                <w:sz w:val="22"/>
              </w:rPr>
              <w:t>23K91A05J7</w:t>
            </w:r>
          </w:p>
        </w:tc>
      </w:tr>
      <w:tr w:rsidR="00A63FA0">
        <w:trPr>
          <w:cantSplit/>
          <w:jc w:val="center"/>
        </w:trPr>
        <w:tc>
          <w:tcPr>
            <w:tcW w:w="1008" w:type="dxa"/>
          </w:tcPr>
          <w:p w:rsidR="00A63FA0" w:rsidRDefault="0034235D">
            <w:pPr>
              <w:spacing w:after="40" w:line="240" w:lineRule="auto"/>
              <w:jc w:val="center"/>
            </w:pPr>
            <w:r>
              <w:rPr>
                <w:rFonts w:cs="Times New Roman"/>
                <w:sz w:val="22"/>
              </w:rPr>
              <w:t>2</w:t>
            </w:r>
          </w:p>
        </w:tc>
        <w:tc>
          <w:tcPr>
            <w:tcW w:w="4896" w:type="dxa"/>
          </w:tcPr>
          <w:p w:rsidR="00A63FA0" w:rsidRDefault="0034235D">
            <w:pPr>
              <w:spacing w:after="40" w:line="240" w:lineRule="auto"/>
              <w:jc w:val="left"/>
            </w:pPr>
            <w:r>
              <w:rPr>
                <w:rFonts w:cs="Times New Roman"/>
                <w:sz w:val="22"/>
              </w:rPr>
              <w:t>Maduna Naveen Kumar</w:t>
            </w:r>
          </w:p>
        </w:tc>
        <w:tc>
          <w:tcPr>
            <w:tcW w:w="2592" w:type="dxa"/>
          </w:tcPr>
          <w:p w:rsidR="00A63FA0" w:rsidRDefault="0034235D">
            <w:pPr>
              <w:spacing w:after="40" w:line="240" w:lineRule="auto"/>
              <w:jc w:val="center"/>
            </w:pPr>
            <w:r>
              <w:rPr>
                <w:rFonts w:cs="Times New Roman"/>
                <w:sz w:val="22"/>
              </w:rPr>
              <w:t>23K91A05D7</w:t>
            </w:r>
          </w:p>
        </w:tc>
      </w:tr>
      <w:tr w:rsidR="00A63FA0">
        <w:trPr>
          <w:cantSplit/>
          <w:jc w:val="center"/>
        </w:trPr>
        <w:tc>
          <w:tcPr>
            <w:tcW w:w="1008" w:type="dxa"/>
          </w:tcPr>
          <w:p w:rsidR="00A63FA0" w:rsidRDefault="0034235D">
            <w:pPr>
              <w:spacing w:after="40" w:line="240" w:lineRule="auto"/>
              <w:jc w:val="center"/>
            </w:pPr>
            <w:r>
              <w:rPr>
                <w:rFonts w:cs="Times New Roman"/>
                <w:sz w:val="22"/>
              </w:rPr>
              <w:t>3</w:t>
            </w:r>
          </w:p>
        </w:tc>
        <w:tc>
          <w:tcPr>
            <w:tcW w:w="4896" w:type="dxa"/>
          </w:tcPr>
          <w:p w:rsidR="00A63FA0" w:rsidRDefault="0034235D">
            <w:pPr>
              <w:spacing w:after="40" w:line="240" w:lineRule="auto"/>
              <w:jc w:val="left"/>
            </w:pPr>
            <w:r>
              <w:rPr>
                <w:rFonts w:cs="Times New Roman"/>
                <w:sz w:val="22"/>
              </w:rPr>
              <w:t>Meedigeri Keerthi</w:t>
            </w:r>
          </w:p>
        </w:tc>
        <w:tc>
          <w:tcPr>
            <w:tcW w:w="2592" w:type="dxa"/>
          </w:tcPr>
          <w:p w:rsidR="00A63FA0" w:rsidRDefault="0034235D">
            <w:pPr>
              <w:spacing w:after="40" w:line="240" w:lineRule="auto"/>
              <w:jc w:val="center"/>
            </w:pPr>
            <w:r>
              <w:rPr>
                <w:rFonts w:cs="Times New Roman"/>
                <w:sz w:val="22"/>
              </w:rPr>
              <w:t>24K95A0517</w:t>
            </w:r>
          </w:p>
        </w:tc>
      </w:tr>
      <w:tr w:rsidR="00A63FA0">
        <w:trPr>
          <w:cantSplit/>
          <w:jc w:val="center"/>
        </w:trPr>
        <w:tc>
          <w:tcPr>
            <w:tcW w:w="1008" w:type="dxa"/>
          </w:tcPr>
          <w:p w:rsidR="00A63FA0" w:rsidRDefault="0034235D">
            <w:pPr>
              <w:spacing w:after="40" w:line="240" w:lineRule="auto"/>
              <w:jc w:val="center"/>
            </w:pPr>
            <w:r>
              <w:rPr>
                <w:rFonts w:cs="Times New Roman"/>
                <w:sz w:val="22"/>
              </w:rPr>
              <w:t>4</w:t>
            </w:r>
          </w:p>
        </w:tc>
        <w:tc>
          <w:tcPr>
            <w:tcW w:w="4896" w:type="dxa"/>
          </w:tcPr>
          <w:p w:rsidR="00A63FA0" w:rsidRDefault="0034235D">
            <w:pPr>
              <w:spacing w:after="40" w:line="240" w:lineRule="auto"/>
              <w:jc w:val="left"/>
            </w:pPr>
            <w:r>
              <w:rPr>
                <w:rFonts w:cs="Times New Roman"/>
                <w:sz w:val="22"/>
              </w:rPr>
              <w:t>Mareddy Sai Karthik</w:t>
            </w:r>
          </w:p>
        </w:tc>
        <w:tc>
          <w:tcPr>
            <w:tcW w:w="2592" w:type="dxa"/>
          </w:tcPr>
          <w:p w:rsidR="00A63FA0" w:rsidRDefault="0034235D">
            <w:pPr>
              <w:spacing w:after="40" w:line="240" w:lineRule="auto"/>
              <w:jc w:val="center"/>
            </w:pPr>
            <w:r>
              <w:rPr>
                <w:rFonts w:cs="Times New Roman"/>
                <w:sz w:val="22"/>
              </w:rPr>
              <w:t>23K91A05E8</w:t>
            </w:r>
          </w:p>
        </w:tc>
      </w:tr>
    </w:tbl>
    <w:p w:rsidR="00A63FA0" w:rsidRDefault="00A63FA0">
      <w:pPr>
        <w:spacing w:line="192" w:lineRule="auto"/>
      </w:pPr>
    </w:p>
    <w:p w:rsidR="00A63FA0" w:rsidRDefault="0034235D">
      <w:pPr>
        <w:spacing w:after="200"/>
        <w:jc w:val="center"/>
      </w:pPr>
      <w:r>
        <w:rPr>
          <w:rFonts w:cs="Times New Roman"/>
          <w:b/>
        </w:rPr>
        <w:t>Project guide:</w:t>
      </w:r>
      <w:r>
        <w:rPr>
          <w:rFonts w:cs="Times New Roman"/>
        </w:rPr>
        <w:t xml:space="preserve"> K Anusha</w:t>
      </w:r>
    </w:p>
    <w:p w:rsidR="00A63FA0" w:rsidRDefault="0034235D">
      <w:r>
        <w:rPr>
          <w:rFonts w:cs="Times New Roman"/>
          <w:i/>
          <w:sz w:val="21"/>
        </w:rPr>
        <w:t xml:space="preserve">Chapter and section numbers quoted in the text </w:t>
      </w:r>
      <w:r>
        <w:rPr>
          <w:rFonts w:cs="Times New Roman"/>
          <w:i/>
          <w:sz w:val="21"/>
        </w:rPr>
        <w:t>(for example Chapter 8 or Section 6.2) refer to the full project report, 17.Final Document. Figures and tables in this document are numbered from 1.</w:t>
      </w:r>
    </w:p>
    <w:p w:rsidR="00A63FA0" w:rsidRDefault="0034235D">
      <w:pPr>
        <w:pStyle w:val="Heading1"/>
      </w:pPr>
      <w:r>
        <w:t>1. CONCLUSION</w:t>
      </w:r>
    </w:p>
    <w:p w:rsidR="00A63FA0" w:rsidRDefault="0034235D">
      <w:pPr>
        <w:pStyle w:val="Heading2"/>
      </w:pPr>
      <w:r>
        <w:t>1.1 Summary of the work</w:t>
      </w:r>
    </w:p>
    <w:p w:rsidR="00A63FA0" w:rsidRDefault="0034235D">
      <w:r>
        <w:rPr>
          <w:rFonts w:cs="Times New Roman"/>
        </w:rPr>
        <w:t xml:space="preserve">The project set out to predict stock direction from prices, news and </w:t>
      </w:r>
      <w:r>
        <w:rPr>
          <w:rFonts w:cs="Times New Roman"/>
        </w:rPr>
        <w:t>social media with multiple instance learning. It delivered QuantPulse, a working forecasting product that implements the base paper's hybrid pipeline [1]: ten tickers, five classical baselines, four deep-model tiers (LSTM, attention, sentiment, simulated F</w:t>
      </w:r>
      <w:r>
        <w:rPr>
          <w:rFonts w:cs="Times New Roman"/>
        </w:rPr>
        <w:t>edAvg), 5- and 30-day forecasts with bands, a FastAPI backend and a six-screen React website, with 56 passing tests and 26 passing smoke checks. In the documentation phase the product was evaluated far more strictly than the base paper evaluates its own: f</w:t>
      </w:r>
      <w:r>
        <w:rPr>
          <w:rFonts w:cs="Times New Roman"/>
        </w:rPr>
        <w:t>ive seeds, a persistence baseline, scoring against real closes, and a forward test against the closes that followed the stored forecasts. Because the title asks for multiple instance learning and the product has none, an offline MIL study was added on 46,5</w:t>
      </w:r>
      <w:r>
        <w:rPr>
          <w:rFonts w:cs="Times New Roman"/>
        </w:rPr>
        <w:t>32 real FNSPID headlines.</w:t>
      </w:r>
    </w:p>
    <w:p w:rsidR="00A63FA0" w:rsidRDefault="0034235D">
      <w:r>
        <w:rPr>
          <w:rFonts w:cs="Times New Roman"/>
        </w:rPr>
        <w:lastRenderedPageBreak/>
        <w:t>The work therefore has two layers. The first is the product layer: what a user sees and can run, which behaves as the base paper's design says it should and is robust against bad input (invalid symbols return 400, unknown ones 404</w:t>
      </w:r>
      <w:r>
        <w:rPr>
          <w:rFonts w:cs="Times New Roman"/>
        </w:rPr>
        <w:t xml:space="preserve">, missing artefacts 503). The second is the evidence layer: what the numbers say about the forecasts, which is mostly negative. Keeping the two apart is the main discipline of this report, and the same split is used in every chapter: Chapter 6 and Chapter </w:t>
      </w:r>
      <w:r>
        <w:rPr>
          <w:rFonts w:cs="Times New Roman"/>
        </w:rPr>
        <w:t>5 describe what was built, Chapter 7 and Chapter 8 describe what was measured.</w:t>
      </w:r>
    </w:p>
    <w:p w:rsidR="00A63FA0" w:rsidRDefault="0034235D">
      <w:pPr>
        <w:pStyle w:val="Heading2"/>
      </w:pPr>
      <w:r>
        <w:t>1.2 Objectives achieved and not achieved</w:t>
      </w:r>
    </w:p>
    <w:p w:rsidR="00A63FA0" w:rsidRDefault="0034235D">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Batch objectives against the outcome</w:t>
      </w:r>
    </w:p>
    <w:tbl>
      <w:tblPr>
        <w:tblStyle w:val="TableGrid"/>
        <w:tblW w:w="0" w:type="auto"/>
        <w:jc w:val="center"/>
        <w:tblLook w:val="04A0" w:firstRow="1" w:lastRow="0" w:firstColumn="1" w:lastColumn="0" w:noHBand="0" w:noVBand="1"/>
      </w:tblPr>
      <w:tblGrid>
        <w:gridCol w:w="2707"/>
        <w:gridCol w:w="1247"/>
        <w:gridCol w:w="4928"/>
      </w:tblGrid>
      <w:tr w:rsidR="00A63FA0">
        <w:trPr>
          <w:cantSplit/>
          <w:tblHeader/>
          <w:jc w:val="center"/>
        </w:trPr>
        <w:tc>
          <w:tcPr>
            <w:tcW w:w="2880" w:type="dxa"/>
            <w:shd w:val="clear" w:color="auto" w:fill="1B2A41"/>
          </w:tcPr>
          <w:p w:rsidR="00A63FA0" w:rsidRDefault="0034235D">
            <w:pPr>
              <w:spacing w:after="40" w:line="240" w:lineRule="auto"/>
              <w:jc w:val="center"/>
            </w:pPr>
            <w:r>
              <w:rPr>
                <w:rFonts w:cs="Times New Roman"/>
                <w:b/>
                <w:color w:val="FFFFFF"/>
                <w:sz w:val="19"/>
              </w:rPr>
              <w:t>Objective</w:t>
            </w:r>
          </w:p>
        </w:tc>
        <w:tc>
          <w:tcPr>
            <w:tcW w:w="1296" w:type="dxa"/>
            <w:shd w:val="clear" w:color="auto" w:fill="1B2A41"/>
          </w:tcPr>
          <w:p w:rsidR="00A63FA0" w:rsidRDefault="0034235D">
            <w:pPr>
              <w:spacing w:after="40" w:line="240" w:lineRule="auto"/>
              <w:jc w:val="center"/>
            </w:pPr>
            <w:r>
              <w:rPr>
                <w:rFonts w:cs="Times New Roman"/>
                <w:b/>
                <w:color w:val="FFFFFF"/>
                <w:sz w:val="19"/>
              </w:rPr>
              <w:t>Status</w:t>
            </w:r>
          </w:p>
        </w:tc>
        <w:tc>
          <w:tcPr>
            <w:tcW w:w="5328" w:type="dxa"/>
            <w:shd w:val="clear" w:color="auto" w:fill="1B2A41"/>
          </w:tcPr>
          <w:p w:rsidR="00A63FA0" w:rsidRDefault="0034235D">
            <w:pPr>
              <w:spacing w:after="40" w:line="240" w:lineRule="auto"/>
              <w:jc w:val="center"/>
            </w:pPr>
            <w:r>
              <w:rPr>
                <w:rFonts w:cs="Times New Roman"/>
                <w:b/>
                <w:color w:val="FFFFFF"/>
                <w:sz w:val="19"/>
              </w:rPr>
              <w:t>Evidence</w:t>
            </w:r>
          </w:p>
        </w:tc>
      </w:tr>
      <w:tr w:rsidR="00A63FA0">
        <w:trPr>
          <w:cantSplit/>
          <w:jc w:val="center"/>
        </w:trPr>
        <w:tc>
          <w:tcPr>
            <w:tcW w:w="2880" w:type="dxa"/>
          </w:tcPr>
          <w:p w:rsidR="00A63FA0" w:rsidRDefault="0034235D">
            <w:pPr>
              <w:spacing w:after="40" w:line="240" w:lineRule="auto"/>
              <w:jc w:val="left"/>
            </w:pPr>
            <w:r>
              <w:rPr>
                <w:rFonts w:cs="Times New Roman"/>
                <w:sz w:val="19"/>
              </w:rPr>
              <w:t xml:space="preserve">1. Collect prices, financial news and </w:t>
            </w:r>
            <w:r>
              <w:rPr>
                <w:rFonts w:cs="Times New Roman"/>
                <w:sz w:val="19"/>
              </w:rPr>
              <w:t>social-media text</w:t>
            </w:r>
          </w:p>
        </w:tc>
        <w:tc>
          <w:tcPr>
            <w:tcW w:w="1296" w:type="dxa"/>
          </w:tcPr>
          <w:p w:rsidR="00A63FA0" w:rsidRDefault="0034235D">
            <w:pPr>
              <w:spacing w:after="40" w:line="240" w:lineRule="auto"/>
              <w:jc w:val="center"/>
            </w:pPr>
            <w:r>
              <w:rPr>
                <w:rFonts w:cs="Times New Roman"/>
                <w:sz w:val="19"/>
              </w:rPr>
              <w:t>Partly</w:t>
            </w:r>
          </w:p>
        </w:tc>
        <w:tc>
          <w:tcPr>
            <w:tcW w:w="5328" w:type="dxa"/>
          </w:tcPr>
          <w:p w:rsidR="00A63FA0" w:rsidRDefault="0034235D">
            <w:pPr>
              <w:spacing w:after="40" w:line="240" w:lineRule="auto"/>
              <w:jc w:val="left"/>
            </w:pPr>
            <w:r>
              <w:rPr>
                <w:rFonts w:cs="Times New Roman"/>
                <w:sz w:val="19"/>
              </w:rPr>
              <w:t>Prices yes (Yahoo Finance, 10 tickers). News only as NewsAPI headlines when a key is set; the shipped run used a synthetic fallback. No social-media source.</w:t>
            </w:r>
          </w:p>
        </w:tc>
      </w:tr>
      <w:tr w:rsidR="00A63FA0">
        <w:trPr>
          <w:cantSplit/>
          <w:jc w:val="center"/>
        </w:trPr>
        <w:tc>
          <w:tcPr>
            <w:tcW w:w="2880" w:type="dxa"/>
          </w:tcPr>
          <w:p w:rsidR="00A63FA0" w:rsidRDefault="0034235D">
            <w:pPr>
              <w:spacing w:after="40" w:line="240" w:lineRule="auto"/>
              <w:jc w:val="left"/>
            </w:pPr>
            <w:r>
              <w:rPr>
                <w:rFonts w:cs="Times New Roman"/>
                <w:sz w:val="19"/>
              </w:rPr>
              <w:t>2. Align the data into daily instances per trading day</w:t>
            </w:r>
          </w:p>
        </w:tc>
        <w:tc>
          <w:tcPr>
            <w:tcW w:w="1296" w:type="dxa"/>
          </w:tcPr>
          <w:p w:rsidR="00A63FA0" w:rsidRDefault="0034235D">
            <w:pPr>
              <w:spacing w:after="40" w:line="240" w:lineRule="auto"/>
              <w:jc w:val="center"/>
            </w:pPr>
            <w:r>
              <w:rPr>
                <w:rFonts w:cs="Times New Roman"/>
                <w:sz w:val="19"/>
              </w:rPr>
              <w:t>Partly</w:t>
            </w:r>
          </w:p>
        </w:tc>
        <w:tc>
          <w:tcPr>
            <w:tcW w:w="5328" w:type="dxa"/>
          </w:tcPr>
          <w:p w:rsidR="00A63FA0" w:rsidRDefault="0034235D">
            <w:pPr>
              <w:spacing w:after="40" w:line="240" w:lineRule="auto"/>
              <w:jc w:val="left"/>
            </w:pPr>
            <w:r>
              <w:rPr>
                <w:rFonts w:cs="Times New Roman"/>
                <w:sz w:val="19"/>
              </w:rPr>
              <w:t xml:space="preserve">Daily </w:t>
            </w:r>
            <w:r>
              <w:rPr>
                <w:rFonts w:cs="Times New Roman"/>
                <w:sz w:val="19"/>
              </w:rPr>
              <w:t>alignment yes, but headlines are reduced to one mean score per day; the offline study builds true bags of headlines.</w:t>
            </w:r>
          </w:p>
        </w:tc>
      </w:tr>
      <w:tr w:rsidR="00A63FA0">
        <w:trPr>
          <w:cantSplit/>
          <w:jc w:val="center"/>
        </w:trPr>
        <w:tc>
          <w:tcPr>
            <w:tcW w:w="2880" w:type="dxa"/>
          </w:tcPr>
          <w:p w:rsidR="00A63FA0" w:rsidRDefault="0034235D">
            <w:pPr>
              <w:spacing w:after="40" w:line="240" w:lineRule="auto"/>
              <w:jc w:val="left"/>
            </w:pPr>
            <w:r>
              <w:rPr>
                <w:rFonts w:cs="Times New Roman"/>
                <w:sz w:val="19"/>
              </w:rPr>
              <w:t>3. Represent each day as a bag (MIL)</w:t>
            </w:r>
          </w:p>
        </w:tc>
        <w:tc>
          <w:tcPr>
            <w:tcW w:w="1296" w:type="dxa"/>
          </w:tcPr>
          <w:p w:rsidR="00A63FA0" w:rsidRDefault="0034235D">
            <w:pPr>
              <w:spacing w:after="40" w:line="240" w:lineRule="auto"/>
              <w:jc w:val="center"/>
            </w:pPr>
            <w:r>
              <w:rPr>
                <w:rFonts w:cs="Times New Roman"/>
                <w:sz w:val="19"/>
              </w:rPr>
              <w:t>Offline only</w:t>
            </w:r>
          </w:p>
        </w:tc>
        <w:tc>
          <w:tcPr>
            <w:tcW w:w="5328" w:type="dxa"/>
          </w:tcPr>
          <w:p w:rsidR="00A63FA0" w:rsidRDefault="0034235D">
            <w:pPr>
              <w:spacing w:after="40" w:line="240" w:lineRule="auto"/>
              <w:jc w:val="left"/>
            </w:pPr>
            <w:r>
              <w:rPr>
                <w:rFonts w:cs="Times New Roman"/>
                <w:sz w:val="19"/>
              </w:rPr>
              <w:t>Not in the product. The offline study bags 46,532 real headlines and trains mean, max an</w:t>
            </w:r>
            <w:r>
              <w:rPr>
                <w:rFonts w:cs="Times New Roman"/>
                <w:sz w:val="19"/>
              </w:rPr>
              <w:t>d gated-attention pooling.</w:t>
            </w:r>
          </w:p>
        </w:tc>
      </w:tr>
      <w:tr w:rsidR="00A63FA0">
        <w:trPr>
          <w:cantSplit/>
          <w:jc w:val="center"/>
        </w:trPr>
        <w:tc>
          <w:tcPr>
            <w:tcW w:w="2880" w:type="dxa"/>
          </w:tcPr>
          <w:p w:rsidR="00A63FA0" w:rsidRDefault="0034235D">
            <w:pPr>
              <w:spacing w:after="40" w:line="240" w:lineRule="auto"/>
              <w:jc w:val="left"/>
            </w:pPr>
            <w:r>
              <w:rPr>
                <w:rFonts w:cs="Times New Roman"/>
                <w:sz w:val="19"/>
              </w:rPr>
              <w:t>4. Hybrid of sequence learning on prices and attention over news</w:t>
            </w:r>
          </w:p>
        </w:tc>
        <w:tc>
          <w:tcPr>
            <w:tcW w:w="1296" w:type="dxa"/>
          </w:tcPr>
          <w:p w:rsidR="00A63FA0" w:rsidRDefault="0034235D">
            <w:pPr>
              <w:spacing w:after="40" w:line="240" w:lineRule="auto"/>
              <w:jc w:val="center"/>
            </w:pPr>
            <w:r>
              <w:rPr>
                <w:rFonts w:cs="Times New Roman"/>
                <w:sz w:val="19"/>
              </w:rPr>
              <w:t>Partly</w:t>
            </w:r>
          </w:p>
        </w:tc>
        <w:tc>
          <w:tcPr>
            <w:tcW w:w="5328" w:type="dxa"/>
          </w:tcPr>
          <w:p w:rsidR="00A63FA0" w:rsidRDefault="0034235D">
            <w:pPr>
              <w:spacing w:after="40" w:line="240" w:lineRule="auto"/>
              <w:jc w:val="left"/>
            </w:pPr>
            <w:r>
              <w:rPr>
                <w:rFonts w:cs="Times New Roman"/>
                <w:sz w:val="19"/>
              </w:rPr>
              <w:t>LSTM + attention over the 20-day price window + a daily sentiment channel (product); attention over news instances only in the offline study.</w:t>
            </w:r>
          </w:p>
        </w:tc>
      </w:tr>
      <w:tr w:rsidR="00A63FA0">
        <w:trPr>
          <w:cantSplit/>
          <w:jc w:val="center"/>
        </w:trPr>
        <w:tc>
          <w:tcPr>
            <w:tcW w:w="2880" w:type="dxa"/>
          </w:tcPr>
          <w:p w:rsidR="00A63FA0" w:rsidRDefault="0034235D">
            <w:pPr>
              <w:spacing w:after="40" w:line="240" w:lineRule="auto"/>
              <w:jc w:val="left"/>
            </w:pPr>
            <w:r>
              <w:rPr>
                <w:rFonts w:cs="Times New Roman"/>
                <w:sz w:val="19"/>
              </w:rPr>
              <w:t>5. Predict di</w:t>
            </w:r>
            <w:r>
              <w:rPr>
                <w:rFonts w:cs="Times New Roman"/>
                <w:sz w:val="19"/>
              </w:rPr>
              <w:t>rection; accuracy, precision, recall, F1</w:t>
            </w:r>
          </w:p>
        </w:tc>
        <w:tc>
          <w:tcPr>
            <w:tcW w:w="1296" w:type="dxa"/>
          </w:tcPr>
          <w:p w:rsidR="00A63FA0" w:rsidRDefault="0034235D">
            <w:pPr>
              <w:spacing w:after="40" w:line="240" w:lineRule="auto"/>
              <w:jc w:val="center"/>
            </w:pPr>
            <w:r>
              <w:rPr>
                <w:rFonts w:cs="Times New Roman"/>
                <w:sz w:val="19"/>
              </w:rPr>
              <w:t>Offline only</w:t>
            </w:r>
          </w:p>
        </w:tc>
        <w:tc>
          <w:tcPr>
            <w:tcW w:w="5328" w:type="dxa"/>
          </w:tcPr>
          <w:p w:rsidR="00A63FA0" w:rsidRDefault="0034235D">
            <w:pPr>
              <w:spacing w:after="40" w:line="240" w:lineRule="auto"/>
              <w:jc w:val="left"/>
            </w:pPr>
            <w:r>
              <w:rPr>
                <w:rFonts w:cs="Times New Roman"/>
                <w:sz w:val="19"/>
              </w:rPr>
              <w:t>The product reports MAE/R2 and a direction figure; precision, recall and F1 are computed only in the offline study.</w:t>
            </w:r>
          </w:p>
        </w:tc>
      </w:tr>
      <w:tr w:rsidR="00A63FA0">
        <w:trPr>
          <w:cantSplit/>
          <w:jc w:val="center"/>
        </w:trPr>
        <w:tc>
          <w:tcPr>
            <w:tcW w:w="2880" w:type="dxa"/>
          </w:tcPr>
          <w:p w:rsidR="00A63FA0" w:rsidRDefault="0034235D">
            <w:pPr>
              <w:spacing w:after="40" w:line="240" w:lineRule="auto"/>
              <w:jc w:val="left"/>
            </w:pPr>
            <w:r>
              <w:rPr>
                <w:rFonts w:cs="Times New Roman"/>
                <w:sz w:val="19"/>
              </w:rPr>
              <w:t>6. Compare multi-source against a price-only baseline</w:t>
            </w:r>
          </w:p>
        </w:tc>
        <w:tc>
          <w:tcPr>
            <w:tcW w:w="1296" w:type="dxa"/>
          </w:tcPr>
          <w:p w:rsidR="00A63FA0" w:rsidRDefault="0034235D">
            <w:pPr>
              <w:spacing w:after="40" w:line="240" w:lineRule="auto"/>
              <w:jc w:val="center"/>
            </w:pPr>
            <w:r>
              <w:rPr>
                <w:rFonts w:cs="Times New Roman"/>
                <w:sz w:val="19"/>
              </w:rPr>
              <w:t>Done, no gain</w:t>
            </w:r>
          </w:p>
        </w:tc>
        <w:tc>
          <w:tcPr>
            <w:tcW w:w="5328" w:type="dxa"/>
          </w:tcPr>
          <w:p w:rsidR="00A63FA0" w:rsidRDefault="0034235D">
            <w:pPr>
              <w:spacing w:after="40" w:line="240" w:lineRule="auto"/>
              <w:jc w:val="left"/>
            </w:pPr>
            <w:r>
              <w:rPr>
                <w:rFonts w:cs="Times New Roman"/>
                <w:sz w:val="19"/>
              </w:rPr>
              <w:t>Offline: best MIL</w:t>
            </w:r>
            <w:r>
              <w:rPr>
                <w:rFonts w:cs="Times New Roman"/>
                <w:sz w:val="19"/>
              </w:rPr>
              <w:t xml:space="preserve"> variant +2.1 points [-0.9, +5.2] over the price-only LSTM; the product's own ablation is not valid because its sentiment is synthetic and zero in training.</w:t>
            </w:r>
          </w:p>
        </w:tc>
      </w:tr>
    </w:tbl>
    <w:p w:rsidR="00A63FA0" w:rsidRDefault="00A63FA0">
      <w:pPr>
        <w:spacing w:line="192" w:lineRule="auto"/>
      </w:pPr>
    </w:p>
    <w:p w:rsidR="00A63FA0" w:rsidRDefault="0034235D">
      <w:r>
        <w:rPr>
          <w:rFonts w:cs="Times New Roman"/>
        </w:rPr>
        <w:t xml:space="preserve">Two of the six objectives are met only partly by the product and two only by work done outside </w:t>
      </w:r>
      <w:r>
        <w:rPr>
          <w:rFonts w:cs="Times New Roman"/>
        </w:rPr>
        <w:t>it; none is claimed beyond what the table says.</w:t>
      </w:r>
    </w:p>
    <w:p w:rsidR="00A63FA0" w:rsidRDefault="0034235D">
      <w:r>
        <w:rPr>
          <w:rFonts w:cs="Times New Roman"/>
        </w:rPr>
        <w:t xml:space="preserve">The statuses are deliberately strict. 'Partly' means that the product contains a simpler version of the step; 'Offline only' means that the step exists as a script that is not part of the application; 'Done, </w:t>
      </w:r>
      <w:r>
        <w:rPr>
          <w:rFonts w:cs="Times New Roman"/>
        </w:rPr>
        <w:t>no gain' means the comparison was made and showed no improvement.</w:t>
      </w:r>
    </w:p>
    <w:p w:rsidR="00A63FA0" w:rsidRDefault="0034235D">
      <w:pPr>
        <w:pStyle w:val="Heading2"/>
      </w:pPr>
      <w:r>
        <w:t>1.3 Key findings</w:t>
      </w:r>
    </w:p>
    <w:p w:rsidR="00A63FA0" w:rsidRDefault="0034235D">
      <w:pPr>
        <w:spacing w:after="60"/>
        <w:ind w:left="720" w:hanging="432"/>
      </w:pPr>
      <w:r>
        <w:rPr>
          <w:rFonts w:cs="Times New Roman"/>
        </w:rPr>
        <w:t xml:space="preserve">1.  </w:t>
      </w:r>
      <w:r>
        <w:rPr>
          <w:rFonts w:cs="Times New Roman"/>
          <w:b/>
        </w:rPr>
        <w:t>No deep tier beats persistence.</w:t>
      </w:r>
      <w:r>
        <w:rPr>
          <w:rFonts w:cs="Times New Roman"/>
        </w:rPr>
        <w:t xml:space="preserve"> Against the real closes the best tier (LSTM plus attention) has a mean absolute error of $29.37 ± 1.39 over five seeds, and persistence $</w:t>
      </w:r>
      <w:r>
        <w:rPr>
          <w:rFonts w:cs="Times New Roman"/>
        </w:rPr>
        <w:t>6.24; R2 is -3.5. Random Forest is the best of the shipped models on 6 of 10 tickers.</w:t>
      </w:r>
    </w:p>
    <w:p w:rsidR="00A63FA0" w:rsidRDefault="0034235D">
      <w:pPr>
        <w:spacing w:after="60"/>
        <w:ind w:left="720" w:hanging="432"/>
      </w:pPr>
      <w:r>
        <w:rPr>
          <w:rFonts w:cs="Times New Roman"/>
        </w:rPr>
        <w:lastRenderedPageBreak/>
        <w:t xml:space="preserve">2.  </w:t>
      </w:r>
      <w:r>
        <w:rPr>
          <w:rFonts w:cs="Times New Roman"/>
          <w:b/>
        </w:rPr>
        <w:t>The shipped scoring is optimistic.</w:t>
      </w:r>
      <w:r>
        <w:rPr>
          <w:rFonts w:cs="Times New Roman"/>
        </w:rPr>
        <w:t xml:space="preserve"> Test targets are clipped to the training range, which affects 5 of 10 tickers strongly; directional accuracy reads 68.3 % in the pr</w:t>
      </w:r>
      <w:r>
        <w:rPr>
          <w:rFonts w:cs="Times New Roman"/>
        </w:rPr>
        <w:t>oduct and 53.0 % against real closes.</w:t>
      </w:r>
    </w:p>
    <w:p w:rsidR="00A63FA0" w:rsidRDefault="0034235D">
      <w:pPr>
        <w:spacing w:after="60"/>
        <w:ind w:left="720" w:hanging="432"/>
      </w:pPr>
      <w:r>
        <w:rPr>
          <w:rFonts w:cs="Times New Roman"/>
        </w:rPr>
        <w:t xml:space="preserve">3.  </w:t>
      </w:r>
      <w:r>
        <w:rPr>
          <w:rFonts w:cs="Times New Roman"/>
          <w:b/>
        </w:rPr>
        <w:t>The stored forecasts failed a forward test.</w:t>
      </w:r>
      <w:r>
        <w:rPr>
          <w:rFonts w:cs="Times New Roman"/>
        </w:rPr>
        <w:t xml:space="preserve"> From 2026-09-08 the 5-day forecasts averaged -14.8 % while prices moved -0.4 %; the 5-day MAE was $59.04 against $11.09 for no change, and the trend flag was right for 4 </w:t>
      </w:r>
      <w:r>
        <w:rPr>
          <w:rFonts w:cs="Times New Roman"/>
        </w:rPr>
        <w:t>of 10 (30-day: 6 of 10).</w:t>
      </w:r>
    </w:p>
    <w:p w:rsidR="00A63FA0" w:rsidRDefault="0034235D">
      <w:pPr>
        <w:spacing w:after="60"/>
        <w:ind w:left="720" w:hanging="432"/>
      </w:pPr>
      <w:r>
        <w:rPr>
          <w:rFonts w:cs="Times New Roman"/>
        </w:rPr>
        <w:t xml:space="preserve">4.  </w:t>
      </w:r>
      <w:r>
        <w:rPr>
          <w:rFonts w:cs="Times New Roman"/>
          <w:b/>
        </w:rPr>
        <w:t>Sentiment and federation did not help.</w:t>
      </w:r>
      <w:r>
        <w:rPr>
          <w:rFonts w:cs="Times New Roman"/>
        </w:rPr>
        <w:t xml:space="preserve"> The sentiment channel is zero during training, so the tier is unstable (MAE $37.55 ± 7.69); a time-shuffled placebo scores $29.09, the same as no sentiment; FedAvg scores $43.70 ± 11.14.</w:t>
      </w:r>
    </w:p>
    <w:p w:rsidR="00A63FA0" w:rsidRDefault="0034235D">
      <w:pPr>
        <w:spacing w:after="60"/>
        <w:ind w:left="720" w:hanging="432"/>
      </w:pPr>
      <w:r>
        <w:rPr>
          <w:rFonts w:cs="Times New Roman"/>
        </w:rPr>
        <w:t>5</w:t>
      </w:r>
      <w:r>
        <w:rPr>
          <w:rFonts w:cs="Times New Roman"/>
        </w:rPr>
        <w:t xml:space="preserve">.  </w:t>
      </w:r>
      <w:r>
        <w:rPr>
          <w:rFonts w:cs="Times New Roman"/>
          <w:b/>
        </w:rPr>
        <w:t>Real news bags gave no measurable gain in the offline study.</w:t>
      </w:r>
      <w:r>
        <w:rPr>
          <w:rFonts w:cs="Times New Roman"/>
        </w:rPr>
        <w:t xml:space="preserve"> On 1,309 pooled test samples the always-up rate is 53.6 %; the matched price-only LSTM reaches 48.8 %, the gated-attention MIL model 49.8 % (F1 0.42), and a placebo with other days' bags 49.8 %. The largest paired gain over price-only is +2.1 points with </w:t>
      </w:r>
      <w:r>
        <w:rPr>
          <w:rFonts w:cs="Times New Roman"/>
        </w:rPr>
        <w:t>a 95 % interval [-0.9, +5.2].</w:t>
      </w:r>
    </w:p>
    <w:p w:rsidR="00A63FA0" w:rsidRDefault="0034235D">
      <w:pPr>
        <w:spacing w:after="60"/>
        <w:ind w:left="720" w:hanging="432"/>
      </w:pPr>
      <w:r>
        <w:rPr>
          <w:rFonts w:cs="Times New Roman"/>
        </w:rPr>
        <w:t xml:space="preserve">6.  </w:t>
      </w:r>
      <w:r>
        <w:rPr>
          <w:rFonts w:cs="Times New Roman"/>
          <w:b/>
        </w:rPr>
        <w:t>The attention weights did not single out headlines.</w:t>
      </w:r>
      <w:r>
        <w:rPr>
          <w:rFonts w:cs="Times New Roman"/>
        </w:rPr>
        <w:t xml:space="preserve"> In the 8 test days inspected the highest weight was on average 1.15 times the uniform weight 1/n; for example on MSFT 2023-10-27 (24 headlines) the top three weights were</w:t>
      </w:r>
      <w:r>
        <w:rPr>
          <w:rFonts w:cs="Times New Roman"/>
        </w:rPr>
        <w:t xml:space="preserve"> 0.051/0.049/0.047 against a uniform 0.042, and the predicted probability was 0.50, so gated attention behaved almost like mean pooling.</w:t>
      </w:r>
    </w:p>
    <w:p w:rsidR="00A63FA0" w:rsidRDefault="0034235D">
      <w:pPr>
        <w:spacing w:after="60"/>
        <w:ind w:left="720" w:hanging="432"/>
      </w:pPr>
      <w:r>
        <w:rPr>
          <w:rFonts w:cs="Times New Roman"/>
        </w:rPr>
        <w:t xml:space="preserve">7.  </w:t>
      </w:r>
      <w:r>
        <w:rPr>
          <w:rFonts w:cs="Times New Roman"/>
          <w:b/>
        </w:rPr>
        <w:t>The base paper's R2 of 0.91 was not reproduced.</w:t>
      </w:r>
      <w:r>
        <w:rPr>
          <w:rFonts w:cs="Times New Roman"/>
        </w:rPr>
        <w:t xml:space="preserve"> Shipped R2 averages -67.7 for the hybrid; datasets and protocols di</w:t>
      </w:r>
      <w:r>
        <w:rPr>
          <w:rFonts w:cs="Times New Roman"/>
        </w:rPr>
        <w:t>ffer (30-day window and scaled units in the paper, two years and dollars here), so this is not a refutation.</w:t>
      </w:r>
    </w:p>
    <w:p w:rsidR="00A63FA0" w:rsidRDefault="0034235D">
      <w:r>
        <w:rPr>
          <w:rFonts w:cs="Times New Roman"/>
        </w:rPr>
        <w:t>Reading the MIL table needs care. Accuracy alone is dominated by the class balance: the test samples are 53.6 % up days, and the price-only LSTM tr</w:t>
      </w:r>
      <w:r>
        <w:rPr>
          <w:rFonts w:cs="Times New Roman"/>
        </w:rPr>
        <w:t>ained on all history since 2016 reaches 53.6 % accuracy only because it predicts 'up' for 95 % of days (recall 0.96, ROC-AUC 0.49, i.e. no ranking skill). The matched-window models lean the other way and call fewer days up, which lowers recall and F1. ROC-</w:t>
      </w:r>
      <w:r>
        <w:rPr>
          <w:rFonts w:cs="Times New Roman"/>
        </w:rPr>
        <w:t>AUC, which does not depend on a threshold, sits between 0.497 and 0.524 for every price or price-plus-news model, which is within chance for a sample of this size. Restricting the score to days that have at least one headline (94 % of test days) changes no</w:t>
      </w:r>
      <w:r>
        <w:rPr>
          <w:rFonts w:cs="Times New Roman"/>
        </w:rPr>
        <w:t>thing: the MIL attention model scores 49.7 % on those days. The news-only MIL model, which has no price input, reaches 51.4 % accuracy but with ROC-AUC 0.49: it, too, mostly predicts the majority class.</w:t>
      </w:r>
    </w:p>
    <w:p w:rsidR="00A63FA0" w:rsidRDefault="0034235D">
      <w:pPr>
        <w:pStyle w:val="Caption"/>
        <w:keepNext/>
        <w:spacing w:after="80"/>
      </w:pPr>
      <w:r>
        <w:rPr>
          <w:rFonts w:cs="Times New Roman"/>
        </w:rPr>
        <w:lastRenderedPageBreak/>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w:t>
      </w:r>
      <w:r>
        <w:rPr>
          <w:rFonts w:cs="Times New Roman"/>
        </w:rPr>
        <w:fldChar w:fldCharType="end"/>
      </w:r>
      <w:r>
        <w:rPr>
          <w:rFonts w:cs="Times New Roman"/>
        </w:rPr>
        <w:t>: Headline measurement</w:t>
      </w:r>
      <w:r>
        <w:rPr>
          <w:rFonts w:cs="Times New Roman"/>
        </w:rPr>
        <w:t>s behind the findings</w:t>
      </w:r>
    </w:p>
    <w:tbl>
      <w:tblPr>
        <w:tblStyle w:val="TableGrid"/>
        <w:tblW w:w="0" w:type="auto"/>
        <w:jc w:val="center"/>
        <w:tblLook w:val="04A0" w:firstRow="1" w:lastRow="0" w:firstColumn="1" w:lastColumn="0" w:noHBand="0" w:noVBand="1"/>
      </w:tblPr>
      <w:tblGrid>
        <w:gridCol w:w="4396"/>
        <w:gridCol w:w="2275"/>
        <w:gridCol w:w="2211"/>
      </w:tblGrid>
      <w:tr w:rsidR="00A63FA0">
        <w:trPr>
          <w:cantSplit/>
          <w:tblHeader/>
          <w:jc w:val="center"/>
        </w:trPr>
        <w:tc>
          <w:tcPr>
            <w:tcW w:w="4752" w:type="dxa"/>
            <w:shd w:val="clear" w:color="auto" w:fill="1B2A41"/>
          </w:tcPr>
          <w:p w:rsidR="00A63FA0" w:rsidRDefault="0034235D">
            <w:pPr>
              <w:spacing w:after="40" w:line="240" w:lineRule="auto"/>
              <w:jc w:val="center"/>
            </w:pPr>
            <w:r>
              <w:rPr>
                <w:rFonts w:cs="Times New Roman"/>
                <w:b/>
                <w:color w:val="FFFFFF"/>
                <w:sz w:val="19"/>
              </w:rPr>
              <w:t>Measurement</w:t>
            </w:r>
          </w:p>
        </w:tc>
        <w:tc>
          <w:tcPr>
            <w:tcW w:w="2448" w:type="dxa"/>
            <w:shd w:val="clear" w:color="auto" w:fill="1B2A41"/>
          </w:tcPr>
          <w:p w:rsidR="00A63FA0" w:rsidRDefault="0034235D">
            <w:pPr>
              <w:spacing w:after="40" w:line="240" w:lineRule="auto"/>
              <w:jc w:val="center"/>
            </w:pPr>
            <w:r>
              <w:rPr>
                <w:rFonts w:cs="Times New Roman"/>
                <w:b/>
                <w:color w:val="FFFFFF"/>
                <w:sz w:val="19"/>
              </w:rPr>
              <w:t>Value</w:t>
            </w:r>
          </w:p>
        </w:tc>
        <w:tc>
          <w:tcPr>
            <w:tcW w:w="2304" w:type="dxa"/>
            <w:shd w:val="clear" w:color="auto" w:fill="1B2A41"/>
          </w:tcPr>
          <w:p w:rsidR="00A63FA0" w:rsidRDefault="0034235D">
            <w:pPr>
              <w:spacing w:after="40" w:line="240" w:lineRule="auto"/>
              <w:jc w:val="center"/>
            </w:pPr>
            <w:r>
              <w:rPr>
                <w:rFonts w:cs="Times New Roman"/>
                <w:b/>
                <w:color w:val="FFFFFF"/>
                <w:sz w:val="19"/>
              </w:rPr>
              <w:t>Source</w:t>
            </w:r>
          </w:p>
        </w:tc>
      </w:tr>
      <w:tr w:rsidR="00A63FA0">
        <w:trPr>
          <w:cantSplit/>
          <w:jc w:val="center"/>
        </w:trPr>
        <w:tc>
          <w:tcPr>
            <w:tcW w:w="4752" w:type="dxa"/>
          </w:tcPr>
          <w:p w:rsidR="00A63FA0" w:rsidRDefault="0034235D">
            <w:pPr>
              <w:spacing w:after="40" w:line="240" w:lineRule="auto"/>
              <w:jc w:val="left"/>
            </w:pPr>
            <w:r>
              <w:rPr>
                <w:rFonts w:cs="Times New Roman"/>
                <w:sz w:val="19"/>
              </w:rPr>
              <w:t>Persistence MAE (yesterday's close), 10-ticker mean</w:t>
            </w:r>
          </w:p>
        </w:tc>
        <w:tc>
          <w:tcPr>
            <w:tcW w:w="2448" w:type="dxa"/>
          </w:tcPr>
          <w:p w:rsidR="00A63FA0" w:rsidRDefault="0034235D">
            <w:pPr>
              <w:spacing w:after="40" w:line="240" w:lineRule="auto"/>
              <w:jc w:val="center"/>
            </w:pPr>
            <w:r>
              <w:rPr>
                <w:rFonts w:cs="Times New Roman"/>
                <w:sz w:val="19"/>
              </w:rPr>
              <w:t>$6.24</w:t>
            </w:r>
          </w:p>
        </w:tc>
        <w:tc>
          <w:tcPr>
            <w:tcW w:w="2304" w:type="dxa"/>
          </w:tcPr>
          <w:p w:rsidR="00A63FA0" w:rsidRDefault="0034235D">
            <w:pPr>
              <w:spacing w:after="40" w:line="240" w:lineRule="auto"/>
              <w:jc w:val="left"/>
            </w:pPr>
            <w:r>
              <w:rPr>
                <w:rFonts w:cs="Times New Roman"/>
                <w:sz w:val="19"/>
              </w:rPr>
              <w:t>5-seed re-run, true closes</w:t>
            </w:r>
          </w:p>
        </w:tc>
      </w:tr>
      <w:tr w:rsidR="00A63FA0">
        <w:trPr>
          <w:cantSplit/>
          <w:jc w:val="center"/>
        </w:trPr>
        <w:tc>
          <w:tcPr>
            <w:tcW w:w="4752" w:type="dxa"/>
          </w:tcPr>
          <w:p w:rsidR="00A63FA0" w:rsidRDefault="0034235D">
            <w:pPr>
              <w:spacing w:after="40" w:line="240" w:lineRule="auto"/>
              <w:jc w:val="left"/>
            </w:pPr>
            <w:r>
              <w:rPr>
                <w:rFonts w:cs="Times New Roman"/>
                <w:sz w:val="19"/>
              </w:rPr>
              <w:t>LSTM + attention MAE / R2 on real closes</w:t>
            </w:r>
          </w:p>
        </w:tc>
        <w:tc>
          <w:tcPr>
            <w:tcW w:w="2448" w:type="dxa"/>
          </w:tcPr>
          <w:p w:rsidR="00A63FA0" w:rsidRDefault="0034235D">
            <w:pPr>
              <w:spacing w:after="40" w:line="240" w:lineRule="auto"/>
              <w:jc w:val="center"/>
            </w:pPr>
            <w:r>
              <w:rPr>
                <w:rFonts w:cs="Times New Roman"/>
                <w:sz w:val="19"/>
              </w:rPr>
              <w:t>$29.37 / -3.5</w:t>
            </w:r>
          </w:p>
        </w:tc>
        <w:tc>
          <w:tcPr>
            <w:tcW w:w="2304" w:type="dxa"/>
          </w:tcPr>
          <w:p w:rsidR="00A63FA0" w:rsidRDefault="0034235D">
            <w:pPr>
              <w:spacing w:after="40" w:line="240" w:lineRule="auto"/>
              <w:jc w:val="left"/>
            </w:pPr>
            <w:r>
              <w:rPr>
                <w:rFonts w:cs="Times New Roman"/>
                <w:sz w:val="19"/>
              </w:rPr>
              <w:t>5-seed re-run</w:t>
            </w:r>
          </w:p>
        </w:tc>
      </w:tr>
      <w:tr w:rsidR="00A63FA0">
        <w:trPr>
          <w:cantSplit/>
          <w:jc w:val="center"/>
        </w:trPr>
        <w:tc>
          <w:tcPr>
            <w:tcW w:w="4752" w:type="dxa"/>
          </w:tcPr>
          <w:p w:rsidR="00A63FA0" w:rsidRDefault="0034235D">
            <w:pPr>
              <w:spacing w:after="40" w:line="240" w:lineRule="auto"/>
              <w:jc w:val="left"/>
            </w:pPr>
            <w:r>
              <w:rPr>
                <w:rFonts w:cs="Times New Roman"/>
                <w:sz w:val="19"/>
              </w:rPr>
              <w:t>LSTM MAE / sentiment tier MAE / FedAvg hybrid MAE</w:t>
            </w:r>
          </w:p>
        </w:tc>
        <w:tc>
          <w:tcPr>
            <w:tcW w:w="2448" w:type="dxa"/>
          </w:tcPr>
          <w:p w:rsidR="00A63FA0" w:rsidRDefault="0034235D">
            <w:pPr>
              <w:spacing w:after="40" w:line="240" w:lineRule="auto"/>
              <w:jc w:val="center"/>
            </w:pPr>
            <w:r>
              <w:rPr>
                <w:rFonts w:cs="Times New Roman"/>
                <w:sz w:val="19"/>
              </w:rPr>
              <w:t>$53.71 / $37.55 / $43.70</w:t>
            </w:r>
          </w:p>
        </w:tc>
        <w:tc>
          <w:tcPr>
            <w:tcW w:w="2304" w:type="dxa"/>
          </w:tcPr>
          <w:p w:rsidR="00A63FA0" w:rsidRDefault="0034235D">
            <w:pPr>
              <w:spacing w:after="40" w:line="240" w:lineRule="auto"/>
              <w:jc w:val="left"/>
            </w:pPr>
            <w:r>
              <w:rPr>
                <w:rFonts w:cs="Times New Roman"/>
                <w:sz w:val="19"/>
              </w:rPr>
              <w:t>5-seed re-run</w:t>
            </w:r>
          </w:p>
        </w:tc>
      </w:tr>
      <w:tr w:rsidR="00A63FA0">
        <w:trPr>
          <w:cantSplit/>
          <w:jc w:val="center"/>
        </w:trPr>
        <w:tc>
          <w:tcPr>
            <w:tcW w:w="4752" w:type="dxa"/>
          </w:tcPr>
          <w:p w:rsidR="00A63FA0" w:rsidRDefault="0034235D">
            <w:pPr>
              <w:spacing w:after="40" w:line="240" w:lineRule="auto"/>
              <w:jc w:val="left"/>
            </w:pPr>
            <w:r>
              <w:rPr>
                <w:rFonts w:cs="Times New Roman"/>
                <w:sz w:val="19"/>
              </w:rPr>
              <w:t>Shipped direction vs true direction (LSTM + attention)</w:t>
            </w:r>
          </w:p>
        </w:tc>
        <w:tc>
          <w:tcPr>
            <w:tcW w:w="2448" w:type="dxa"/>
          </w:tcPr>
          <w:p w:rsidR="00A63FA0" w:rsidRDefault="0034235D">
            <w:pPr>
              <w:spacing w:after="40" w:line="240" w:lineRule="auto"/>
              <w:jc w:val="center"/>
            </w:pPr>
            <w:r>
              <w:rPr>
                <w:rFonts w:cs="Times New Roman"/>
                <w:sz w:val="19"/>
              </w:rPr>
              <w:t>68.3 % vs 53.0 %</w:t>
            </w:r>
          </w:p>
        </w:tc>
        <w:tc>
          <w:tcPr>
            <w:tcW w:w="2304" w:type="dxa"/>
          </w:tcPr>
          <w:p w:rsidR="00A63FA0" w:rsidRDefault="0034235D">
            <w:pPr>
              <w:spacing w:after="40" w:line="240" w:lineRule="auto"/>
              <w:jc w:val="left"/>
            </w:pPr>
            <w:r>
              <w:rPr>
                <w:rFonts w:cs="Times New Roman"/>
                <w:sz w:val="19"/>
              </w:rPr>
              <w:t>5-seed re-run</w:t>
            </w:r>
          </w:p>
        </w:tc>
      </w:tr>
      <w:tr w:rsidR="00A63FA0">
        <w:trPr>
          <w:cantSplit/>
          <w:jc w:val="center"/>
        </w:trPr>
        <w:tc>
          <w:tcPr>
            <w:tcW w:w="4752" w:type="dxa"/>
          </w:tcPr>
          <w:p w:rsidR="00A63FA0" w:rsidRDefault="0034235D">
            <w:pPr>
              <w:spacing w:after="40" w:line="240" w:lineRule="auto"/>
              <w:jc w:val="left"/>
            </w:pPr>
            <w:r>
              <w:rPr>
                <w:rFonts w:cs="Times New Roman"/>
                <w:sz w:val="19"/>
              </w:rPr>
              <w:t>Stored 5-day forecast: mean change vs actual</w:t>
            </w:r>
          </w:p>
        </w:tc>
        <w:tc>
          <w:tcPr>
            <w:tcW w:w="2448" w:type="dxa"/>
          </w:tcPr>
          <w:p w:rsidR="00A63FA0" w:rsidRDefault="0034235D">
            <w:pPr>
              <w:spacing w:after="40" w:line="240" w:lineRule="auto"/>
              <w:jc w:val="center"/>
            </w:pPr>
            <w:r>
              <w:rPr>
                <w:rFonts w:cs="Times New Roman"/>
                <w:sz w:val="19"/>
              </w:rPr>
              <w:t>-14.8 % vs -0.4 %</w:t>
            </w:r>
          </w:p>
        </w:tc>
        <w:tc>
          <w:tcPr>
            <w:tcW w:w="2304" w:type="dxa"/>
          </w:tcPr>
          <w:p w:rsidR="00A63FA0" w:rsidRDefault="0034235D">
            <w:pPr>
              <w:spacing w:after="40" w:line="240" w:lineRule="auto"/>
              <w:jc w:val="left"/>
            </w:pPr>
            <w:r>
              <w:rPr>
                <w:rFonts w:cs="Times New Roman"/>
                <w:sz w:val="19"/>
              </w:rPr>
              <w:t>Forward test, 10 tickers</w:t>
            </w:r>
          </w:p>
        </w:tc>
      </w:tr>
      <w:tr w:rsidR="00A63FA0">
        <w:trPr>
          <w:cantSplit/>
          <w:jc w:val="center"/>
        </w:trPr>
        <w:tc>
          <w:tcPr>
            <w:tcW w:w="4752" w:type="dxa"/>
          </w:tcPr>
          <w:p w:rsidR="00A63FA0" w:rsidRDefault="0034235D">
            <w:pPr>
              <w:spacing w:after="40" w:line="240" w:lineRule="auto"/>
              <w:jc w:val="left"/>
            </w:pPr>
            <w:r>
              <w:rPr>
                <w:rFonts w:cs="Times New Roman"/>
                <w:sz w:val="19"/>
              </w:rPr>
              <w:t xml:space="preserve">Stored 30-day forecast: mean change vs </w:t>
            </w:r>
            <w:r>
              <w:rPr>
                <w:rFonts w:cs="Times New Roman"/>
                <w:sz w:val="19"/>
              </w:rPr>
              <w:t>actual</w:t>
            </w:r>
          </w:p>
        </w:tc>
        <w:tc>
          <w:tcPr>
            <w:tcW w:w="2448" w:type="dxa"/>
          </w:tcPr>
          <w:p w:rsidR="00A63FA0" w:rsidRDefault="0034235D">
            <w:pPr>
              <w:spacing w:after="40" w:line="240" w:lineRule="auto"/>
              <w:jc w:val="center"/>
            </w:pPr>
            <w:r>
              <w:rPr>
                <w:rFonts w:cs="Times New Roman"/>
                <w:sz w:val="19"/>
              </w:rPr>
              <w:t>-8.1 % vs +0.8 %</w:t>
            </w:r>
          </w:p>
        </w:tc>
        <w:tc>
          <w:tcPr>
            <w:tcW w:w="2304" w:type="dxa"/>
          </w:tcPr>
          <w:p w:rsidR="00A63FA0" w:rsidRDefault="0034235D">
            <w:pPr>
              <w:spacing w:after="40" w:line="240" w:lineRule="auto"/>
              <w:jc w:val="left"/>
            </w:pPr>
            <w:r>
              <w:rPr>
                <w:rFonts w:cs="Times New Roman"/>
                <w:sz w:val="19"/>
              </w:rPr>
              <w:t>Forward test, 10 tickers</w:t>
            </w:r>
          </w:p>
        </w:tc>
      </w:tr>
      <w:tr w:rsidR="00A63FA0">
        <w:trPr>
          <w:cantSplit/>
          <w:jc w:val="center"/>
        </w:trPr>
        <w:tc>
          <w:tcPr>
            <w:tcW w:w="4752" w:type="dxa"/>
          </w:tcPr>
          <w:p w:rsidR="00A63FA0" w:rsidRDefault="0034235D">
            <w:pPr>
              <w:spacing w:after="40" w:line="240" w:lineRule="auto"/>
              <w:jc w:val="left"/>
            </w:pPr>
            <w:r>
              <w:rPr>
                <w:rFonts w:cs="Times New Roman"/>
                <w:sz w:val="19"/>
              </w:rPr>
              <w:t>MIL study: always-up / price-only LSTM / MIL attention accuracy</w:t>
            </w:r>
          </w:p>
        </w:tc>
        <w:tc>
          <w:tcPr>
            <w:tcW w:w="2448" w:type="dxa"/>
          </w:tcPr>
          <w:p w:rsidR="00A63FA0" w:rsidRDefault="0034235D">
            <w:pPr>
              <w:spacing w:after="40" w:line="240" w:lineRule="auto"/>
              <w:jc w:val="center"/>
            </w:pPr>
            <w:r>
              <w:rPr>
                <w:rFonts w:cs="Times New Roman"/>
                <w:sz w:val="19"/>
              </w:rPr>
              <w:t>53.6 % / 48.8 % / 49.8 %</w:t>
            </w:r>
          </w:p>
        </w:tc>
        <w:tc>
          <w:tcPr>
            <w:tcW w:w="2304" w:type="dxa"/>
          </w:tcPr>
          <w:p w:rsidR="00A63FA0" w:rsidRDefault="0034235D">
            <w:pPr>
              <w:spacing w:after="40" w:line="240" w:lineRule="auto"/>
              <w:jc w:val="left"/>
            </w:pPr>
            <w:r>
              <w:rPr>
                <w:rFonts w:cs="Times New Roman"/>
                <w:sz w:val="19"/>
              </w:rPr>
              <w:t>1,309 test samples</w:t>
            </w:r>
          </w:p>
        </w:tc>
      </w:tr>
      <w:tr w:rsidR="00A63FA0">
        <w:trPr>
          <w:cantSplit/>
          <w:jc w:val="center"/>
        </w:trPr>
        <w:tc>
          <w:tcPr>
            <w:tcW w:w="4752" w:type="dxa"/>
          </w:tcPr>
          <w:p w:rsidR="00A63FA0" w:rsidRDefault="0034235D">
            <w:pPr>
              <w:spacing w:after="40" w:line="240" w:lineRule="auto"/>
              <w:jc w:val="left"/>
            </w:pPr>
            <w:r>
              <w:rPr>
                <w:rFonts w:cs="Times New Roman"/>
                <w:sz w:val="19"/>
              </w:rPr>
              <w:t>Warm API latency, stored forecast / history / sentiment (median)</w:t>
            </w:r>
          </w:p>
        </w:tc>
        <w:tc>
          <w:tcPr>
            <w:tcW w:w="2448" w:type="dxa"/>
          </w:tcPr>
          <w:p w:rsidR="00A63FA0" w:rsidRDefault="0034235D">
            <w:pPr>
              <w:spacing w:after="40" w:line="240" w:lineRule="auto"/>
              <w:jc w:val="center"/>
            </w:pPr>
            <w:r>
              <w:rPr>
                <w:rFonts w:cs="Times New Roman"/>
                <w:sz w:val="19"/>
              </w:rPr>
              <w:t>11 ms / 139 ms / 4.6 s</w:t>
            </w:r>
          </w:p>
        </w:tc>
        <w:tc>
          <w:tcPr>
            <w:tcW w:w="2304" w:type="dxa"/>
          </w:tcPr>
          <w:p w:rsidR="00A63FA0" w:rsidRDefault="0034235D">
            <w:pPr>
              <w:spacing w:after="40" w:line="240" w:lineRule="auto"/>
              <w:jc w:val="left"/>
            </w:pPr>
            <w:r>
              <w:rPr>
                <w:rFonts w:cs="Times New Roman"/>
                <w:sz w:val="19"/>
              </w:rPr>
              <w:t>measure_a</w:t>
            </w:r>
            <w:r>
              <w:rPr>
                <w:rFonts w:cs="Times New Roman"/>
                <w:sz w:val="19"/>
              </w:rPr>
              <w:t>pi.py</w:t>
            </w:r>
          </w:p>
        </w:tc>
      </w:tr>
      <w:tr w:rsidR="00A63FA0">
        <w:trPr>
          <w:cantSplit/>
          <w:jc w:val="center"/>
        </w:trPr>
        <w:tc>
          <w:tcPr>
            <w:tcW w:w="4752" w:type="dxa"/>
          </w:tcPr>
          <w:p w:rsidR="00A63FA0" w:rsidRDefault="0034235D">
            <w:pPr>
              <w:spacing w:after="40" w:line="240" w:lineRule="auto"/>
              <w:jc w:val="left"/>
            </w:pPr>
            <w:r>
              <w:rPr>
                <w:rFonts w:cs="Times New Roman"/>
                <w:sz w:val="19"/>
              </w:rPr>
              <w:t>Automated checks</w:t>
            </w:r>
          </w:p>
        </w:tc>
        <w:tc>
          <w:tcPr>
            <w:tcW w:w="2448" w:type="dxa"/>
          </w:tcPr>
          <w:p w:rsidR="00A63FA0" w:rsidRDefault="0034235D">
            <w:pPr>
              <w:spacing w:after="40" w:line="240" w:lineRule="auto"/>
              <w:jc w:val="center"/>
            </w:pPr>
            <w:r>
              <w:rPr>
                <w:rFonts w:cs="Times New Roman"/>
                <w:sz w:val="19"/>
              </w:rPr>
              <w:t>56 pytest + 26 smoke, all passing</w:t>
            </w:r>
          </w:p>
        </w:tc>
        <w:tc>
          <w:tcPr>
            <w:tcW w:w="2304" w:type="dxa"/>
          </w:tcPr>
          <w:p w:rsidR="00A63FA0" w:rsidRDefault="0034235D">
            <w:pPr>
              <w:spacing w:after="40" w:line="240" w:lineRule="auto"/>
              <w:jc w:val="left"/>
            </w:pPr>
            <w:r>
              <w:rPr>
                <w:rFonts w:cs="Times New Roman"/>
                <w:sz w:val="19"/>
              </w:rPr>
              <w:t>docs/metrics</w:t>
            </w:r>
          </w:p>
        </w:tc>
      </w:tr>
    </w:tbl>
    <w:p w:rsidR="00A63FA0" w:rsidRDefault="00A63FA0">
      <w:pPr>
        <w:spacing w:line="192" w:lineRule="auto"/>
      </w:pPr>
    </w:p>
    <w:p w:rsidR="00A63FA0" w:rsidRDefault="0034235D">
      <w:pPr>
        <w:pStyle w:val="Heading2"/>
      </w:pPr>
      <w:r>
        <w:t>1.4 Lessons learned</w:t>
      </w:r>
    </w:p>
    <w:p w:rsidR="00A63FA0" w:rsidRDefault="0034235D">
      <w:pPr>
        <w:spacing w:after="60"/>
        <w:ind w:left="720" w:hanging="360"/>
      </w:pPr>
      <w:r>
        <w:rPr>
          <w:rFonts w:cs="Times New Roman"/>
        </w:rPr>
        <w:t xml:space="preserve">•  </w:t>
      </w:r>
      <w:r>
        <w:rPr>
          <w:rFonts w:cs="Times New Roman"/>
          <w:b/>
        </w:rPr>
        <w:t>Add the naive baseline first.</w:t>
      </w:r>
      <w:r>
        <w:rPr>
          <w:rFonts w:cs="Times New Roman"/>
        </w:rPr>
        <w:t xml:space="preserve"> Every deep tier looks reasonable on a chart because a price series is smooth; only the comparison with 'tomorrow equals today' shows that none of them forecasts anything useful at the level of dollars.</w:t>
      </w:r>
    </w:p>
    <w:p w:rsidR="00A63FA0" w:rsidRDefault="0034235D">
      <w:pPr>
        <w:spacing w:after="60"/>
        <w:ind w:left="720" w:hanging="360"/>
      </w:pPr>
      <w:r>
        <w:rPr>
          <w:rFonts w:cs="Times New Roman"/>
        </w:rPr>
        <w:t xml:space="preserve">•  </w:t>
      </w:r>
      <w:r>
        <w:rPr>
          <w:rFonts w:cs="Times New Roman"/>
          <w:b/>
        </w:rPr>
        <w:t>Check what the evaluation function does to the dat</w:t>
      </w:r>
      <w:r>
        <w:rPr>
          <w:rFonts w:cs="Times New Roman"/>
          <w:b/>
        </w:rPr>
        <w:t>a.</w:t>
      </w:r>
      <w:r>
        <w:rPr>
          <w:rFonts w:cs="Times New Roman"/>
        </w:rPr>
        <w:t xml:space="preserve"> One </w:t>
      </w:r>
      <w:r>
        <w:rPr>
          <w:rFonts w:ascii="Consolas" w:eastAsia="Consolas" w:hAnsi="Consolas" w:cs="Consolas"/>
          <w:sz w:val="21"/>
        </w:rPr>
        <w:t>np.clip</w:t>
      </w:r>
      <w:r>
        <w:rPr>
          <w:rFonts w:cs="Times New Roman"/>
        </w:rPr>
        <w:t xml:space="preserve"> in the scaler step changed both the error and the direction figures for most tickers; the same predictions score 68 % or 53 % depending on whether the target is clipped.</w:t>
      </w:r>
    </w:p>
    <w:p w:rsidR="00A63FA0" w:rsidRDefault="0034235D">
      <w:pPr>
        <w:spacing w:after="60"/>
        <w:ind w:left="720" w:hanging="360"/>
      </w:pPr>
      <w:r>
        <w:rPr>
          <w:rFonts w:cs="Times New Roman"/>
        </w:rPr>
        <w:t xml:space="preserve">•  </w:t>
      </w:r>
      <w:r>
        <w:rPr>
          <w:rFonts w:cs="Times New Roman"/>
          <w:b/>
        </w:rPr>
        <w:t>An ablation needs a working channel.</w:t>
      </w:r>
      <w:r>
        <w:rPr>
          <w:rFonts w:cs="Times New Roman"/>
        </w:rPr>
        <w:t xml:space="preserve"> A sentiment input that is zero </w:t>
      </w:r>
      <w:r>
        <w:rPr>
          <w:rFonts w:cs="Times New Roman"/>
        </w:rPr>
        <w:t>during training cannot be shown to help or hurt; the placebo made that visible.</w:t>
      </w:r>
    </w:p>
    <w:p w:rsidR="00A63FA0" w:rsidRDefault="0034235D">
      <w:pPr>
        <w:spacing w:after="60"/>
        <w:ind w:left="720" w:hanging="360"/>
      </w:pPr>
      <w:r>
        <w:rPr>
          <w:rFonts w:cs="Times New Roman"/>
        </w:rPr>
        <w:t xml:space="preserve">•  </w:t>
      </w:r>
      <w:r>
        <w:rPr>
          <w:rFonts w:cs="Times New Roman"/>
          <w:b/>
        </w:rPr>
        <w:t>Test the way the product will be used.</w:t>
      </w:r>
      <w:r>
        <w:rPr>
          <w:rFonts w:cs="Times New Roman"/>
        </w:rPr>
        <w:t xml:space="preserve"> The stored forecasts look plausible on the screen until the realised closes are drawn next to them, as the Forecast screen now does.</w:t>
      </w:r>
    </w:p>
    <w:p w:rsidR="00A63FA0" w:rsidRDefault="0034235D">
      <w:pPr>
        <w:spacing w:after="60"/>
        <w:ind w:left="720" w:hanging="360"/>
      </w:pPr>
      <w:r>
        <w:rPr>
          <w:rFonts w:cs="Times New Roman"/>
        </w:rPr>
        <w:t>•</w:t>
      </w:r>
      <w:r>
        <w:rPr>
          <w:rFonts w:cs="Times New Roman"/>
        </w:rPr>
        <w:t xml:space="preserve">  </w:t>
      </w:r>
      <w:r>
        <w:rPr>
          <w:rFonts w:cs="Times New Roman"/>
          <w:b/>
        </w:rPr>
        <w:t>State what is synthetic and what is missing.</w:t>
      </w:r>
      <w:r>
        <w:rPr>
          <w:rFonts w:cs="Times New Roman"/>
        </w:rPr>
        <w:t xml:space="preserve"> The shipped sentiment is template text, the product has no MIL and no social media; the documents say so rather than let the title imply otherwise.</w:t>
      </w:r>
    </w:p>
    <w:p w:rsidR="00A63FA0" w:rsidRDefault="0034235D">
      <w:r>
        <w:rPr>
          <w:rFonts w:cs="Times New Roman"/>
        </w:rPr>
        <w:t>QuantPulse is a research and education tool. It is useful for</w:t>
      </w:r>
      <w:r>
        <w:rPr>
          <w:rFonts w:cs="Times New Roman"/>
        </w:rPr>
        <w:t xml:space="preserve"> teaching the pipeline from price download to forecast screen, for demonstrating how an ablation is built, and as a test bed for evaluation mistakes (clipping, empty channels, missing baselines) that the documents expose. It is not suitable for trading dec</w:t>
      </w:r>
      <w:r>
        <w:rPr>
          <w:rFonts w:cs="Times New Roman"/>
        </w:rPr>
        <w:t>isions, and every screen states that forecasts are statistical estimates, not financial advice.</w:t>
      </w:r>
    </w:p>
    <w:p w:rsidR="00A63FA0" w:rsidRDefault="0034235D">
      <w:r>
        <w:rPr>
          <w:rFonts w:cs="Times New Roman"/>
        </w:rPr>
        <w:t>A reader should take three things from the findings. First, the numbers that the application displays are not the numbers that a careful evaluation produces, an</w:t>
      </w:r>
      <w:r>
        <w:rPr>
          <w:rFonts w:cs="Times New Roman"/>
        </w:rPr>
        <w:t xml:space="preserve">d the difference is large </w:t>
      </w:r>
      <w:r>
        <w:rPr>
          <w:rFonts w:cs="Times New Roman"/>
        </w:rPr>
        <w:lastRenderedPageBreak/>
        <w:t>enough to change the story. Second, the multi-source idea in the title is untested by the product and, in the offline study, unsupported at the sample size available. Third, none of this makes the engineering worthless: a clean, t</w:t>
      </w:r>
      <w:r>
        <w:rPr>
          <w:rFonts w:cs="Times New Roman"/>
        </w:rPr>
        <w:t>ested pipeline with honest diagnostics is exactly what is needed before a better model is attempted.</w:t>
      </w:r>
    </w:p>
    <w:p w:rsidR="00A63FA0" w:rsidRDefault="0034235D">
      <w:pPr>
        <w:pStyle w:val="Heading2"/>
      </w:pPr>
      <w:r>
        <w:t>1.5 Known limitations</w:t>
      </w:r>
    </w:p>
    <w:p w:rsidR="00A63FA0" w:rsidRDefault="0034235D">
      <w:r>
        <w:rPr>
          <w:rFonts w:cs="Times New Roman"/>
        </w:rPr>
        <w:t>The sentiment source is synthetic in the shipped run, the product has no multiple instance learning, social-media text or precision/r</w:t>
      </w:r>
      <w:r>
        <w:rPr>
          <w:rFonts w:cs="Times New Roman"/>
        </w:rPr>
        <w:t>ecall/F1, the data are short (501 rows, 97 test windows per ticker), the federation is simulated, and the multiple-instance study covers seven tickers over two years. Chapter 8 and the Scope and Limitations document list each limit with its evidence.</w:t>
      </w:r>
    </w:p>
    <w:p w:rsidR="00A63FA0" w:rsidRDefault="0034235D">
      <w:r>
        <w:rPr>
          <w:rFonts w:cs="Times New Roman"/>
        </w:rPr>
        <w:t>The r</w:t>
      </w:r>
      <w:r>
        <w:rPr>
          <w:rFonts w:cs="Times New Roman"/>
        </w:rPr>
        <w:t>esults behind the key findings are shown below: how the deep tiers compare with simply repeating yesterday's close once they are scored against the real closes, and how the measured results sit next to the figures reported in the base paper (different data</w:t>
      </w:r>
      <w:r>
        <w:rPr>
          <w:rFonts w:cs="Times New Roman"/>
        </w:rPr>
        <w:t xml:space="preserve"> and protocols, so indicative only).</w:t>
      </w:r>
    </w:p>
    <w:p w:rsidR="00A63FA0" w:rsidRDefault="0034235D">
      <w:pPr>
        <w:keepNext/>
        <w:spacing w:after="80" w:line="240" w:lineRule="auto"/>
        <w:jc w:val="center"/>
      </w:pPr>
      <w:r>
        <w:rPr>
          <w:noProof/>
        </w:rPr>
        <w:drawing>
          <wp:inline distT="0" distB="0" distL="0" distR="0">
            <wp:extent cx="5486400" cy="3094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2_true_mae_vs_persistence.png"/>
                    <pic:cNvPicPr/>
                  </pic:nvPicPr>
                  <pic:blipFill>
                    <a:blip r:embed="rId8"/>
                    <a:stretch>
                      <a:fillRect/>
                    </a:stretch>
                  </pic:blipFill>
                  <pic:spPr>
                    <a:xfrm>
                      <a:off x="0" y="0"/>
                      <a:ext cx="5486400" cy="3094750"/>
                    </a:xfrm>
                    <a:prstGeom prst="rect">
                      <a:avLst/>
                    </a:prstGeom>
                  </pic:spPr>
                </pic:pic>
              </a:graphicData>
            </a:graphic>
          </wp:inline>
        </w:drawing>
      </w:r>
    </w:p>
    <w:p w:rsidR="00A63FA0" w:rsidRDefault="0034235D">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Mean absolute error of LSTM + attention (five seeds, real closes) and of the persistence baseline for each ticker.</w:t>
      </w:r>
    </w:p>
    <w:p w:rsidR="00A63FA0" w:rsidRDefault="0034235D">
      <w:pPr>
        <w:keepNext/>
        <w:spacing w:after="80" w:line="240" w:lineRule="auto"/>
        <w:jc w:val="center"/>
      </w:pPr>
      <w:r>
        <w:rPr>
          <w:noProof/>
        </w:rPr>
        <w:lastRenderedPageBreak/>
        <w:drawing>
          <wp:inline distT="0" distB="0" distL="0" distR="0">
            <wp:extent cx="5486400" cy="284827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2_base_paper_comparison.png"/>
                    <pic:cNvPicPr/>
                  </pic:nvPicPr>
                  <pic:blipFill>
                    <a:blip r:embed="rId9"/>
                    <a:stretch>
                      <a:fillRect/>
                    </a:stretch>
                  </pic:blipFill>
                  <pic:spPr>
                    <a:xfrm>
                      <a:off x="0" y="0"/>
                      <a:ext cx="5486400" cy="2848278"/>
                    </a:xfrm>
                    <a:prstGeom prst="rect">
                      <a:avLst/>
                    </a:prstGeom>
                  </pic:spPr>
                </pic:pic>
              </a:graphicData>
            </a:graphic>
          </wp:inline>
        </w:drawing>
      </w:r>
    </w:p>
    <w:p w:rsidR="00A63FA0" w:rsidRDefault="0034235D">
      <w:pPr>
        <w:pStyle w:val="Caption"/>
      </w:pPr>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xml:space="preserve">: Figures reported in the base </w:t>
      </w:r>
      <w:r>
        <w:rPr>
          <w:rFonts w:cs="Times New Roman"/>
        </w:rPr>
        <w:t>paper next to those measured here: datasets and protocols differ, indicative only.</w:t>
      </w:r>
    </w:p>
    <w:p w:rsidR="00A63FA0" w:rsidRDefault="0034235D">
      <w:pPr>
        <w:pStyle w:val="Heading1"/>
        <w:pageBreakBefore/>
      </w:pPr>
      <w:r>
        <w:lastRenderedPageBreak/>
        <w:t>2. FUTURE SCOPE</w:t>
      </w:r>
    </w:p>
    <w:p w:rsidR="00A63FA0" w:rsidRDefault="0034235D">
      <w:pPr>
        <w:pStyle w:val="Heading2"/>
      </w:pPr>
      <w:r>
        <w:t>2.1 Improvements to the existing system</w:t>
      </w:r>
    </w:p>
    <w:p w:rsidR="00A63FA0" w:rsidRDefault="0034235D">
      <w:pPr>
        <w:spacing w:after="60"/>
        <w:ind w:left="720" w:hanging="432"/>
      </w:pPr>
      <w:r>
        <w:rPr>
          <w:rFonts w:cs="Times New Roman"/>
        </w:rPr>
        <w:t xml:space="preserve">1.  </w:t>
      </w:r>
      <w:r>
        <w:rPr>
          <w:rFonts w:cs="Times New Roman"/>
          <w:b/>
        </w:rPr>
        <w:t>Score against the real closes.</w:t>
      </w:r>
      <w:r>
        <w:rPr>
          <w:rFonts w:cs="Times New Roman"/>
        </w:rPr>
        <w:t xml:space="preserve"> Remove the clip from test targets, or fit scalers on a range that includes the tes</w:t>
      </w:r>
      <w:r>
        <w:rPr>
          <w:rFonts w:cs="Times New Roman"/>
        </w:rPr>
        <w:t>t period's growth, and report persistence next to every model; this alone changes the direction figures from 68 % to about 53 %.</w:t>
      </w:r>
    </w:p>
    <w:p w:rsidR="00A63FA0" w:rsidRDefault="0034235D">
      <w:pPr>
        <w:spacing w:after="60"/>
        <w:ind w:left="720" w:hanging="432"/>
      </w:pPr>
      <w:r>
        <w:rPr>
          <w:rFonts w:cs="Times New Roman"/>
        </w:rPr>
        <w:t xml:space="preserve">2.  </w:t>
      </w:r>
      <w:r>
        <w:rPr>
          <w:rFonts w:cs="Times New Roman"/>
          <w:b/>
        </w:rPr>
        <w:t>Predict returns, not levels.</w:t>
      </w:r>
      <w:r>
        <w:rPr>
          <w:rFonts w:cs="Times New Roman"/>
        </w:rPr>
        <w:t xml:space="preserve"> A target of next-day log return (or direction) is stationary, does not need level scaling and </w:t>
      </w:r>
      <w:r>
        <w:rPr>
          <w:rFonts w:cs="Times New Roman"/>
        </w:rPr>
        <w:t>cannot be clipped away; levels follow by compounding.</w:t>
      </w:r>
    </w:p>
    <w:p w:rsidR="00A63FA0" w:rsidRDefault="0034235D">
      <w:pPr>
        <w:spacing w:after="60"/>
        <w:ind w:left="720" w:hanging="432"/>
      </w:pPr>
      <w:r>
        <w:rPr>
          <w:rFonts w:cs="Times New Roman"/>
        </w:rPr>
        <w:t xml:space="preserve">3.  </w:t>
      </w:r>
      <w:r>
        <w:rPr>
          <w:rFonts w:cs="Times New Roman"/>
          <w:b/>
        </w:rPr>
        <w:t>Fill the sentiment channel for the whole history.</w:t>
      </w:r>
      <w:r>
        <w:rPr>
          <w:rFonts w:cs="Times New Roman"/>
        </w:rPr>
        <w:t xml:space="preserve"> Fetch archived headlines (the FNSPID news used in the offline study, or a paid archive) so the channel is non-zero in training, and drop the synthet</w:t>
      </w:r>
      <w:r>
        <w:rPr>
          <w:rFonts w:cs="Times New Roman"/>
        </w:rPr>
        <w:t>ic fallback from the ablation.</w:t>
      </w:r>
    </w:p>
    <w:p w:rsidR="00A63FA0" w:rsidRDefault="0034235D">
      <w:pPr>
        <w:spacing w:after="60"/>
        <w:ind w:left="720" w:hanging="432"/>
      </w:pPr>
      <w:r>
        <w:rPr>
          <w:rFonts w:cs="Times New Roman"/>
        </w:rPr>
        <w:t xml:space="preserve">4.  </w:t>
      </w:r>
      <w:r>
        <w:rPr>
          <w:rFonts w:cs="Times New Roman"/>
          <w:b/>
        </w:rPr>
        <w:t>Walk-forward validation.</w:t>
      </w:r>
      <w:r>
        <w:rPr>
          <w:rFonts w:cs="Times New Roman"/>
        </w:rPr>
        <w:t xml:space="preserve"> Replace the single 80/20 split by rolling or expanding windows with many test periods, and report mean and spread, as the offline study already does for direction.</w:t>
      </w:r>
    </w:p>
    <w:p w:rsidR="00A63FA0" w:rsidRDefault="0034235D">
      <w:pPr>
        <w:spacing w:after="60"/>
        <w:ind w:left="720" w:hanging="432"/>
      </w:pPr>
      <w:r>
        <w:rPr>
          <w:rFonts w:cs="Times New Roman"/>
        </w:rPr>
        <w:t xml:space="preserve">5.  </w:t>
      </w:r>
      <w:r>
        <w:rPr>
          <w:rFonts w:cs="Times New Roman"/>
          <w:b/>
        </w:rPr>
        <w:t>Refresh and retrain.</w:t>
      </w:r>
      <w:r>
        <w:rPr>
          <w:rFonts w:cs="Times New Roman"/>
        </w:rPr>
        <w:t xml:space="preserve"> Write the training date into the artefact, retrain on a schedule, and have the Forecast screen compare the stored forecast with the realised closes automatically (the screen already shows a banner and the miss columns).</w:t>
      </w:r>
    </w:p>
    <w:p w:rsidR="00A63FA0" w:rsidRDefault="0034235D">
      <w:pPr>
        <w:spacing w:after="60"/>
        <w:ind w:left="720" w:hanging="432"/>
      </w:pPr>
      <w:r>
        <w:rPr>
          <w:rFonts w:cs="Times New Roman"/>
        </w:rPr>
        <w:t xml:space="preserve">6.  </w:t>
      </w:r>
      <w:r>
        <w:rPr>
          <w:rFonts w:cs="Times New Roman"/>
          <w:b/>
        </w:rPr>
        <w:t>Honest uncertainty.</w:t>
      </w:r>
      <w:r>
        <w:rPr>
          <w:rFonts w:cs="Times New Roman"/>
        </w:rPr>
        <w:t xml:space="preserve"> Use residua</w:t>
      </w:r>
      <w:r>
        <w:rPr>
          <w:rFonts w:cs="Times New Roman"/>
        </w:rPr>
        <w:t>ls from walk-forward folds to build prediction intervals, or conformal intervals, instead of a sqrt(h) band built from one-step residuals.</w:t>
      </w:r>
    </w:p>
    <w:p w:rsidR="00A63FA0" w:rsidRDefault="0034235D">
      <w:r>
        <w:rPr>
          <w:rFonts w:cs="Times New Roman"/>
        </w:rPr>
        <w:t>These six changes are small relative to the model work and each addresses a measured defect. Together they would turn</w:t>
      </w:r>
      <w:r>
        <w:rPr>
          <w:rFonts w:cs="Times New Roman"/>
        </w:rPr>
        <w:t xml:space="preserve"> the product's evaluation from a demonstration of the base paper's recipe into a test of whether that recipe has any predictive value on current data.</w:t>
      </w:r>
    </w:p>
    <w:p w:rsidR="00A63FA0" w:rsidRDefault="0034235D">
      <w:pPr>
        <w:pStyle w:val="Heading2"/>
      </w:pPr>
      <w:r>
        <w:t>2.2 Additional features</w:t>
      </w:r>
    </w:p>
    <w:p w:rsidR="00A63FA0" w:rsidRDefault="0034235D">
      <w:pPr>
        <w:spacing w:after="60"/>
        <w:ind w:left="720" w:hanging="360"/>
      </w:pPr>
      <w:r>
        <w:rPr>
          <w:rFonts w:cs="Times New Roman"/>
        </w:rPr>
        <w:t xml:space="preserve">•  </w:t>
      </w:r>
      <w:r>
        <w:rPr>
          <w:rFonts w:cs="Times New Roman"/>
          <w:b/>
        </w:rPr>
        <w:t>A multiple-instance model in the product.</w:t>
      </w:r>
      <w:r>
        <w:rPr>
          <w:rFonts w:cs="Times New Roman"/>
        </w:rPr>
        <w:t xml:space="preserve"> Promote </w:t>
      </w:r>
      <w:r>
        <w:rPr>
          <w:rFonts w:ascii="Consolas" w:eastAsia="Consolas" w:hAnsi="Consolas" w:cs="Consolas"/>
          <w:sz w:val="21"/>
        </w:rPr>
        <w:t>scripts/mil_study.py</w:t>
      </w:r>
      <w:r>
        <w:rPr>
          <w:rFonts w:cs="Times New Roman"/>
        </w:rPr>
        <w:t xml:space="preserve"> into </w:t>
      </w:r>
      <w:r>
        <w:rPr>
          <w:rFonts w:ascii="Consolas" w:eastAsia="Consolas" w:hAnsi="Consolas" w:cs="Consolas"/>
          <w:sz w:val="21"/>
        </w:rPr>
        <w:t>ba</w:t>
      </w:r>
      <w:r>
        <w:rPr>
          <w:rFonts w:ascii="Consolas" w:eastAsia="Consolas" w:hAnsi="Consolas" w:cs="Consolas"/>
          <w:sz w:val="21"/>
        </w:rPr>
        <w:t>ckend/app/</w:t>
      </w:r>
      <w:r>
        <w:rPr>
          <w:rFonts w:cs="Times New Roman"/>
        </w:rPr>
        <w:t>: embed each day's headlines, pool them with gated attention, and show which headlines received the most weight on the Sentiment screen.</w:t>
      </w:r>
    </w:p>
    <w:p w:rsidR="00A63FA0" w:rsidRDefault="0034235D">
      <w:pPr>
        <w:spacing w:after="60"/>
        <w:ind w:left="720" w:hanging="360"/>
      </w:pPr>
      <w:r>
        <w:rPr>
          <w:rFonts w:cs="Times New Roman"/>
        </w:rPr>
        <w:t xml:space="preserve">•  </w:t>
      </w:r>
      <w:r>
        <w:rPr>
          <w:rFonts w:cs="Times New Roman"/>
          <w:b/>
        </w:rPr>
        <w:t>A direction classifier with precision, recall and F1.</w:t>
      </w:r>
      <w:r>
        <w:rPr>
          <w:rFonts w:cs="Times New Roman"/>
        </w:rPr>
        <w:t xml:space="preserve"> Add a classification head and report a confusion mat</w:t>
      </w:r>
      <w:r>
        <w:rPr>
          <w:rFonts w:cs="Times New Roman"/>
        </w:rPr>
        <w:t>rix per ticker, with a probability threshold the user can move.</w:t>
      </w:r>
    </w:p>
    <w:p w:rsidR="00A63FA0" w:rsidRDefault="0034235D">
      <w:pPr>
        <w:spacing w:after="60"/>
        <w:ind w:left="720" w:hanging="360"/>
      </w:pPr>
      <w:r>
        <w:rPr>
          <w:rFonts w:cs="Times New Roman"/>
        </w:rPr>
        <w:lastRenderedPageBreak/>
        <w:t xml:space="preserve">•  </w:t>
      </w:r>
      <w:r>
        <w:rPr>
          <w:rFonts w:cs="Times New Roman"/>
          <w:b/>
        </w:rPr>
        <w:t>A social-media source.</w:t>
      </w:r>
      <w:r>
        <w:rPr>
          <w:rFonts w:cs="Times New Roman"/>
        </w:rPr>
        <w:t xml:space="preserve"> Add a licensed or public discussion feed as a second bag per day, so that the multi-source claim is true; keep it optional behind a key.</w:t>
      </w:r>
    </w:p>
    <w:p w:rsidR="00A63FA0" w:rsidRDefault="0034235D">
      <w:pPr>
        <w:spacing w:after="60"/>
        <w:ind w:left="720" w:hanging="360"/>
      </w:pPr>
      <w:r>
        <w:rPr>
          <w:rFonts w:cs="Times New Roman"/>
        </w:rPr>
        <w:t xml:space="preserve">•  </w:t>
      </w:r>
      <w:r>
        <w:rPr>
          <w:rFonts w:cs="Times New Roman"/>
          <w:b/>
        </w:rPr>
        <w:t>A baseline panel.</w:t>
      </w:r>
      <w:r>
        <w:rPr>
          <w:rFonts w:cs="Times New Roman"/>
        </w:rPr>
        <w:t xml:space="preserve"> Show per</w:t>
      </w:r>
      <w:r>
        <w:rPr>
          <w:rFonts w:cs="Times New Roman"/>
        </w:rPr>
        <w:t>sistence and drift on every forecast chart so a user can see at a glance whether a model adds anything.</w:t>
      </w:r>
    </w:p>
    <w:p w:rsidR="00A63FA0" w:rsidRDefault="0034235D">
      <w:pPr>
        <w:spacing w:after="60"/>
        <w:ind w:left="720" w:hanging="360"/>
      </w:pPr>
      <w:r>
        <w:rPr>
          <w:rFonts w:cs="Times New Roman"/>
        </w:rPr>
        <w:t xml:space="preserve">•  </w:t>
      </w:r>
      <w:r>
        <w:rPr>
          <w:rFonts w:cs="Times New Roman"/>
          <w:b/>
        </w:rPr>
        <w:t>More inputs.</w:t>
      </w:r>
      <w:r>
        <w:rPr>
          <w:rFonts w:cs="Times New Roman"/>
        </w:rPr>
        <w:t xml:space="preserve"> Technical indicators (moving averages, as in the base paper), volume features, sector indices and macro-economic series.</w:t>
      </w:r>
    </w:p>
    <w:p w:rsidR="00A63FA0" w:rsidRDefault="0034235D">
      <w:r>
        <w:rPr>
          <w:rFonts w:cs="Times New Roman"/>
        </w:rPr>
        <w:t>Each feature sh</w:t>
      </w:r>
      <w:r>
        <w:rPr>
          <w:rFonts w:cs="Times New Roman"/>
        </w:rPr>
        <w:t>ould be added behind a flag and scored with the same five-seed, true-target, persistence-relative protocol used in this report, so that a new component is kept only if it beats the baseline by clearly more than the seed-to-seed spread. Across the five seed</w:t>
      </w:r>
      <w:r>
        <w:rPr>
          <w:rFonts w:cs="Times New Roman"/>
        </w:rPr>
        <w:t>s the standard deviation of the true-target MAE was about $1.1 for the LSTM and $1.4 for LSTM plus attention, but $7.7 for the sentiment tier and $11.1 for the federated tier, so a difference of a few dollars between two single runs of the unstable tiers m</w:t>
      </w:r>
      <w:r>
        <w:rPr>
          <w:rFonts w:cs="Times New Roman"/>
        </w:rPr>
        <w:t>eans nothing.</w:t>
      </w:r>
    </w:p>
    <w:p w:rsidR="00A63FA0" w:rsidRDefault="0034235D">
      <w:pPr>
        <w:pStyle w:val="Heading3"/>
      </w:pPr>
      <w:r>
        <w:t>2.2.1 How much data the next study needs</w:t>
      </w:r>
    </w:p>
    <w:p w:rsidR="00A63FA0" w:rsidRDefault="0034235D">
      <w:r>
        <w:rPr>
          <w:rFonts w:cs="Times New Roman"/>
        </w:rPr>
        <w:t>The standard error of an accuracy figure measured on n samples near 50 % is about sqrt(0.25 / n). With the 1,309 test samples of the offline study it is 1.4 accuracy points, so a 95 % interval is about</w:t>
      </w:r>
      <w:r>
        <w:rPr>
          <w:rFonts w:cs="Times New Roman"/>
        </w:rPr>
        <w:t xml:space="preserve"> +-2.7 points wide, which is the reason the observed gaps of one to two points cannot be told from zero. To detect a real gain of one point the standard error must fall to about 0.5 points, which needs on the order of 10,000 independent test samples; that </w:t>
      </w:r>
      <w:r>
        <w:rPr>
          <w:rFonts w:cs="Times New Roman"/>
        </w:rPr>
        <w:t>means more tickers (several hundred rather than seven) and several years of dense headlines, not just more seeds, because seeds repeat the same test days.</w:t>
      </w:r>
    </w:p>
    <w:p w:rsidR="00A63FA0" w:rsidRDefault="0034235D">
      <w:pPr>
        <w:pStyle w:val="Heading2"/>
      </w:pPr>
      <w:r>
        <w:t>2.3 Scalability and deployment</w:t>
      </w:r>
    </w:p>
    <w:p w:rsidR="00A63FA0" w:rsidRDefault="0034235D">
      <w:r>
        <w:rPr>
          <w:rFonts w:cs="Times New Roman"/>
        </w:rPr>
        <w:t>The API is stateless apart from its JSON files, so it scales horizonta</w:t>
      </w:r>
      <w:r>
        <w:rPr>
          <w:rFonts w:cs="Times New Roman"/>
        </w:rPr>
        <w:t>lly behind a reverse proxy once a database or object store replaces the files. Stored forecasts already answer in about 11 ms; the two slow routes are the history download (139 ms median, it calls Yahoo Finance on every request) and the sentiment route (ab</w:t>
      </w:r>
      <w:r>
        <w:rPr>
          <w:rFonts w:cs="Times New Roman"/>
        </w:rPr>
        <w:t>out 4.6 s median, FinBERT inference). Both should move to a scheduled job and a cache. A real deployment also needs authentication, rate limits, a database for prices, headlines and forecasts, a model registry, monitoring of forecast error against realised</w:t>
      </w:r>
      <w:r>
        <w:rPr>
          <w:rFonts w:cs="Times New Roman"/>
        </w:rPr>
        <w:t xml:space="preserve"> prices, and a container image (the Dockerfile exists but was not exercised here).</w:t>
      </w:r>
    </w:p>
    <w:p w:rsidR="00A63FA0" w:rsidRDefault="0034235D">
      <w:r>
        <w:rPr>
          <w:rFonts w:cs="Times New Roman"/>
        </w:rPr>
        <w:t xml:space="preserve">The offline MIL script is a reasonable starting point for the product version: it already builds bags with a no-look-ahead time rule, embeds headlines with FinBERT-tone, </w:t>
      </w:r>
      <w:r>
        <w:rPr>
          <w:rFonts w:cs="Times New Roman"/>
        </w:rPr>
        <w:t xml:space="preserve">pools </w:t>
      </w:r>
      <w:r>
        <w:rPr>
          <w:rFonts w:cs="Times New Roman"/>
        </w:rPr>
        <w:lastRenderedPageBreak/>
        <w:t>them with mean, max or gated attention, and reports accuracy, precision, recall and F1 with paired bootstrap intervals. What it lacks is a serving path (embedding a day's headlines on request), an instance-relevance filter and a store for the headlin</w:t>
      </w:r>
      <w:r>
        <w:rPr>
          <w:rFonts w:cs="Times New Roman"/>
        </w:rPr>
        <w:t>e archive.</w:t>
      </w:r>
    </w:p>
    <w:p w:rsidR="00A63FA0" w:rsidRDefault="0034235D">
      <w:pPr>
        <w:pStyle w:val="Heading2"/>
      </w:pPr>
      <w:r>
        <w:t>2.4 Further research</w:t>
      </w:r>
    </w:p>
    <w:p w:rsidR="00A63FA0" w:rsidRDefault="0034235D">
      <w:pPr>
        <w:spacing w:after="60"/>
        <w:ind w:left="720" w:hanging="360"/>
      </w:pPr>
      <w:r>
        <w:rPr>
          <w:rFonts w:cs="Times New Roman"/>
        </w:rPr>
        <w:t xml:space="preserve">•  </w:t>
      </w:r>
      <w:r>
        <w:rPr>
          <w:rFonts w:cs="Times New Roman"/>
          <w:b/>
        </w:rPr>
        <w:t>Real federated learning.</w:t>
      </w:r>
      <w:r>
        <w:rPr>
          <w:rFonts w:cs="Times New Roman"/>
        </w:rPr>
        <w:t xml:space="preserve"> Run clients in separate processes or machines, normalise scales across clients, and measure communication cost, drop-out and what federation does to accuracy, since the simulated version made the </w:t>
      </w:r>
      <w:r>
        <w:rPr>
          <w:rFonts w:cs="Times New Roman"/>
        </w:rPr>
        <w:t>forecasts worse.</w:t>
      </w:r>
    </w:p>
    <w:p w:rsidR="00A63FA0" w:rsidRDefault="0034235D">
      <w:pPr>
        <w:spacing w:after="60"/>
        <w:ind w:left="720" w:hanging="360"/>
      </w:pPr>
      <w:r>
        <w:rPr>
          <w:rFonts w:cs="Times New Roman"/>
        </w:rPr>
        <w:t xml:space="preserve">•  </w:t>
      </w:r>
      <w:r>
        <w:rPr>
          <w:rFonts w:cs="Times New Roman"/>
          <w:b/>
        </w:rPr>
        <w:t>Longer news history and more tickers.</w:t>
      </w:r>
      <w:r>
        <w:rPr>
          <w:rFonts w:cs="Times New Roman"/>
        </w:rPr>
        <w:t xml:space="preserve"> The offline study covers seven tickers in 2022-2023; repeating it with a denser archive and many more tickers would give the statistical power that 1,309 test samples lack.</w:t>
      </w:r>
    </w:p>
    <w:p w:rsidR="00A63FA0" w:rsidRDefault="0034235D">
      <w:pPr>
        <w:spacing w:after="60"/>
        <w:ind w:left="720" w:hanging="360"/>
      </w:pPr>
      <w:r>
        <w:rPr>
          <w:rFonts w:cs="Times New Roman"/>
        </w:rPr>
        <w:t xml:space="preserve">•  </w:t>
      </w:r>
      <w:r>
        <w:rPr>
          <w:rFonts w:cs="Times New Roman"/>
          <w:b/>
        </w:rPr>
        <w:t>Better MIL formulation</w:t>
      </w:r>
      <w:r>
        <w:rPr>
          <w:rFonts w:cs="Times New Roman"/>
          <w:b/>
        </w:rPr>
        <w:t>s.</w:t>
      </w:r>
      <w:r>
        <w:rPr>
          <w:rFonts w:cs="Times New Roman"/>
        </w:rPr>
        <w:t xml:space="preserve"> Instance-level relevance to the ticker (many headlines mention several companies), transformer instance encoders, and bag-level losses that cope with empty bags.</w:t>
      </w:r>
    </w:p>
    <w:p w:rsidR="00A63FA0" w:rsidRDefault="0034235D">
      <w:pPr>
        <w:spacing w:after="60"/>
        <w:ind w:left="720" w:hanging="360"/>
      </w:pPr>
      <w:r>
        <w:rPr>
          <w:rFonts w:cs="Times New Roman"/>
        </w:rPr>
        <w:t xml:space="preserve">•  </w:t>
      </w:r>
      <w:r>
        <w:rPr>
          <w:rFonts w:cs="Times New Roman"/>
          <w:b/>
        </w:rPr>
        <w:t>Explanation and trust.</w:t>
      </w:r>
      <w:r>
        <w:rPr>
          <w:rFonts w:cs="Times New Roman"/>
        </w:rPr>
        <w:t xml:space="preserve"> Attention weights over headlines, calibration of direction probab</w:t>
      </w:r>
      <w:r>
        <w:rPr>
          <w:rFonts w:cs="Times New Roman"/>
        </w:rPr>
        <w:t>ilities and a comparison with a purely statistical benchmark for every claim.</w:t>
      </w:r>
    </w:p>
    <w:p w:rsidR="00A63FA0" w:rsidRDefault="0034235D">
      <w:pPr>
        <w:spacing w:after="60"/>
        <w:ind w:left="720" w:hanging="360"/>
      </w:pPr>
      <w:r>
        <w:rPr>
          <w:rFonts w:cs="Times New Roman"/>
        </w:rPr>
        <w:t xml:space="preserve">•  </w:t>
      </w:r>
      <w:r>
        <w:rPr>
          <w:rFonts w:cs="Times New Roman"/>
          <w:b/>
        </w:rPr>
        <w:t>Market microstructure and regime effects.</w:t>
      </w:r>
      <w:r>
        <w:rPr>
          <w:rFonts w:cs="Times New Roman"/>
        </w:rPr>
        <w:t xml:space="preserve"> Test whether any news effect appears at an intraday horizon, where daily stamps and close-to-close labels hide it; the base paper its</w:t>
      </w:r>
      <w:r>
        <w:rPr>
          <w:rFonts w:cs="Times New Roman"/>
        </w:rPr>
        <w:t>elf lists larger-scale sentiment datasets and real-world federation as future work [1].</w:t>
      </w:r>
    </w:p>
    <w:p w:rsidR="00A63FA0" w:rsidRDefault="0034235D">
      <w:pPr>
        <w:pStyle w:val="Heading2"/>
      </w:pPr>
      <w:r>
        <w:t>2.5 A suggested order of work</w:t>
      </w:r>
    </w:p>
    <w:p w:rsidR="00A63FA0" w:rsidRDefault="0034235D">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w:t>
      </w:r>
      <w:r>
        <w:rPr>
          <w:rFonts w:cs="Times New Roman"/>
        </w:rPr>
        <w:fldChar w:fldCharType="end"/>
      </w:r>
      <w:r>
        <w:rPr>
          <w:rFonts w:cs="Times New Roman"/>
        </w:rPr>
        <w:t>: Roadmap</w:t>
      </w:r>
    </w:p>
    <w:tbl>
      <w:tblPr>
        <w:tblStyle w:val="TableGrid"/>
        <w:tblW w:w="0" w:type="auto"/>
        <w:jc w:val="center"/>
        <w:tblLook w:val="04A0" w:firstRow="1" w:lastRow="0" w:firstColumn="1" w:lastColumn="0" w:noHBand="0" w:noVBand="1"/>
      </w:tblPr>
      <w:tblGrid>
        <w:gridCol w:w="703"/>
        <w:gridCol w:w="3992"/>
        <w:gridCol w:w="3071"/>
        <w:gridCol w:w="1116"/>
      </w:tblGrid>
      <w:tr w:rsidR="00A63FA0">
        <w:trPr>
          <w:cantSplit/>
          <w:tblHeader/>
          <w:jc w:val="center"/>
        </w:trPr>
        <w:tc>
          <w:tcPr>
            <w:tcW w:w="720" w:type="dxa"/>
            <w:shd w:val="clear" w:color="auto" w:fill="1B2A41"/>
          </w:tcPr>
          <w:p w:rsidR="00A63FA0" w:rsidRDefault="0034235D">
            <w:pPr>
              <w:spacing w:after="40" w:line="240" w:lineRule="auto"/>
              <w:jc w:val="center"/>
            </w:pPr>
            <w:r>
              <w:rPr>
                <w:rFonts w:cs="Times New Roman"/>
                <w:b/>
                <w:color w:val="FFFFFF"/>
                <w:sz w:val="19"/>
              </w:rPr>
              <w:t>Step</w:t>
            </w:r>
          </w:p>
        </w:tc>
        <w:tc>
          <w:tcPr>
            <w:tcW w:w="4320" w:type="dxa"/>
            <w:shd w:val="clear" w:color="auto" w:fill="1B2A41"/>
          </w:tcPr>
          <w:p w:rsidR="00A63FA0" w:rsidRDefault="0034235D">
            <w:pPr>
              <w:spacing w:after="40" w:line="240" w:lineRule="auto"/>
              <w:jc w:val="center"/>
            </w:pPr>
            <w:r>
              <w:rPr>
                <w:rFonts w:cs="Times New Roman"/>
                <w:b/>
                <w:color w:val="FFFFFF"/>
                <w:sz w:val="19"/>
              </w:rPr>
              <w:t>Change</w:t>
            </w:r>
          </w:p>
        </w:tc>
        <w:tc>
          <w:tcPr>
            <w:tcW w:w="3312" w:type="dxa"/>
            <w:shd w:val="clear" w:color="auto" w:fill="1B2A41"/>
          </w:tcPr>
          <w:p w:rsidR="00A63FA0" w:rsidRDefault="0034235D">
            <w:pPr>
              <w:spacing w:after="40" w:line="240" w:lineRule="auto"/>
              <w:jc w:val="center"/>
            </w:pPr>
            <w:r>
              <w:rPr>
                <w:rFonts w:cs="Times New Roman"/>
                <w:b/>
                <w:color w:val="FFFFFF"/>
                <w:sz w:val="19"/>
              </w:rPr>
              <w:t>Why first</w:t>
            </w:r>
          </w:p>
        </w:tc>
        <w:tc>
          <w:tcPr>
            <w:tcW w:w="1152" w:type="dxa"/>
            <w:shd w:val="clear" w:color="auto" w:fill="1B2A41"/>
          </w:tcPr>
          <w:p w:rsidR="00A63FA0" w:rsidRDefault="0034235D">
            <w:pPr>
              <w:spacing w:after="40" w:line="240" w:lineRule="auto"/>
              <w:jc w:val="center"/>
            </w:pPr>
            <w:r>
              <w:rPr>
                <w:rFonts w:cs="Times New Roman"/>
                <w:b/>
                <w:color w:val="FFFFFF"/>
                <w:sz w:val="19"/>
              </w:rPr>
              <w:t>Effort</w:t>
            </w:r>
          </w:p>
        </w:tc>
      </w:tr>
      <w:tr w:rsidR="00A63FA0">
        <w:trPr>
          <w:cantSplit/>
          <w:jc w:val="center"/>
        </w:trPr>
        <w:tc>
          <w:tcPr>
            <w:tcW w:w="720" w:type="dxa"/>
          </w:tcPr>
          <w:p w:rsidR="00A63FA0" w:rsidRDefault="0034235D">
            <w:pPr>
              <w:spacing w:after="40" w:line="240" w:lineRule="auto"/>
              <w:jc w:val="center"/>
            </w:pPr>
            <w:r>
              <w:rPr>
                <w:rFonts w:cs="Times New Roman"/>
                <w:sz w:val="19"/>
              </w:rPr>
              <w:t>1</w:t>
            </w:r>
          </w:p>
        </w:tc>
        <w:tc>
          <w:tcPr>
            <w:tcW w:w="4320" w:type="dxa"/>
          </w:tcPr>
          <w:p w:rsidR="00A63FA0" w:rsidRDefault="0034235D">
            <w:pPr>
              <w:spacing w:after="40" w:line="240" w:lineRule="auto"/>
              <w:jc w:val="left"/>
            </w:pPr>
            <w:r>
              <w:rPr>
                <w:rFonts w:cs="Times New Roman"/>
                <w:sz w:val="19"/>
              </w:rPr>
              <w:t xml:space="preserve">Persistence baseline and true-target scoring in </w:t>
            </w:r>
            <w:r>
              <w:rPr>
                <w:rFonts w:ascii="Consolas" w:eastAsia="Consolas" w:hAnsi="Consolas" w:cs="Consolas"/>
                <w:sz w:val="16"/>
              </w:rPr>
              <w:t>backend/train.py</w:t>
            </w:r>
            <w:r>
              <w:rPr>
                <w:rFonts w:cs="Times New Roman"/>
                <w:sz w:val="19"/>
              </w:rPr>
              <w:t xml:space="preserve"> and the Models screen</w:t>
            </w:r>
          </w:p>
        </w:tc>
        <w:tc>
          <w:tcPr>
            <w:tcW w:w="3312" w:type="dxa"/>
          </w:tcPr>
          <w:p w:rsidR="00A63FA0" w:rsidRDefault="0034235D">
            <w:pPr>
              <w:spacing w:after="40" w:line="240" w:lineRule="auto"/>
              <w:jc w:val="left"/>
            </w:pPr>
            <w:r>
              <w:rPr>
                <w:rFonts w:cs="Times New Roman"/>
                <w:sz w:val="19"/>
              </w:rPr>
              <w:t>Removes the main overstatement; a few lines of code</w:t>
            </w:r>
          </w:p>
        </w:tc>
        <w:tc>
          <w:tcPr>
            <w:tcW w:w="1152" w:type="dxa"/>
          </w:tcPr>
          <w:p w:rsidR="00A63FA0" w:rsidRDefault="0034235D">
            <w:pPr>
              <w:spacing w:after="40" w:line="240" w:lineRule="auto"/>
              <w:jc w:val="center"/>
            </w:pPr>
            <w:r>
              <w:rPr>
                <w:rFonts w:cs="Times New Roman"/>
                <w:sz w:val="19"/>
              </w:rPr>
              <w:t>Small</w:t>
            </w:r>
          </w:p>
        </w:tc>
      </w:tr>
      <w:tr w:rsidR="00A63FA0">
        <w:trPr>
          <w:cantSplit/>
          <w:jc w:val="center"/>
        </w:trPr>
        <w:tc>
          <w:tcPr>
            <w:tcW w:w="720" w:type="dxa"/>
          </w:tcPr>
          <w:p w:rsidR="00A63FA0" w:rsidRDefault="0034235D">
            <w:pPr>
              <w:spacing w:after="40" w:line="240" w:lineRule="auto"/>
              <w:jc w:val="center"/>
            </w:pPr>
            <w:r>
              <w:rPr>
                <w:rFonts w:cs="Times New Roman"/>
                <w:sz w:val="19"/>
              </w:rPr>
              <w:t>2</w:t>
            </w:r>
          </w:p>
        </w:tc>
        <w:tc>
          <w:tcPr>
            <w:tcW w:w="4320" w:type="dxa"/>
          </w:tcPr>
          <w:p w:rsidR="00A63FA0" w:rsidRDefault="0034235D">
            <w:pPr>
              <w:spacing w:after="40" w:line="240" w:lineRule="auto"/>
              <w:jc w:val="left"/>
            </w:pPr>
            <w:r>
              <w:rPr>
                <w:rFonts w:cs="Times New Roman"/>
                <w:sz w:val="19"/>
              </w:rPr>
              <w:t>Train on returns or direction; walk-forward folds</w:t>
            </w:r>
          </w:p>
        </w:tc>
        <w:tc>
          <w:tcPr>
            <w:tcW w:w="3312" w:type="dxa"/>
          </w:tcPr>
          <w:p w:rsidR="00A63FA0" w:rsidRDefault="0034235D">
            <w:pPr>
              <w:spacing w:after="40" w:line="240" w:lineRule="auto"/>
              <w:jc w:val="left"/>
            </w:pPr>
            <w:r>
              <w:rPr>
                <w:rFonts w:cs="Times New Roman"/>
                <w:sz w:val="19"/>
              </w:rPr>
              <w:t>Makes the evaluation honest and the target stationary</w:t>
            </w:r>
          </w:p>
        </w:tc>
        <w:tc>
          <w:tcPr>
            <w:tcW w:w="1152" w:type="dxa"/>
          </w:tcPr>
          <w:p w:rsidR="00A63FA0" w:rsidRDefault="0034235D">
            <w:pPr>
              <w:spacing w:after="40" w:line="240" w:lineRule="auto"/>
              <w:jc w:val="center"/>
            </w:pPr>
            <w:r>
              <w:rPr>
                <w:rFonts w:cs="Times New Roman"/>
                <w:sz w:val="19"/>
              </w:rPr>
              <w:t>Medium</w:t>
            </w:r>
          </w:p>
        </w:tc>
      </w:tr>
      <w:tr w:rsidR="00A63FA0">
        <w:trPr>
          <w:cantSplit/>
          <w:jc w:val="center"/>
        </w:trPr>
        <w:tc>
          <w:tcPr>
            <w:tcW w:w="720" w:type="dxa"/>
          </w:tcPr>
          <w:p w:rsidR="00A63FA0" w:rsidRDefault="0034235D">
            <w:pPr>
              <w:spacing w:after="40" w:line="240" w:lineRule="auto"/>
              <w:jc w:val="center"/>
            </w:pPr>
            <w:r>
              <w:rPr>
                <w:rFonts w:cs="Times New Roman"/>
                <w:sz w:val="19"/>
              </w:rPr>
              <w:t>3</w:t>
            </w:r>
          </w:p>
        </w:tc>
        <w:tc>
          <w:tcPr>
            <w:tcW w:w="4320" w:type="dxa"/>
          </w:tcPr>
          <w:p w:rsidR="00A63FA0" w:rsidRDefault="0034235D">
            <w:pPr>
              <w:spacing w:after="40" w:line="240" w:lineRule="auto"/>
              <w:jc w:val="left"/>
            </w:pPr>
            <w:r>
              <w:rPr>
                <w:rFonts w:cs="Times New Roman"/>
                <w:sz w:val="19"/>
              </w:rPr>
              <w:t>Archived headlines for the full history; drop the syntheti</w:t>
            </w:r>
            <w:r>
              <w:rPr>
                <w:rFonts w:cs="Times New Roman"/>
                <w:sz w:val="19"/>
              </w:rPr>
              <w:t>c fallback from the ablation</w:t>
            </w:r>
          </w:p>
        </w:tc>
        <w:tc>
          <w:tcPr>
            <w:tcW w:w="3312" w:type="dxa"/>
          </w:tcPr>
          <w:p w:rsidR="00A63FA0" w:rsidRDefault="0034235D">
            <w:pPr>
              <w:spacing w:after="40" w:line="240" w:lineRule="auto"/>
              <w:jc w:val="left"/>
            </w:pPr>
            <w:r>
              <w:rPr>
                <w:rFonts w:cs="Times New Roman"/>
                <w:sz w:val="19"/>
              </w:rPr>
              <w:t>Gives the sentiment tier a chance to learn</w:t>
            </w:r>
          </w:p>
        </w:tc>
        <w:tc>
          <w:tcPr>
            <w:tcW w:w="1152" w:type="dxa"/>
          </w:tcPr>
          <w:p w:rsidR="00A63FA0" w:rsidRDefault="0034235D">
            <w:pPr>
              <w:spacing w:after="40" w:line="240" w:lineRule="auto"/>
              <w:jc w:val="center"/>
            </w:pPr>
            <w:r>
              <w:rPr>
                <w:rFonts w:cs="Times New Roman"/>
                <w:sz w:val="19"/>
              </w:rPr>
              <w:t>Medium</w:t>
            </w:r>
          </w:p>
        </w:tc>
      </w:tr>
      <w:tr w:rsidR="00A63FA0">
        <w:trPr>
          <w:cantSplit/>
          <w:jc w:val="center"/>
        </w:trPr>
        <w:tc>
          <w:tcPr>
            <w:tcW w:w="720" w:type="dxa"/>
          </w:tcPr>
          <w:p w:rsidR="00A63FA0" w:rsidRDefault="0034235D">
            <w:pPr>
              <w:spacing w:after="40" w:line="240" w:lineRule="auto"/>
              <w:jc w:val="center"/>
            </w:pPr>
            <w:r>
              <w:rPr>
                <w:rFonts w:cs="Times New Roman"/>
                <w:sz w:val="19"/>
              </w:rPr>
              <w:t>4</w:t>
            </w:r>
          </w:p>
        </w:tc>
        <w:tc>
          <w:tcPr>
            <w:tcW w:w="4320" w:type="dxa"/>
          </w:tcPr>
          <w:p w:rsidR="00A63FA0" w:rsidRDefault="0034235D">
            <w:pPr>
              <w:spacing w:after="40" w:line="240" w:lineRule="auto"/>
              <w:jc w:val="left"/>
            </w:pPr>
            <w:r>
              <w:rPr>
                <w:rFonts w:cs="Times New Roman"/>
                <w:sz w:val="19"/>
              </w:rPr>
              <w:t>Promote the MIL model into the backend with a classifier head and a P/R/F1 panel</w:t>
            </w:r>
          </w:p>
        </w:tc>
        <w:tc>
          <w:tcPr>
            <w:tcW w:w="3312" w:type="dxa"/>
          </w:tcPr>
          <w:p w:rsidR="00A63FA0" w:rsidRDefault="0034235D">
            <w:pPr>
              <w:spacing w:after="40" w:line="240" w:lineRule="auto"/>
              <w:jc w:val="left"/>
            </w:pPr>
            <w:r>
              <w:rPr>
                <w:rFonts w:cs="Times New Roman"/>
                <w:sz w:val="19"/>
              </w:rPr>
              <w:t>Meets objectives 3 and 5 inside the product</w:t>
            </w:r>
          </w:p>
        </w:tc>
        <w:tc>
          <w:tcPr>
            <w:tcW w:w="1152" w:type="dxa"/>
          </w:tcPr>
          <w:p w:rsidR="00A63FA0" w:rsidRDefault="0034235D">
            <w:pPr>
              <w:spacing w:after="40" w:line="240" w:lineRule="auto"/>
              <w:jc w:val="center"/>
            </w:pPr>
            <w:r>
              <w:rPr>
                <w:rFonts w:cs="Times New Roman"/>
                <w:sz w:val="19"/>
              </w:rPr>
              <w:t>Medium</w:t>
            </w:r>
          </w:p>
        </w:tc>
      </w:tr>
      <w:tr w:rsidR="00A63FA0">
        <w:trPr>
          <w:cantSplit/>
          <w:jc w:val="center"/>
        </w:trPr>
        <w:tc>
          <w:tcPr>
            <w:tcW w:w="720" w:type="dxa"/>
          </w:tcPr>
          <w:p w:rsidR="00A63FA0" w:rsidRDefault="0034235D">
            <w:pPr>
              <w:spacing w:after="40" w:line="240" w:lineRule="auto"/>
              <w:jc w:val="center"/>
            </w:pPr>
            <w:r>
              <w:rPr>
                <w:rFonts w:cs="Times New Roman"/>
                <w:sz w:val="19"/>
              </w:rPr>
              <w:t>5</w:t>
            </w:r>
          </w:p>
        </w:tc>
        <w:tc>
          <w:tcPr>
            <w:tcW w:w="4320" w:type="dxa"/>
          </w:tcPr>
          <w:p w:rsidR="00A63FA0" w:rsidRDefault="0034235D">
            <w:pPr>
              <w:spacing w:after="40" w:line="240" w:lineRule="auto"/>
              <w:jc w:val="left"/>
            </w:pPr>
            <w:r>
              <w:rPr>
                <w:rFonts w:cs="Times New Roman"/>
                <w:sz w:val="19"/>
              </w:rPr>
              <w:t>Social-media feed as a second bag</w:t>
            </w:r>
          </w:p>
        </w:tc>
        <w:tc>
          <w:tcPr>
            <w:tcW w:w="3312" w:type="dxa"/>
          </w:tcPr>
          <w:p w:rsidR="00A63FA0" w:rsidRDefault="0034235D">
            <w:pPr>
              <w:spacing w:after="40" w:line="240" w:lineRule="auto"/>
              <w:jc w:val="left"/>
            </w:pPr>
            <w:r>
              <w:rPr>
                <w:rFonts w:cs="Times New Roman"/>
                <w:sz w:val="19"/>
              </w:rPr>
              <w:t>Meets</w:t>
            </w:r>
            <w:r>
              <w:rPr>
                <w:rFonts w:cs="Times New Roman"/>
                <w:sz w:val="19"/>
              </w:rPr>
              <w:t xml:space="preserve"> the multi-source claim</w:t>
            </w:r>
          </w:p>
        </w:tc>
        <w:tc>
          <w:tcPr>
            <w:tcW w:w="1152" w:type="dxa"/>
          </w:tcPr>
          <w:p w:rsidR="00A63FA0" w:rsidRDefault="0034235D">
            <w:pPr>
              <w:spacing w:after="40" w:line="240" w:lineRule="auto"/>
              <w:jc w:val="center"/>
            </w:pPr>
            <w:r>
              <w:rPr>
                <w:rFonts w:cs="Times New Roman"/>
                <w:sz w:val="19"/>
              </w:rPr>
              <w:t>Medium to large</w:t>
            </w:r>
          </w:p>
        </w:tc>
      </w:tr>
      <w:tr w:rsidR="00A63FA0">
        <w:trPr>
          <w:cantSplit/>
          <w:jc w:val="center"/>
        </w:trPr>
        <w:tc>
          <w:tcPr>
            <w:tcW w:w="720" w:type="dxa"/>
          </w:tcPr>
          <w:p w:rsidR="00A63FA0" w:rsidRDefault="0034235D">
            <w:pPr>
              <w:spacing w:after="40" w:line="240" w:lineRule="auto"/>
              <w:jc w:val="center"/>
            </w:pPr>
            <w:r>
              <w:rPr>
                <w:rFonts w:cs="Times New Roman"/>
                <w:sz w:val="19"/>
              </w:rPr>
              <w:t>6</w:t>
            </w:r>
          </w:p>
        </w:tc>
        <w:tc>
          <w:tcPr>
            <w:tcW w:w="4320" w:type="dxa"/>
          </w:tcPr>
          <w:p w:rsidR="00A63FA0" w:rsidRDefault="0034235D">
            <w:pPr>
              <w:spacing w:after="40" w:line="240" w:lineRule="auto"/>
              <w:jc w:val="left"/>
            </w:pPr>
            <w:r>
              <w:rPr>
                <w:rFonts w:cs="Times New Roman"/>
                <w:sz w:val="19"/>
              </w:rPr>
              <w:t>Scheduled retraining, forecast-vs-actual tracking, database, authentication</w:t>
            </w:r>
          </w:p>
        </w:tc>
        <w:tc>
          <w:tcPr>
            <w:tcW w:w="3312" w:type="dxa"/>
          </w:tcPr>
          <w:p w:rsidR="00A63FA0" w:rsidRDefault="0034235D">
            <w:pPr>
              <w:spacing w:after="40" w:line="240" w:lineRule="auto"/>
              <w:jc w:val="left"/>
            </w:pPr>
            <w:r>
              <w:rPr>
                <w:rFonts w:cs="Times New Roman"/>
                <w:sz w:val="19"/>
              </w:rPr>
              <w:t>Production readiness</w:t>
            </w:r>
          </w:p>
        </w:tc>
        <w:tc>
          <w:tcPr>
            <w:tcW w:w="1152" w:type="dxa"/>
          </w:tcPr>
          <w:p w:rsidR="00A63FA0" w:rsidRDefault="0034235D">
            <w:pPr>
              <w:spacing w:after="40" w:line="240" w:lineRule="auto"/>
              <w:jc w:val="center"/>
            </w:pPr>
            <w:r>
              <w:rPr>
                <w:rFonts w:cs="Times New Roman"/>
                <w:sz w:val="19"/>
              </w:rPr>
              <w:t>Large</w:t>
            </w:r>
          </w:p>
        </w:tc>
      </w:tr>
      <w:tr w:rsidR="00A63FA0">
        <w:trPr>
          <w:cantSplit/>
          <w:jc w:val="center"/>
        </w:trPr>
        <w:tc>
          <w:tcPr>
            <w:tcW w:w="720" w:type="dxa"/>
          </w:tcPr>
          <w:p w:rsidR="00A63FA0" w:rsidRDefault="0034235D">
            <w:pPr>
              <w:spacing w:after="40" w:line="240" w:lineRule="auto"/>
              <w:jc w:val="center"/>
            </w:pPr>
            <w:r>
              <w:rPr>
                <w:rFonts w:cs="Times New Roman"/>
                <w:sz w:val="19"/>
              </w:rPr>
              <w:t>7</w:t>
            </w:r>
          </w:p>
        </w:tc>
        <w:tc>
          <w:tcPr>
            <w:tcW w:w="4320" w:type="dxa"/>
          </w:tcPr>
          <w:p w:rsidR="00A63FA0" w:rsidRDefault="0034235D">
            <w:pPr>
              <w:spacing w:after="40" w:line="240" w:lineRule="auto"/>
              <w:jc w:val="left"/>
            </w:pPr>
            <w:r>
              <w:rPr>
                <w:rFonts w:cs="Times New Roman"/>
                <w:sz w:val="19"/>
              </w:rPr>
              <w:t>Real federated clients</w:t>
            </w:r>
          </w:p>
        </w:tc>
        <w:tc>
          <w:tcPr>
            <w:tcW w:w="3312" w:type="dxa"/>
          </w:tcPr>
          <w:p w:rsidR="00A63FA0" w:rsidRDefault="0034235D">
            <w:pPr>
              <w:spacing w:after="40" w:line="240" w:lineRule="auto"/>
              <w:jc w:val="left"/>
            </w:pPr>
            <w:r>
              <w:rPr>
                <w:rFonts w:cs="Times New Roman"/>
                <w:sz w:val="19"/>
              </w:rPr>
              <w:t>Tests whether federation helps at all</w:t>
            </w:r>
          </w:p>
        </w:tc>
        <w:tc>
          <w:tcPr>
            <w:tcW w:w="1152" w:type="dxa"/>
          </w:tcPr>
          <w:p w:rsidR="00A63FA0" w:rsidRDefault="0034235D">
            <w:pPr>
              <w:spacing w:after="40" w:line="240" w:lineRule="auto"/>
              <w:jc w:val="center"/>
            </w:pPr>
            <w:r>
              <w:rPr>
                <w:rFonts w:cs="Times New Roman"/>
                <w:sz w:val="19"/>
              </w:rPr>
              <w:t>Large</w:t>
            </w:r>
          </w:p>
        </w:tc>
      </w:tr>
    </w:tbl>
    <w:p w:rsidR="00A63FA0" w:rsidRDefault="00A63FA0">
      <w:pPr>
        <w:spacing w:line="192" w:lineRule="auto"/>
      </w:pPr>
    </w:p>
    <w:p w:rsidR="00A63FA0" w:rsidRDefault="0034235D">
      <w:r>
        <w:rPr>
          <w:rFonts w:cs="Times New Roman"/>
        </w:rPr>
        <w:lastRenderedPageBreak/>
        <w:t>Steps 1 to 3 are cheap and decide whet</w:t>
      </w:r>
      <w:r>
        <w:rPr>
          <w:rFonts w:cs="Times New Roman"/>
        </w:rPr>
        <w:t>her the later steps are worth taking: if returns remain unpredictable once the evaluation is honest, the MIL and federation work should be judged as research questions, not as product features.</w:t>
      </w:r>
    </w:p>
    <w:p w:rsidR="00A63FA0" w:rsidRDefault="0034235D">
      <w:r>
        <w:rPr>
          <w:rFonts w:cs="Times New Roman"/>
        </w:rPr>
        <w:t>A final research question concerns the evaluation itself. A da</w:t>
      </w:r>
      <w:r>
        <w:rPr>
          <w:rFonts w:cs="Times New Roman"/>
        </w:rPr>
        <w:t xml:space="preserve">ily direction label is noisy: a one-cent move counts as 'up'. Labels that ignore moves smaller than a cost-aware threshold, or that use the sign of an excess return over a market index, would remove most of the coin-flip component and make any real signal </w:t>
      </w:r>
      <w:r>
        <w:rPr>
          <w:rFonts w:cs="Times New Roman"/>
        </w:rPr>
        <w:t>easier to detect. The offline study's pooled up-day share of 53.6 % shows how close to a coin flip the plain label is.</w:t>
      </w:r>
    </w:p>
    <w:p w:rsidR="00A63FA0" w:rsidRDefault="0034235D">
      <w:r>
        <w:rPr>
          <w:rFonts w:cs="Times New Roman"/>
        </w:rPr>
        <w:t xml:space="preserve">None of these steps should be taken without first adding the persistence baseline and true-target scoring; both are cheap and would have </w:t>
      </w:r>
      <w:r>
        <w:rPr>
          <w:rFonts w:cs="Times New Roman"/>
        </w:rPr>
        <w:t>prevented the main overstatements found here.</w:t>
      </w:r>
    </w:p>
    <w:p w:rsidR="00A63FA0" w:rsidRDefault="0034235D">
      <w:pPr>
        <w:pStyle w:val="Heading1"/>
        <w:pageBreakBefore/>
      </w:pPr>
      <w:r>
        <w:lastRenderedPageBreak/>
        <w:t>3. REFERENCES</w:t>
      </w:r>
    </w:p>
    <w:p w:rsidR="00A63FA0" w:rsidRDefault="0034235D">
      <w:pPr>
        <w:spacing w:after="100" w:line="276" w:lineRule="auto"/>
        <w:ind w:left="648" w:hanging="648"/>
      </w:pPr>
      <w:r>
        <w:rPr>
          <w:rFonts w:cs="Times New Roman"/>
          <w:sz w:val="20"/>
        </w:rPr>
        <w:t xml:space="preserve">[1]  Y. Nejatbakhsh and M. Aliasgari, "Enhancing stock market prediction with hybrid deep learning: Integrating LSTM, transformer attention, federated learning, and sentiment analysis," </w:t>
      </w:r>
      <w:r>
        <w:rPr>
          <w:rFonts w:cs="Times New Roman"/>
          <w:i/>
          <w:sz w:val="20"/>
        </w:rPr>
        <w:t>IEEE Acces</w:t>
      </w:r>
      <w:r>
        <w:rPr>
          <w:rFonts w:cs="Times New Roman"/>
          <w:i/>
          <w:sz w:val="20"/>
        </w:rPr>
        <w:t>s</w:t>
      </w:r>
      <w:r>
        <w:rPr>
          <w:rFonts w:cs="Times New Roman"/>
          <w:sz w:val="20"/>
        </w:rPr>
        <w:t>, vol. 14, pp. 3926-3942, 2026, doi: 10.1109/ACCESS.2025.3649668.</w:t>
      </w:r>
    </w:p>
    <w:p w:rsidR="00A63FA0" w:rsidRDefault="0034235D">
      <w:pPr>
        <w:spacing w:after="100" w:line="276" w:lineRule="auto"/>
        <w:ind w:left="648" w:hanging="648"/>
      </w:pPr>
      <w:r>
        <w:rPr>
          <w:rFonts w:cs="Times New Roman"/>
          <w:sz w:val="20"/>
        </w:rPr>
        <w:t xml:space="preserve">[2]  "A hybrid artificial intelligence model for stock market prediction using financial news, social media sentiment, and corporate performance indicators," </w:t>
      </w:r>
      <w:r>
        <w:rPr>
          <w:rFonts w:cs="Times New Roman"/>
          <w:i/>
          <w:sz w:val="20"/>
        </w:rPr>
        <w:t xml:space="preserve">Revista Electronica de </w:t>
      </w:r>
      <w:r>
        <w:rPr>
          <w:rFonts w:cs="Times New Roman"/>
          <w:i/>
          <w:sz w:val="20"/>
        </w:rPr>
        <w:t>Veterinaria</w:t>
      </w:r>
      <w:r>
        <w:rPr>
          <w:rFonts w:cs="Times New Roman"/>
          <w:sz w:val="20"/>
        </w:rPr>
        <w:t>, vol. 25, no. 1, 2024 (as listed in the batch literature survey; authors not available in Crossref).</w:t>
      </w:r>
    </w:p>
    <w:p w:rsidR="00A63FA0" w:rsidRDefault="0034235D">
      <w:pPr>
        <w:spacing w:after="100" w:line="276" w:lineRule="auto"/>
        <w:ind w:left="648" w:hanging="648"/>
      </w:pPr>
      <w:r>
        <w:rPr>
          <w:rFonts w:cs="Times New Roman"/>
          <w:sz w:val="20"/>
        </w:rPr>
        <w:t xml:space="preserve">[3]  G. Officioso, G. Sperli and A. Vignali, "Financial news sentiment meets market data: A large language model-based approach to stock price </w:t>
      </w:r>
      <w:r>
        <w:rPr>
          <w:rFonts w:cs="Times New Roman"/>
          <w:sz w:val="20"/>
        </w:rPr>
        <w:t xml:space="preserve">prediction," </w:t>
      </w:r>
      <w:r>
        <w:rPr>
          <w:rFonts w:cs="Times New Roman"/>
          <w:i/>
          <w:sz w:val="20"/>
        </w:rPr>
        <w:t>Inf. Sci.</w:t>
      </w:r>
      <w:r>
        <w:rPr>
          <w:rFonts w:cs="Times New Roman"/>
          <w:sz w:val="20"/>
        </w:rPr>
        <w:t>, vol. 754, Art. no. 123711, Oct. 2026, doi: 10.1016/j.ins.2026.123711.</w:t>
      </w:r>
    </w:p>
    <w:p w:rsidR="00A63FA0" w:rsidRDefault="0034235D">
      <w:pPr>
        <w:spacing w:after="100" w:line="276" w:lineRule="auto"/>
        <w:ind w:left="648" w:hanging="648"/>
      </w:pPr>
      <w:r>
        <w:rPr>
          <w:rFonts w:cs="Times New Roman"/>
          <w:sz w:val="20"/>
        </w:rPr>
        <w:t xml:space="preserve">[4]  H. Chang, "Multimodal stock price prediction in the Chinese market via financial sentiment analysis and feature fusion," in </w:t>
      </w:r>
      <w:r>
        <w:rPr>
          <w:rFonts w:cs="Times New Roman"/>
          <w:i/>
          <w:sz w:val="20"/>
        </w:rPr>
        <w:t>Proc. 3rd Int. Conf. Data Anal. M</w:t>
      </w:r>
      <w:r>
        <w:rPr>
          <w:rFonts w:cs="Times New Roman"/>
          <w:i/>
          <w:sz w:val="20"/>
        </w:rPr>
        <w:t>ach. Learn.</w:t>
      </w:r>
      <w:r>
        <w:rPr>
          <w:rFonts w:cs="Times New Roman"/>
          <w:sz w:val="20"/>
        </w:rPr>
        <w:t>, SCITEPRESS, 2025, pp. 211-216, doi: 10.5220/0014761600004818.</w:t>
      </w:r>
    </w:p>
    <w:p w:rsidR="00A63FA0" w:rsidRDefault="0034235D">
      <w:pPr>
        <w:spacing w:after="100" w:line="276" w:lineRule="auto"/>
        <w:ind w:left="648" w:hanging="648"/>
      </w:pPr>
      <w:r>
        <w:rPr>
          <w:rFonts w:cs="Times New Roman"/>
          <w:sz w:val="20"/>
        </w:rPr>
        <w:t xml:space="preserve">[5]  P. Xiao, "Stock market prediction based on financial news, text data mining, and investor sentiment analysis," </w:t>
      </w:r>
      <w:r>
        <w:rPr>
          <w:rFonts w:cs="Times New Roman"/>
          <w:i/>
          <w:sz w:val="20"/>
        </w:rPr>
        <w:t>Int. J. Inf. Syst. Model. Des.</w:t>
      </w:r>
      <w:r>
        <w:rPr>
          <w:rFonts w:cs="Times New Roman"/>
          <w:sz w:val="20"/>
        </w:rPr>
        <w:t>, vol. 15, no. 1, pp. 1-13, 2024, d</w:t>
      </w:r>
      <w:r>
        <w:rPr>
          <w:rFonts w:cs="Times New Roman"/>
          <w:sz w:val="20"/>
        </w:rPr>
        <w:t>oi: 10.4018/ijismd.361593.</w:t>
      </w:r>
    </w:p>
    <w:p w:rsidR="00A63FA0" w:rsidRDefault="0034235D">
      <w:pPr>
        <w:spacing w:after="100" w:line="276" w:lineRule="auto"/>
        <w:ind w:left="648" w:hanging="648"/>
      </w:pPr>
      <w:r>
        <w:rPr>
          <w:rFonts w:cs="Times New Roman"/>
          <w:sz w:val="20"/>
        </w:rPr>
        <w:t xml:space="preserve">[6]  X. Zhang, S. Qu, J. Huang, B. Fang and P. Yu, "Stock market prediction via multi-source multiple instance learning," </w:t>
      </w:r>
      <w:r>
        <w:rPr>
          <w:rFonts w:cs="Times New Roman"/>
          <w:i/>
          <w:sz w:val="20"/>
        </w:rPr>
        <w:t>IEEE Access</w:t>
      </w:r>
      <w:r>
        <w:rPr>
          <w:rFonts w:cs="Times New Roman"/>
          <w:sz w:val="20"/>
        </w:rPr>
        <w:t>, vol. 6, pp. 50720-50728, 2018, doi: 10.1109/ACCESS.2018.2869735.</w:t>
      </w:r>
    </w:p>
    <w:p w:rsidR="00A63FA0" w:rsidRDefault="0034235D">
      <w:pPr>
        <w:spacing w:after="100" w:line="276" w:lineRule="auto"/>
        <w:ind w:left="648" w:hanging="648"/>
      </w:pPr>
      <w:r>
        <w:rPr>
          <w:rFonts w:cs="Times New Roman"/>
          <w:sz w:val="20"/>
        </w:rPr>
        <w:t>[7]  P.-J. Liao, H.-S. Lee, Y</w:t>
      </w:r>
      <w:r>
        <w:rPr>
          <w:rFonts w:cs="Times New Roman"/>
          <w:sz w:val="20"/>
        </w:rPr>
        <w:t>.-F. Cheng, L.-W. Chen, H.-y. Lee and H.-M. Wang, "Generalized stock price prediction for multiple stocks combined with news fusion," arXiv:2603.19286, Mar. 2026.</w:t>
      </w:r>
    </w:p>
    <w:p w:rsidR="00A63FA0" w:rsidRDefault="0034235D">
      <w:pPr>
        <w:spacing w:after="100" w:line="276" w:lineRule="auto"/>
        <w:ind w:left="648" w:hanging="648"/>
      </w:pPr>
      <w:r>
        <w:rPr>
          <w:rFonts w:cs="Times New Roman"/>
          <w:sz w:val="20"/>
        </w:rPr>
        <w:t>[8]  Y. Deng and S. M. Yiu, "Deep multiple instance learning for forecasting stock trends usi</w:t>
      </w:r>
      <w:r>
        <w:rPr>
          <w:rFonts w:cs="Times New Roman"/>
          <w:sz w:val="20"/>
        </w:rPr>
        <w:t xml:space="preserve">ng financial news," in </w:t>
      </w:r>
      <w:r>
        <w:rPr>
          <w:rFonts w:cs="Times New Roman"/>
          <w:i/>
          <w:sz w:val="20"/>
        </w:rPr>
        <w:t>Artificial Intelligence Trends</w:t>
      </w:r>
      <w:r>
        <w:rPr>
          <w:rFonts w:cs="Times New Roman"/>
          <w:sz w:val="20"/>
        </w:rPr>
        <w:t>, AIRCC, 2022, pp. 95-111, doi: 10.5121/csit.2022.121008 (arXiv:2206.14452).</w:t>
      </w:r>
    </w:p>
    <w:p w:rsidR="00A63FA0" w:rsidRDefault="0034235D">
      <w:pPr>
        <w:spacing w:after="100" w:line="276" w:lineRule="auto"/>
        <w:ind w:left="648" w:hanging="648"/>
      </w:pPr>
      <w:r>
        <w:rPr>
          <w:rFonts w:cs="Times New Roman"/>
          <w:sz w:val="20"/>
        </w:rPr>
        <w:t>[9]  T. G. Dietterich, R. H. Lathrop and T. Lozano-Perez, "Solving the multiple instance problem with axis-parallel rectangles</w:t>
      </w:r>
      <w:r>
        <w:rPr>
          <w:rFonts w:cs="Times New Roman"/>
          <w:sz w:val="20"/>
        </w:rPr>
        <w:t xml:space="preserve">," </w:t>
      </w:r>
      <w:r>
        <w:rPr>
          <w:rFonts w:cs="Times New Roman"/>
          <w:i/>
          <w:sz w:val="20"/>
        </w:rPr>
        <w:t>Artif. Intell.</w:t>
      </w:r>
      <w:r>
        <w:rPr>
          <w:rFonts w:cs="Times New Roman"/>
          <w:sz w:val="20"/>
        </w:rPr>
        <w:t>, vol. 89, no. 1-2, pp. 31-71, Jan. 1997, doi: 10.1016/S0004-3702(96)00034-3.</w:t>
      </w:r>
    </w:p>
    <w:p w:rsidR="00A63FA0" w:rsidRDefault="0034235D">
      <w:pPr>
        <w:spacing w:after="100" w:line="276" w:lineRule="auto"/>
        <w:ind w:left="648" w:hanging="648"/>
      </w:pPr>
      <w:r>
        <w:rPr>
          <w:rFonts w:cs="Times New Roman"/>
          <w:sz w:val="20"/>
        </w:rPr>
        <w:t xml:space="preserve">[10]  M. Ilse, J. M. Tomczak and M. Welling, "Attention-based deep multiple instance learning," in </w:t>
      </w:r>
      <w:r>
        <w:rPr>
          <w:rFonts w:cs="Times New Roman"/>
          <w:i/>
          <w:sz w:val="20"/>
        </w:rPr>
        <w:t>Proc. 35th Int. Conf. Mach. Learn. (ICML)</w:t>
      </w:r>
      <w:r>
        <w:rPr>
          <w:rFonts w:cs="Times New Roman"/>
          <w:sz w:val="20"/>
        </w:rPr>
        <w:t xml:space="preserve">, </w:t>
      </w:r>
      <w:r>
        <w:rPr>
          <w:rFonts w:cs="Times New Roman"/>
          <w:i/>
          <w:sz w:val="20"/>
        </w:rPr>
        <w:t>PMLR</w:t>
      </w:r>
      <w:r>
        <w:rPr>
          <w:rFonts w:cs="Times New Roman"/>
          <w:sz w:val="20"/>
        </w:rPr>
        <w:t>, vol. 80, 2018</w:t>
      </w:r>
      <w:r>
        <w:rPr>
          <w:rFonts w:cs="Times New Roman"/>
          <w:sz w:val="20"/>
        </w:rPr>
        <w:t>, pp. 2127-2136, arXiv:1802.04712.</w:t>
      </w:r>
    </w:p>
    <w:p w:rsidR="00A63FA0" w:rsidRDefault="0034235D">
      <w:pPr>
        <w:spacing w:after="100" w:line="276" w:lineRule="auto"/>
        <w:ind w:left="648" w:hanging="648"/>
      </w:pPr>
      <w:r>
        <w:rPr>
          <w:rFonts w:cs="Times New Roman"/>
          <w:sz w:val="20"/>
        </w:rPr>
        <w:t xml:space="preserve">[11]  Z. Dong, X. Fan and Z. Peng, "FNSPID: A comprehensive financial news dataset in time series," in </w:t>
      </w:r>
      <w:r>
        <w:rPr>
          <w:rFonts w:cs="Times New Roman"/>
          <w:i/>
          <w:sz w:val="20"/>
        </w:rPr>
        <w:t>Proc. 30th ACM SIGKDD Conf. Knowl. Discovery Data Mining (KDD)</w:t>
      </w:r>
      <w:r>
        <w:rPr>
          <w:rFonts w:cs="Times New Roman"/>
          <w:sz w:val="20"/>
        </w:rPr>
        <w:t>, Barcelona, Spain, Aug. 2024, pp. 4918-4927, doi: 10.11</w:t>
      </w:r>
      <w:r>
        <w:rPr>
          <w:rFonts w:cs="Times New Roman"/>
          <w:sz w:val="20"/>
        </w:rPr>
        <w:t>45/3637528.3671629.</w:t>
      </w:r>
    </w:p>
    <w:p w:rsidR="00A63FA0" w:rsidRDefault="0034235D">
      <w:pPr>
        <w:spacing w:after="100" w:line="276" w:lineRule="auto"/>
        <w:ind w:left="648" w:hanging="648"/>
      </w:pPr>
      <w:r>
        <w:rPr>
          <w:rFonts w:cs="Times New Roman"/>
          <w:sz w:val="20"/>
        </w:rPr>
        <w:t xml:space="preserve">[12]  S. Hochreiter and J. Schmidhuber, "Long short-term memory," </w:t>
      </w:r>
      <w:r>
        <w:rPr>
          <w:rFonts w:cs="Times New Roman"/>
          <w:i/>
          <w:sz w:val="20"/>
        </w:rPr>
        <w:t>Neural Comput.</w:t>
      </w:r>
      <w:r>
        <w:rPr>
          <w:rFonts w:cs="Times New Roman"/>
          <w:sz w:val="20"/>
        </w:rPr>
        <w:t>, vol. 9, no. 8, pp. 1735-1780, Nov. 1997, doi: 10.1162/neco.1997.9.8.1735.</w:t>
      </w:r>
    </w:p>
    <w:p w:rsidR="00A63FA0" w:rsidRDefault="0034235D">
      <w:pPr>
        <w:spacing w:after="100" w:line="276" w:lineRule="auto"/>
        <w:ind w:left="648" w:hanging="648"/>
      </w:pPr>
      <w:r>
        <w:rPr>
          <w:rFonts w:cs="Times New Roman"/>
          <w:sz w:val="20"/>
        </w:rPr>
        <w:t xml:space="preserve">[13]  A. Vaswani </w:t>
      </w:r>
      <w:r>
        <w:rPr>
          <w:rFonts w:cs="Times New Roman"/>
          <w:i/>
          <w:sz w:val="20"/>
        </w:rPr>
        <w:t>et al.</w:t>
      </w:r>
      <w:r>
        <w:rPr>
          <w:rFonts w:cs="Times New Roman"/>
          <w:sz w:val="20"/>
        </w:rPr>
        <w:t xml:space="preserve">, "Attention is all you need," in </w:t>
      </w:r>
      <w:r>
        <w:rPr>
          <w:rFonts w:cs="Times New Roman"/>
          <w:i/>
          <w:sz w:val="20"/>
        </w:rPr>
        <w:t>Adv. Neural Inf. Proces</w:t>
      </w:r>
      <w:r>
        <w:rPr>
          <w:rFonts w:cs="Times New Roman"/>
          <w:i/>
          <w:sz w:val="20"/>
        </w:rPr>
        <w:t>s. Syst. (NeurIPS)</w:t>
      </w:r>
      <w:r>
        <w:rPr>
          <w:rFonts w:cs="Times New Roman"/>
          <w:sz w:val="20"/>
        </w:rPr>
        <w:t>, vol. 30, 2017, pp. 5998-6008, arXiv:1706.03762.</w:t>
      </w:r>
    </w:p>
    <w:p w:rsidR="00A63FA0" w:rsidRDefault="0034235D">
      <w:pPr>
        <w:spacing w:after="100" w:line="276" w:lineRule="auto"/>
        <w:ind w:left="648" w:hanging="648"/>
      </w:pPr>
      <w:r>
        <w:rPr>
          <w:rFonts w:cs="Times New Roman"/>
          <w:sz w:val="20"/>
        </w:rPr>
        <w:t xml:space="preserve">[14]  H. B. McMahan, E. Moore, D. Ramage, S. Hampson and B. A. y Arcas, "Communication-efficient learning of deep networks from decentralized data," in </w:t>
      </w:r>
      <w:r>
        <w:rPr>
          <w:rFonts w:cs="Times New Roman"/>
          <w:i/>
          <w:sz w:val="20"/>
        </w:rPr>
        <w:t>Proc. 20th Int. Conf. Artif. Intell.</w:t>
      </w:r>
      <w:r>
        <w:rPr>
          <w:rFonts w:cs="Times New Roman"/>
          <w:i/>
          <w:sz w:val="20"/>
        </w:rPr>
        <w:t xml:space="preserve"> Statist. (AISTATS)</w:t>
      </w:r>
      <w:r>
        <w:rPr>
          <w:rFonts w:cs="Times New Roman"/>
          <w:sz w:val="20"/>
        </w:rPr>
        <w:t xml:space="preserve">, </w:t>
      </w:r>
      <w:r>
        <w:rPr>
          <w:rFonts w:cs="Times New Roman"/>
          <w:i/>
          <w:sz w:val="20"/>
        </w:rPr>
        <w:t>PMLR</w:t>
      </w:r>
      <w:r>
        <w:rPr>
          <w:rFonts w:cs="Times New Roman"/>
          <w:sz w:val="20"/>
        </w:rPr>
        <w:t>, vol. 54, 2017, pp. 1273-1282, arXiv:1602.05629.</w:t>
      </w:r>
    </w:p>
    <w:p w:rsidR="00A63FA0" w:rsidRDefault="0034235D">
      <w:pPr>
        <w:spacing w:after="100" w:line="276" w:lineRule="auto"/>
        <w:ind w:left="648" w:hanging="648"/>
      </w:pPr>
      <w:r>
        <w:rPr>
          <w:rFonts w:cs="Times New Roman"/>
          <w:sz w:val="20"/>
        </w:rPr>
        <w:t xml:space="preserve">[15]  Q. Yang, Y. Liu, T. Chen and Y. Tong, "Federated machine learning: Concept and applications," </w:t>
      </w:r>
      <w:r>
        <w:rPr>
          <w:rFonts w:cs="Times New Roman"/>
          <w:i/>
          <w:sz w:val="20"/>
        </w:rPr>
        <w:t>ACM Trans. Intell. Syst. Technol.</w:t>
      </w:r>
      <w:r>
        <w:rPr>
          <w:rFonts w:cs="Times New Roman"/>
          <w:sz w:val="20"/>
        </w:rPr>
        <w:t>, vol. 10, no. 2, pp. 1-19, Jan. 2019, doi: 10.1</w:t>
      </w:r>
      <w:r>
        <w:rPr>
          <w:rFonts w:cs="Times New Roman"/>
          <w:sz w:val="20"/>
        </w:rPr>
        <w:t>145/3298981.</w:t>
      </w:r>
    </w:p>
    <w:p w:rsidR="00A63FA0" w:rsidRDefault="0034235D">
      <w:pPr>
        <w:spacing w:after="100" w:line="276" w:lineRule="auto"/>
        <w:ind w:left="648" w:hanging="648"/>
      </w:pPr>
      <w:r>
        <w:rPr>
          <w:rFonts w:cs="Times New Roman"/>
          <w:sz w:val="20"/>
        </w:rPr>
        <w:t>[16]  Y. Yang, M. C. S. Uy and A. Huang, "FinBERT: A pretrained language model for financial communications," arXiv:2006.08097, Jun. 2020.</w:t>
      </w:r>
    </w:p>
    <w:p w:rsidR="00A63FA0" w:rsidRDefault="0034235D">
      <w:pPr>
        <w:spacing w:after="100" w:line="276" w:lineRule="auto"/>
        <w:ind w:left="648" w:hanging="648"/>
      </w:pPr>
      <w:r>
        <w:rPr>
          <w:rFonts w:cs="Times New Roman"/>
          <w:sz w:val="20"/>
        </w:rPr>
        <w:t>[17]  D. Araci, "FinBERT: Financial sentiment analysis with pre-trained language models," arXiv:1908.100</w:t>
      </w:r>
      <w:r>
        <w:rPr>
          <w:rFonts w:cs="Times New Roman"/>
          <w:sz w:val="20"/>
        </w:rPr>
        <w:t>63, Aug. 2019.</w:t>
      </w:r>
    </w:p>
    <w:p w:rsidR="00A63FA0" w:rsidRDefault="0034235D">
      <w:pPr>
        <w:spacing w:after="100" w:line="276" w:lineRule="auto"/>
        <w:ind w:left="648" w:hanging="648"/>
      </w:pPr>
      <w:r>
        <w:rPr>
          <w:rFonts w:cs="Times New Roman"/>
          <w:sz w:val="20"/>
        </w:rPr>
        <w:lastRenderedPageBreak/>
        <w:t xml:space="preserve">[18]  T. Fischer and C. Krauss, "Deep learning with long short-term memory networks for financial market predictions," </w:t>
      </w:r>
      <w:r>
        <w:rPr>
          <w:rFonts w:cs="Times New Roman"/>
          <w:i/>
          <w:sz w:val="20"/>
        </w:rPr>
        <w:t>Eur. J. Oper. Res.</w:t>
      </w:r>
      <w:r>
        <w:rPr>
          <w:rFonts w:cs="Times New Roman"/>
          <w:sz w:val="20"/>
        </w:rPr>
        <w:t>, vol. 270, no. 2, pp. 654-669, Oct. 2018, doi: 10.1016/j.ejor.2017.11.054.</w:t>
      </w:r>
    </w:p>
    <w:p w:rsidR="00A63FA0" w:rsidRDefault="0034235D">
      <w:pPr>
        <w:spacing w:after="100" w:line="276" w:lineRule="auto"/>
        <w:ind w:left="648" w:hanging="648"/>
      </w:pPr>
      <w:r>
        <w:rPr>
          <w:rFonts w:cs="Times New Roman"/>
          <w:sz w:val="20"/>
        </w:rPr>
        <w:t>[19]  O. B. Sezer, M. U. Gud</w:t>
      </w:r>
      <w:r>
        <w:rPr>
          <w:rFonts w:cs="Times New Roman"/>
          <w:sz w:val="20"/>
        </w:rPr>
        <w:t xml:space="preserve">elek and A. M. Ozbayoglu, "Financial time series forecasting with deep learning: A systematic literature review: 2005-2019," </w:t>
      </w:r>
      <w:r>
        <w:rPr>
          <w:rFonts w:cs="Times New Roman"/>
          <w:i/>
          <w:sz w:val="20"/>
        </w:rPr>
        <w:t>Appl. Soft Comput.</w:t>
      </w:r>
      <w:r>
        <w:rPr>
          <w:rFonts w:cs="Times New Roman"/>
          <w:sz w:val="20"/>
        </w:rPr>
        <w:t>, vol. 90, Art. no. 106181, May 2020, doi: 10.1016/j.asoc.2020.106181.</w:t>
      </w:r>
    </w:p>
    <w:p w:rsidR="00A63FA0" w:rsidRDefault="0034235D">
      <w:pPr>
        <w:spacing w:after="100" w:line="276" w:lineRule="auto"/>
        <w:ind w:left="648" w:hanging="648"/>
      </w:pPr>
      <w:r>
        <w:rPr>
          <w:rFonts w:cs="Times New Roman"/>
          <w:sz w:val="20"/>
        </w:rPr>
        <w:t>[20]  B. Lim and S. Zohren, "Time-series f</w:t>
      </w:r>
      <w:r>
        <w:rPr>
          <w:rFonts w:cs="Times New Roman"/>
          <w:sz w:val="20"/>
        </w:rPr>
        <w:t xml:space="preserve">orecasting with deep learning: A survey," </w:t>
      </w:r>
      <w:r>
        <w:rPr>
          <w:rFonts w:cs="Times New Roman"/>
          <w:i/>
          <w:sz w:val="20"/>
        </w:rPr>
        <w:t>Phil. Trans. R. Soc. A</w:t>
      </w:r>
      <w:r>
        <w:rPr>
          <w:rFonts w:cs="Times New Roman"/>
          <w:sz w:val="20"/>
        </w:rPr>
        <w:t>, vol. 379, no. 2194, Art. no. 20200209, Feb. 2021, doi: 10.1098/rsta.2020.0209.</w:t>
      </w:r>
    </w:p>
    <w:p w:rsidR="00A63FA0" w:rsidRDefault="0034235D">
      <w:pPr>
        <w:spacing w:after="100" w:line="276" w:lineRule="auto"/>
        <w:ind w:left="648" w:hanging="648"/>
      </w:pPr>
      <w:r>
        <w:rPr>
          <w:rFonts w:cs="Times New Roman"/>
          <w:sz w:val="20"/>
        </w:rPr>
        <w:t xml:space="preserve">[21]  P. C. Tetlock, "Giving content to investor sentiment: The role of media in the stock market," </w:t>
      </w:r>
      <w:r>
        <w:rPr>
          <w:rFonts w:cs="Times New Roman"/>
          <w:i/>
          <w:sz w:val="20"/>
        </w:rPr>
        <w:t>J. Finance</w:t>
      </w:r>
      <w:r>
        <w:rPr>
          <w:rFonts w:cs="Times New Roman"/>
          <w:sz w:val="20"/>
        </w:rPr>
        <w:t>,</w:t>
      </w:r>
      <w:r>
        <w:rPr>
          <w:rFonts w:cs="Times New Roman"/>
          <w:sz w:val="20"/>
        </w:rPr>
        <w:t xml:space="preserve"> vol. 62, no. 3, pp. 1139-1168, Jun. 2007, doi: 10.1111/j.1540-6261.2007.01232.x.</w:t>
      </w:r>
    </w:p>
    <w:p w:rsidR="00A63FA0" w:rsidRDefault="0034235D">
      <w:pPr>
        <w:spacing w:after="100" w:line="276" w:lineRule="auto"/>
        <w:ind w:left="648" w:hanging="648"/>
      </w:pPr>
      <w:r>
        <w:rPr>
          <w:rFonts w:cs="Times New Roman"/>
          <w:sz w:val="20"/>
        </w:rPr>
        <w:t xml:space="preserve">[22]  J. Bollen, H. Mao and X. Zeng, "Twitter mood predicts the stock market," </w:t>
      </w:r>
      <w:r>
        <w:rPr>
          <w:rFonts w:cs="Times New Roman"/>
          <w:i/>
          <w:sz w:val="20"/>
        </w:rPr>
        <w:t>J. Comput. Sci.</w:t>
      </w:r>
      <w:r>
        <w:rPr>
          <w:rFonts w:cs="Times New Roman"/>
          <w:sz w:val="20"/>
        </w:rPr>
        <w:t>, vol. 2, no. 1, pp. 1-8, Mar. 2011, doi: 10.1016/j.jocs.2010.12.007.</w:t>
      </w:r>
    </w:p>
    <w:p w:rsidR="00A63FA0" w:rsidRDefault="0034235D">
      <w:pPr>
        <w:spacing w:after="100" w:line="276" w:lineRule="auto"/>
        <w:ind w:left="648" w:hanging="648"/>
      </w:pPr>
      <w:r>
        <w:rPr>
          <w:rFonts w:cs="Times New Roman"/>
          <w:sz w:val="20"/>
        </w:rPr>
        <w:t>[23]  E. F</w:t>
      </w:r>
      <w:r>
        <w:rPr>
          <w:rFonts w:cs="Times New Roman"/>
          <w:sz w:val="20"/>
        </w:rPr>
        <w:t xml:space="preserve">. Fama, "Efficient capital markets: A review of theory and empirical work," </w:t>
      </w:r>
      <w:r>
        <w:rPr>
          <w:rFonts w:cs="Times New Roman"/>
          <w:i/>
          <w:sz w:val="20"/>
        </w:rPr>
        <w:t>J. Finance</w:t>
      </w:r>
      <w:r>
        <w:rPr>
          <w:rFonts w:cs="Times New Roman"/>
          <w:sz w:val="20"/>
        </w:rPr>
        <w:t>, vol. 25, no. 2, pp. 383-417, May 1970, doi: 10.2307/2325486.</w:t>
      </w:r>
    </w:p>
    <w:p w:rsidR="00A63FA0" w:rsidRDefault="0034235D">
      <w:pPr>
        <w:spacing w:after="100" w:line="276" w:lineRule="auto"/>
        <w:ind w:left="648" w:hanging="648"/>
      </w:pPr>
      <w:r>
        <w:rPr>
          <w:rFonts w:cs="Times New Roman"/>
          <w:sz w:val="20"/>
        </w:rPr>
        <w:t xml:space="preserve">[24]  S. J. Taylor and B. Letham, "Forecasting at scale," </w:t>
      </w:r>
      <w:r>
        <w:rPr>
          <w:rFonts w:cs="Times New Roman"/>
          <w:i/>
          <w:sz w:val="20"/>
        </w:rPr>
        <w:t>Amer. Statistician</w:t>
      </w:r>
      <w:r>
        <w:rPr>
          <w:rFonts w:cs="Times New Roman"/>
          <w:sz w:val="20"/>
        </w:rPr>
        <w:t xml:space="preserve">, vol. 72, no. 1, pp. 37-45, </w:t>
      </w:r>
      <w:r>
        <w:rPr>
          <w:rFonts w:cs="Times New Roman"/>
          <w:sz w:val="20"/>
        </w:rPr>
        <w:t>2018, doi: 10.1080/00031305.2017.1380080.</w:t>
      </w:r>
    </w:p>
    <w:p w:rsidR="00A63FA0" w:rsidRDefault="0034235D">
      <w:pPr>
        <w:spacing w:after="100" w:line="276" w:lineRule="auto"/>
        <w:ind w:left="648" w:hanging="648"/>
      </w:pPr>
      <w:r>
        <w:rPr>
          <w:rFonts w:cs="Times New Roman"/>
          <w:sz w:val="20"/>
        </w:rPr>
        <w:t xml:space="preserve">[25]  L. Breiman, "Random forests," </w:t>
      </w:r>
      <w:r>
        <w:rPr>
          <w:rFonts w:cs="Times New Roman"/>
          <w:i/>
          <w:sz w:val="20"/>
        </w:rPr>
        <w:t>Mach. Learn.</w:t>
      </w:r>
      <w:r>
        <w:rPr>
          <w:rFonts w:cs="Times New Roman"/>
          <w:sz w:val="20"/>
        </w:rPr>
        <w:t>, vol. 45, no. 1, pp. 5-32, Oct. 2001, doi: 10.1023/A:1010933404324.</w:t>
      </w:r>
    </w:p>
    <w:p w:rsidR="00A63FA0" w:rsidRDefault="0034235D">
      <w:pPr>
        <w:spacing w:after="100" w:line="276" w:lineRule="auto"/>
        <w:ind w:left="648" w:hanging="648"/>
      </w:pPr>
      <w:r>
        <w:rPr>
          <w:rFonts w:cs="Times New Roman"/>
          <w:sz w:val="20"/>
        </w:rPr>
        <w:t xml:space="preserve">[26]  A. J. Smola and B. Scholkopf, "A tutorial on support vector regression," </w:t>
      </w:r>
      <w:r>
        <w:rPr>
          <w:rFonts w:cs="Times New Roman"/>
          <w:i/>
          <w:sz w:val="20"/>
        </w:rPr>
        <w:t>Statist. Comput.</w:t>
      </w:r>
      <w:r>
        <w:rPr>
          <w:rFonts w:cs="Times New Roman"/>
          <w:sz w:val="20"/>
        </w:rPr>
        <w:t xml:space="preserve">, </w:t>
      </w:r>
      <w:r>
        <w:rPr>
          <w:rFonts w:cs="Times New Roman"/>
          <w:sz w:val="20"/>
        </w:rPr>
        <w:t>vol. 14, no. 3, pp. 199-222, Aug. 2004, doi: 10.1023/B:STCO.0000035301.49549.88.</w:t>
      </w:r>
    </w:p>
    <w:p w:rsidR="00A63FA0" w:rsidRDefault="0034235D">
      <w:pPr>
        <w:spacing w:after="100" w:line="276" w:lineRule="auto"/>
        <w:ind w:left="648" w:hanging="648"/>
      </w:pPr>
      <w:r>
        <w:rPr>
          <w:rFonts w:cs="Times New Roman"/>
          <w:sz w:val="20"/>
        </w:rPr>
        <w:t xml:space="preserve">[27]  G. E. P. Box, G. M. Jenkins, G. C. Reinsel and G. M. Ljung, </w:t>
      </w:r>
      <w:r>
        <w:rPr>
          <w:rFonts w:cs="Times New Roman"/>
          <w:i/>
          <w:sz w:val="20"/>
        </w:rPr>
        <w:t>Time Series Analysis: Forecasting and Control</w:t>
      </w:r>
      <w:r>
        <w:rPr>
          <w:rFonts w:cs="Times New Roman"/>
          <w:sz w:val="20"/>
        </w:rPr>
        <w:t>, 5th ed. Hoboken, NJ, USA: Wiley, 2015.</w:t>
      </w:r>
    </w:p>
    <w:p w:rsidR="00A63FA0" w:rsidRDefault="0034235D">
      <w:pPr>
        <w:spacing w:after="100" w:line="276" w:lineRule="auto"/>
        <w:ind w:left="648" w:hanging="648"/>
      </w:pPr>
      <w:r>
        <w:rPr>
          <w:rFonts w:cs="Times New Roman"/>
          <w:sz w:val="20"/>
        </w:rPr>
        <w:t xml:space="preserve">[28]  D. P. Kingma and </w:t>
      </w:r>
      <w:r>
        <w:rPr>
          <w:rFonts w:cs="Times New Roman"/>
          <w:sz w:val="20"/>
        </w:rPr>
        <w:t>J. Ba, "Adam: A method for stochastic optimization," arXiv:1412.6980, Dec. 2014.</w:t>
      </w:r>
    </w:p>
    <w:p w:rsidR="00A63FA0" w:rsidRDefault="0034235D">
      <w:pPr>
        <w:spacing w:after="100" w:line="276" w:lineRule="auto"/>
        <w:ind w:left="648" w:hanging="648"/>
      </w:pPr>
      <w:r>
        <w:rPr>
          <w:rFonts w:cs="Times New Roman"/>
          <w:sz w:val="20"/>
        </w:rPr>
        <w:t>[29]  I. Loshchilov and F. Hutter, "Decoupled weight decay regularization," arXiv:1711.05101, Nov. 2017.</w:t>
      </w:r>
    </w:p>
    <w:p w:rsidR="00A63FA0" w:rsidRDefault="0034235D">
      <w:pPr>
        <w:spacing w:after="100" w:line="276" w:lineRule="auto"/>
        <w:ind w:left="648" w:hanging="648"/>
      </w:pPr>
      <w:r>
        <w:rPr>
          <w:rFonts w:cs="Times New Roman"/>
          <w:sz w:val="20"/>
        </w:rPr>
        <w:t xml:space="preserve">[30]  M. Abadi </w:t>
      </w:r>
      <w:r>
        <w:rPr>
          <w:rFonts w:cs="Times New Roman"/>
          <w:i/>
          <w:sz w:val="20"/>
        </w:rPr>
        <w:t>et al.</w:t>
      </w:r>
      <w:r>
        <w:rPr>
          <w:rFonts w:cs="Times New Roman"/>
          <w:sz w:val="20"/>
        </w:rPr>
        <w:t>, "TensorFlow: Large-scale machine learning on he</w:t>
      </w:r>
      <w:r>
        <w:rPr>
          <w:rFonts w:cs="Times New Roman"/>
          <w:sz w:val="20"/>
        </w:rPr>
        <w:t>terogeneous distributed systems," arXiv:1603.04467, Mar. 2016.</w:t>
      </w:r>
    </w:p>
    <w:p w:rsidR="00A63FA0" w:rsidRDefault="0034235D">
      <w:pPr>
        <w:spacing w:after="100" w:line="276" w:lineRule="auto"/>
        <w:ind w:left="648" w:hanging="648"/>
      </w:pPr>
      <w:r>
        <w:rPr>
          <w:rFonts w:cs="Times New Roman"/>
          <w:sz w:val="20"/>
        </w:rPr>
        <w:t xml:space="preserve">[31]  A. Paszke </w:t>
      </w:r>
      <w:r>
        <w:rPr>
          <w:rFonts w:cs="Times New Roman"/>
          <w:i/>
          <w:sz w:val="20"/>
        </w:rPr>
        <w:t>et al.</w:t>
      </w:r>
      <w:r>
        <w:rPr>
          <w:rFonts w:cs="Times New Roman"/>
          <w:sz w:val="20"/>
        </w:rPr>
        <w:t>, "PyTorch: An imperative style, high-performance deep learning library," arXiv:1912.01703, Dec. 2019.</w:t>
      </w:r>
    </w:p>
    <w:p w:rsidR="00A63FA0" w:rsidRDefault="0034235D">
      <w:pPr>
        <w:spacing w:after="100" w:line="276" w:lineRule="auto"/>
        <w:ind w:left="648" w:hanging="648"/>
      </w:pPr>
      <w:r>
        <w:rPr>
          <w:rFonts w:cs="Times New Roman"/>
          <w:sz w:val="20"/>
        </w:rPr>
        <w:t xml:space="preserve">[32]  F. Pedregosa </w:t>
      </w:r>
      <w:r>
        <w:rPr>
          <w:rFonts w:cs="Times New Roman"/>
          <w:i/>
          <w:sz w:val="20"/>
        </w:rPr>
        <w:t>et al.</w:t>
      </w:r>
      <w:r>
        <w:rPr>
          <w:rFonts w:cs="Times New Roman"/>
          <w:sz w:val="20"/>
        </w:rPr>
        <w:t>, "Scikit-learn: Machine learning in Python</w:t>
      </w:r>
      <w:r>
        <w:rPr>
          <w:rFonts w:cs="Times New Roman"/>
          <w:sz w:val="20"/>
        </w:rPr>
        <w:t xml:space="preserve">," </w:t>
      </w:r>
      <w:r>
        <w:rPr>
          <w:rFonts w:cs="Times New Roman"/>
          <w:i/>
          <w:sz w:val="20"/>
        </w:rPr>
        <w:t>J. Mach. Learn. Res.</w:t>
      </w:r>
      <w:r>
        <w:rPr>
          <w:rFonts w:cs="Times New Roman"/>
          <w:sz w:val="20"/>
        </w:rPr>
        <w:t>, vol. 12, pp. 2825-2830, 2011.</w:t>
      </w:r>
    </w:p>
    <w:p w:rsidR="00A63FA0" w:rsidRDefault="0034235D">
      <w:pPr>
        <w:spacing w:after="100" w:line="276" w:lineRule="auto"/>
        <w:ind w:left="648" w:hanging="648"/>
      </w:pPr>
      <w:r>
        <w:rPr>
          <w:rFonts w:cs="Times New Roman"/>
          <w:sz w:val="20"/>
        </w:rPr>
        <w:t>[33]  Yahoo Finance, "Historical market data," accessed through the yfinance Python package, Oct. 2026. [Online]. Available: https://finance.yahoo.com/</w:t>
      </w:r>
    </w:p>
    <w:p w:rsidR="00A63FA0" w:rsidRDefault="0034235D">
      <w:pPr>
        <w:spacing w:after="100" w:line="276" w:lineRule="auto"/>
        <w:ind w:left="648" w:hanging="648"/>
      </w:pPr>
      <w:r>
        <w:rPr>
          <w:rFonts w:cs="Times New Roman"/>
          <w:sz w:val="20"/>
        </w:rPr>
        <w:t xml:space="preserve">[34]  NewsAPI, "News API: JSON API for live news </w:t>
      </w:r>
      <w:r>
        <w:rPr>
          <w:rFonts w:cs="Times New Roman"/>
          <w:sz w:val="20"/>
        </w:rPr>
        <w:t>and blog articles." [Online]. Available: https://newsapi.org/</w:t>
      </w:r>
    </w:p>
    <w:p w:rsidR="00A63FA0" w:rsidRDefault="0034235D">
      <w:pPr>
        <w:spacing w:after="100" w:line="276" w:lineRule="auto"/>
        <w:ind w:left="648" w:hanging="648"/>
      </w:pPr>
      <w:r>
        <w:rPr>
          <w:rFonts w:cs="Times New Roman"/>
          <w:sz w:val="20"/>
        </w:rPr>
        <w:t>[35]  Y. Yang, "finbert-tone: FinBERT fine-tuned for financial tone (positive / neutral / negative)," Hugging Face model card yiyanghkust/finbert-tone. [Online]. Available: https://huggingface.c</w:t>
      </w:r>
      <w:r>
        <w:rPr>
          <w:rFonts w:cs="Times New Roman"/>
          <w:sz w:val="20"/>
        </w:rPr>
        <w:t>o/yiyanghkust/finbert-tone</w:t>
      </w:r>
    </w:p>
    <w:sectPr w:rsidR="00A63FA0" w:rsidSect="00034616">
      <w:headerReference w:type="default" r:id="rId10"/>
      <w:footerReference w:type="default" r:id="rId11"/>
      <w:pgSz w:w="11906" w:h="16838"/>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34235D">
      <w:pPr>
        <w:spacing w:after="0" w:line="240" w:lineRule="auto"/>
      </w:pPr>
      <w:r>
        <w:separator/>
      </w:r>
    </w:p>
  </w:endnote>
  <w:endnote w:type="continuationSeparator" w:id="0">
    <w:p w:rsidR="00000000" w:rsidRDefault="003423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63FA0" w:rsidRDefault="0034235D">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34235D">
      <w:pPr>
        <w:spacing w:after="0" w:line="240" w:lineRule="auto"/>
      </w:pPr>
      <w:r>
        <w:separator/>
      </w:r>
    </w:p>
  </w:footnote>
  <w:footnote w:type="continuationSeparator" w:id="0">
    <w:p w:rsidR="00000000" w:rsidRDefault="003423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63FA0" w:rsidRDefault="0034235D">
    <w:pPr>
      <w:pStyle w:val="Header"/>
      <w:jc w:val="center"/>
    </w:pPr>
    <w:r>
      <w:rPr>
        <w:rFonts w:cs="Times New Roman"/>
        <w:i/>
        <w:color w:val="555555"/>
        <w:sz w:val="20"/>
      </w:rPr>
      <w:t>QuantPulse  |  Conclusion, Future Scope and References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235D"/>
    <w:rsid w:val="00A63FA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BAD4F152-AE6F-46B2-8B92-8F5E97908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semiHidden/>
    <w:unhideWhenUsed/>
    <w:rsid w:val="0034235D"/>
    <w:pPr>
      <w:spacing w:after="0" w:line="240" w:lineRule="auto"/>
    </w:pPr>
    <w:rPr>
      <w:rFonts w:cs="Times New Roman"/>
      <w:sz w:val="21"/>
    </w:rPr>
  </w:style>
  <w:style w:type="paragraph" w:styleId="TOC2">
    <w:name w:val="toc 2"/>
    <w:basedOn w:val="Normal"/>
    <w:next w:val="Normal"/>
    <w:autoRedefine/>
    <w:uiPriority w:val="39"/>
    <w:semiHidden/>
    <w:unhideWhenUsed/>
    <w:rsid w:val="0034235D"/>
    <w:pPr>
      <w:spacing w:after="0" w:line="240" w:lineRule="auto"/>
      <w:ind w:left="240"/>
    </w:pPr>
    <w:rPr>
      <w:rFonts w:cs="Times New Roman"/>
      <w:sz w:val="21"/>
    </w:rPr>
  </w:style>
  <w:style w:type="paragraph" w:styleId="TableofFigures">
    <w:name w:val="table of figures"/>
    <w:basedOn w:val="Normal"/>
    <w:next w:val="Normal"/>
    <w:uiPriority w:val="99"/>
    <w:semiHidden/>
    <w:unhideWhenUsed/>
    <w:rsid w:val="0034235D"/>
    <w:pPr>
      <w:spacing w:after="0" w:line="240" w:lineRule="auto"/>
    </w:pPr>
    <w:rPr>
      <w:rFonts w:cs="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043E16-6289-4210-94F6-9FE729E71C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3848</Words>
  <Characters>20386</Characters>
  <Application>Microsoft Office Word</Application>
  <DocSecurity>0</DocSecurity>
  <Lines>427</Lines>
  <Paragraphs>204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24110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2026-10-26T07:36:00Z</dcterms:modified>
  <cp:category/>
</cp:coreProperties>
</file>