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6FED" w:rsidRDefault="002D6FED">
      <w:pPr>
        <w:spacing w:after="480" w:line="240" w:lineRule="auto"/>
      </w:pPr>
      <w:bookmarkStart w:id="0" w:name="_GoBack"/>
      <w:bookmarkEnd w:id="0"/>
    </w:p>
    <w:p w:rsidR="002D6FED" w:rsidRDefault="00531098">
      <w:pPr>
        <w:jc w:val="center"/>
      </w:pPr>
      <w:r>
        <w:rPr>
          <w:rFonts w:cs="Times New Roman"/>
          <w:b/>
          <w:sz w:val="36"/>
        </w:rPr>
        <w:t>PNEUMONIA DETECTION USING DEEP LEARNING</w:t>
      </w:r>
    </w:p>
    <w:p w:rsidR="002D6FED" w:rsidRDefault="00531098">
      <w:pPr>
        <w:spacing w:after="280"/>
        <w:jc w:val="center"/>
      </w:pPr>
      <w:r>
        <w:rPr>
          <w:rFonts w:cs="Times New Roman"/>
          <w:b/>
          <w:sz w:val="28"/>
        </w:rPr>
        <w:t>Scope and Limitations</w:t>
      </w:r>
    </w:p>
    <w:p w:rsidR="002D6FED" w:rsidRDefault="00531098">
      <w:pPr>
        <w:spacing w:after="40"/>
        <w:jc w:val="center"/>
      </w:pPr>
      <w:r>
        <w:rPr>
          <w:rFonts w:cs="Times New Roman"/>
        </w:rPr>
        <w:t>Department of Computer Science and Engineering, TKR College of Engineering and Technology (Autonomous)</w:t>
      </w:r>
    </w:p>
    <w:p w:rsidR="002D6FED" w:rsidRDefault="00531098">
      <w:pPr>
        <w:spacing w:after="240"/>
        <w:jc w:val="center"/>
      </w:pPr>
      <w:r>
        <w:rPr>
          <w:rFonts w:cs="Times New Roman"/>
        </w:rPr>
        <w:t>Batch A12 (CSE-A)  ·  Academic year 2026-2027</w:t>
      </w:r>
    </w:p>
    <w:p w:rsidR="002D6FED" w:rsidRDefault="005310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2D6FED">
        <w:trPr>
          <w:cantSplit/>
          <w:tblHeader/>
          <w:jc w:val="center"/>
        </w:trPr>
        <w:tc>
          <w:tcPr>
            <w:tcW w:w="1008" w:type="dxa"/>
            <w:shd w:val="clear" w:color="auto" w:fill="1B2A41"/>
          </w:tcPr>
          <w:p w:rsidR="002D6FED" w:rsidRDefault="00531098">
            <w:pPr>
              <w:spacing w:after="40" w:line="240" w:lineRule="auto"/>
              <w:jc w:val="center"/>
            </w:pPr>
            <w:r>
              <w:rPr>
                <w:rFonts w:cs="Times New Roman"/>
                <w:b/>
                <w:color w:val="FFFFFF"/>
                <w:sz w:val="22"/>
              </w:rPr>
              <w:t>S.No.</w:t>
            </w:r>
          </w:p>
        </w:tc>
        <w:tc>
          <w:tcPr>
            <w:tcW w:w="4896" w:type="dxa"/>
            <w:shd w:val="clear" w:color="auto" w:fill="1B2A41"/>
          </w:tcPr>
          <w:p w:rsidR="002D6FED" w:rsidRDefault="00531098">
            <w:pPr>
              <w:spacing w:after="40" w:line="240" w:lineRule="auto"/>
              <w:jc w:val="center"/>
            </w:pPr>
            <w:r>
              <w:rPr>
                <w:rFonts w:cs="Times New Roman"/>
                <w:b/>
                <w:color w:val="FFFFFF"/>
                <w:sz w:val="22"/>
              </w:rPr>
              <w:t>Student name</w:t>
            </w:r>
          </w:p>
        </w:tc>
        <w:tc>
          <w:tcPr>
            <w:tcW w:w="2592" w:type="dxa"/>
            <w:shd w:val="clear" w:color="auto" w:fill="1B2A41"/>
          </w:tcPr>
          <w:p w:rsidR="002D6FED" w:rsidRDefault="00531098">
            <w:pPr>
              <w:spacing w:after="40" w:line="240" w:lineRule="auto"/>
              <w:jc w:val="center"/>
            </w:pPr>
            <w:r>
              <w:rPr>
                <w:rFonts w:cs="Times New Roman"/>
                <w:b/>
                <w:color w:val="FFFFFF"/>
                <w:sz w:val="22"/>
              </w:rPr>
              <w:t>Roll number</w:t>
            </w:r>
          </w:p>
        </w:tc>
      </w:tr>
      <w:tr w:rsidR="002D6FED">
        <w:trPr>
          <w:cantSplit/>
          <w:jc w:val="center"/>
        </w:trPr>
        <w:tc>
          <w:tcPr>
            <w:tcW w:w="1008" w:type="dxa"/>
          </w:tcPr>
          <w:p w:rsidR="002D6FED" w:rsidRDefault="00531098">
            <w:pPr>
              <w:spacing w:after="40" w:line="240" w:lineRule="auto"/>
              <w:jc w:val="center"/>
            </w:pPr>
            <w:r>
              <w:rPr>
                <w:rFonts w:cs="Times New Roman"/>
                <w:sz w:val="22"/>
              </w:rPr>
              <w:t>1</w:t>
            </w:r>
          </w:p>
        </w:tc>
        <w:tc>
          <w:tcPr>
            <w:tcW w:w="4896" w:type="dxa"/>
          </w:tcPr>
          <w:p w:rsidR="002D6FED" w:rsidRDefault="00531098">
            <w:pPr>
              <w:spacing w:after="40" w:line="240" w:lineRule="auto"/>
              <w:jc w:val="left"/>
            </w:pPr>
            <w:r>
              <w:rPr>
                <w:rFonts w:cs="Times New Roman"/>
                <w:sz w:val="22"/>
              </w:rPr>
              <w:t>CHOUDAM AKSHITHA</w:t>
            </w:r>
          </w:p>
        </w:tc>
        <w:tc>
          <w:tcPr>
            <w:tcW w:w="2592" w:type="dxa"/>
          </w:tcPr>
          <w:p w:rsidR="002D6FED" w:rsidRDefault="00531098">
            <w:pPr>
              <w:spacing w:after="40" w:line="240" w:lineRule="auto"/>
              <w:jc w:val="center"/>
            </w:pPr>
            <w:r>
              <w:rPr>
                <w:rFonts w:cs="Times New Roman"/>
                <w:sz w:val="22"/>
              </w:rPr>
              <w:t>23K91A0556</w:t>
            </w:r>
          </w:p>
        </w:tc>
      </w:tr>
      <w:tr w:rsidR="002D6FED">
        <w:trPr>
          <w:cantSplit/>
          <w:jc w:val="center"/>
        </w:trPr>
        <w:tc>
          <w:tcPr>
            <w:tcW w:w="1008" w:type="dxa"/>
          </w:tcPr>
          <w:p w:rsidR="002D6FED" w:rsidRDefault="00531098">
            <w:pPr>
              <w:spacing w:after="40" w:line="240" w:lineRule="auto"/>
              <w:jc w:val="center"/>
            </w:pPr>
            <w:r>
              <w:rPr>
                <w:rFonts w:cs="Times New Roman"/>
                <w:sz w:val="22"/>
              </w:rPr>
              <w:t>2</w:t>
            </w:r>
          </w:p>
        </w:tc>
        <w:tc>
          <w:tcPr>
            <w:tcW w:w="4896" w:type="dxa"/>
          </w:tcPr>
          <w:p w:rsidR="002D6FED" w:rsidRDefault="00531098">
            <w:pPr>
              <w:spacing w:after="40" w:line="240" w:lineRule="auto"/>
              <w:jc w:val="left"/>
            </w:pPr>
            <w:r>
              <w:rPr>
                <w:rFonts w:cs="Times New Roman"/>
                <w:sz w:val="22"/>
              </w:rPr>
              <w:t>BOGGULA SATVIK KUMAR</w:t>
            </w:r>
          </w:p>
        </w:tc>
        <w:tc>
          <w:tcPr>
            <w:tcW w:w="2592" w:type="dxa"/>
          </w:tcPr>
          <w:p w:rsidR="002D6FED" w:rsidRDefault="00531098">
            <w:pPr>
              <w:spacing w:after="40" w:line="240" w:lineRule="auto"/>
              <w:jc w:val="center"/>
            </w:pPr>
            <w:r>
              <w:rPr>
                <w:rFonts w:cs="Times New Roman"/>
                <w:sz w:val="22"/>
              </w:rPr>
              <w:t>23K91A0541</w:t>
            </w:r>
          </w:p>
        </w:tc>
      </w:tr>
      <w:tr w:rsidR="002D6FED">
        <w:trPr>
          <w:cantSplit/>
          <w:jc w:val="center"/>
        </w:trPr>
        <w:tc>
          <w:tcPr>
            <w:tcW w:w="1008" w:type="dxa"/>
          </w:tcPr>
          <w:p w:rsidR="002D6FED" w:rsidRDefault="00531098">
            <w:pPr>
              <w:spacing w:after="40" w:line="240" w:lineRule="auto"/>
              <w:jc w:val="center"/>
            </w:pPr>
            <w:r>
              <w:rPr>
                <w:rFonts w:cs="Times New Roman"/>
                <w:sz w:val="22"/>
              </w:rPr>
              <w:t>3</w:t>
            </w:r>
          </w:p>
        </w:tc>
        <w:tc>
          <w:tcPr>
            <w:tcW w:w="4896" w:type="dxa"/>
          </w:tcPr>
          <w:p w:rsidR="002D6FED" w:rsidRDefault="00531098">
            <w:pPr>
              <w:spacing w:after="40" w:line="240" w:lineRule="auto"/>
              <w:jc w:val="left"/>
            </w:pPr>
            <w:r>
              <w:rPr>
                <w:rFonts w:cs="Times New Roman"/>
                <w:sz w:val="22"/>
              </w:rPr>
              <w:t>ARUTLA ABHI THEJ REDDY</w:t>
            </w:r>
          </w:p>
        </w:tc>
        <w:tc>
          <w:tcPr>
            <w:tcW w:w="2592" w:type="dxa"/>
          </w:tcPr>
          <w:p w:rsidR="002D6FED" w:rsidRDefault="00531098">
            <w:pPr>
              <w:spacing w:after="40" w:line="240" w:lineRule="auto"/>
              <w:jc w:val="center"/>
            </w:pPr>
            <w:r>
              <w:rPr>
                <w:rFonts w:cs="Times New Roman"/>
                <w:sz w:val="22"/>
              </w:rPr>
              <w:t>23K91A0515</w:t>
            </w:r>
          </w:p>
        </w:tc>
      </w:tr>
      <w:tr w:rsidR="002D6FED">
        <w:trPr>
          <w:cantSplit/>
          <w:jc w:val="center"/>
        </w:trPr>
        <w:tc>
          <w:tcPr>
            <w:tcW w:w="1008" w:type="dxa"/>
          </w:tcPr>
          <w:p w:rsidR="002D6FED" w:rsidRDefault="00531098">
            <w:pPr>
              <w:spacing w:after="40" w:line="240" w:lineRule="auto"/>
              <w:jc w:val="center"/>
            </w:pPr>
            <w:r>
              <w:rPr>
                <w:rFonts w:cs="Times New Roman"/>
                <w:sz w:val="22"/>
              </w:rPr>
              <w:t>4</w:t>
            </w:r>
          </w:p>
        </w:tc>
        <w:tc>
          <w:tcPr>
            <w:tcW w:w="4896" w:type="dxa"/>
          </w:tcPr>
          <w:p w:rsidR="002D6FED" w:rsidRDefault="00531098">
            <w:pPr>
              <w:spacing w:after="40" w:line="240" w:lineRule="auto"/>
              <w:jc w:val="left"/>
            </w:pPr>
            <w:r>
              <w:rPr>
                <w:rFonts w:cs="Times New Roman"/>
                <w:sz w:val="22"/>
              </w:rPr>
              <w:t>DUGGARAJU LIKHITHA</w:t>
            </w:r>
          </w:p>
        </w:tc>
        <w:tc>
          <w:tcPr>
            <w:tcW w:w="2592" w:type="dxa"/>
          </w:tcPr>
          <w:p w:rsidR="002D6FED" w:rsidRDefault="00531098">
            <w:pPr>
              <w:spacing w:after="40" w:line="240" w:lineRule="auto"/>
              <w:jc w:val="center"/>
            </w:pPr>
            <w:r>
              <w:rPr>
                <w:rFonts w:cs="Times New Roman"/>
                <w:sz w:val="22"/>
              </w:rPr>
              <w:t>23K91A0565</w:t>
            </w:r>
          </w:p>
        </w:tc>
      </w:tr>
    </w:tbl>
    <w:p w:rsidR="002D6FED" w:rsidRDefault="002D6FED">
      <w:pPr>
        <w:spacing w:line="192" w:lineRule="auto"/>
      </w:pPr>
    </w:p>
    <w:p w:rsidR="002D6FED" w:rsidRDefault="00531098">
      <w:pPr>
        <w:spacing w:after="200"/>
        <w:jc w:val="center"/>
      </w:pPr>
      <w:r>
        <w:rPr>
          <w:rFonts w:cs="Times New Roman"/>
          <w:b/>
        </w:rPr>
        <w:t>Project guide:</w:t>
      </w:r>
      <w:r>
        <w:rPr>
          <w:rFonts w:cs="Times New Roman"/>
        </w:rPr>
        <w:t xml:space="preserve"> V. MEENAKSHI</w:t>
      </w:r>
    </w:p>
    <w:p w:rsidR="002D6FED" w:rsidRDefault="00531098">
      <w:r>
        <w:rPr>
          <w:rFonts w:cs="Times New Roman"/>
          <w:i/>
          <w:sz w:val="21"/>
        </w:rPr>
        <w:t xml:space="preserve">Chapter and section numbers quoted in the text (for </w:t>
      </w:r>
      <w:r>
        <w:rPr>
          <w:rFonts w:cs="Times New Roman"/>
          <w:i/>
          <w:sz w:val="21"/>
        </w:rPr>
        <w:t>example Section 6.6 or Chapter 8) refer to the full project report, 17.Final Document. Figures and tables in this document are numbered from 1.</w:t>
      </w:r>
    </w:p>
    <w:p w:rsidR="002D6FED" w:rsidRDefault="00531098">
      <w:pPr>
        <w:pStyle w:val="Heading1"/>
      </w:pPr>
      <w:r>
        <w:t>1. SCOPE</w:t>
      </w:r>
    </w:p>
    <w:p w:rsidR="002D6FED" w:rsidRDefault="00531098">
      <w:pPr>
        <w:pStyle w:val="Heading2"/>
      </w:pPr>
      <w:r>
        <w:t>1.1 In scope</w:t>
      </w:r>
    </w:p>
    <w:p w:rsidR="002D6FED" w:rsidRDefault="005310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In scope</w:t>
      </w:r>
    </w:p>
    <w:tbl>
      <w:tblPr>
        <w:tblStyle w:val="TableGrid"/>
        <w:tblW w:w="0" w:type="auto"/>
        <w:jc w:val="center"/>
        <w:tblLook w:val="04A0" w:firstRow="1" w:lastRow="0" w:firstColumn="1" w:lastColumn="0" w:noHBand="0" w:noVBand="1"/>
      </w:tblPr>
      <w:tblGrid>
        <w:gridCol w:w="569"/>
        <w:gridCol w:w="8313"/>
      </w:tblGrid>
      <w:tr w:rsidR="002D6FED">
        <w:trPr>
          <w:cantSplit/>
          <w:tblHeader/>
          <w:jc w:val="center"/>
        </w:trPr>
        <w:tc>
          <w:tcPr>
            <w:tcW w:w="576" w:type="dxa"/>
            <w:shd w:val="clear" w:color="auto" w:fill="1B2A41"/>
          </w:tcPr>
          <w:p w:rsidR="002D6FED" w:rsidRDefault="00531098">
            <w:pPr>
              <w:spacing w:after="40" w:line="240" w:lineRule="auto"/>
              <w:jc w:val="center"/>
            </w:pPr>
            <w:r>
              <w:rPr>
                <w:rFonts w:cs="Times New Roman"/>
                <w:b/>
                <w:color w:val="FFFFFF"/>
                <w:sz w:val="21"/>
              </w:rPr>
              <w:t>#</w:t>
            </w:r>
          </w:p>
        </w:tc>
        <w:tc>
          <w:tcPr>
            <w:tcW w:w="8496" w:type="dxa"/>
            <w:shd w:val="clear" w:color="auto" w:fill="1B2A41"/>
          </w:tcPr>
          <w:p w:rsidR="002D6FED" w:rsidRDefault="00531098">
            <w:pPr>
              <w:spacing w:after="40" w:line="240" w:lineRule="auto"/>
              <w:jc w:val="center"/>
            </w:pPr>
            <w:r>
              <w:rPr>
                <w:rFonts w:cs="Times New Roman"/>
                <w:b/>
                <w:color w:val="FFFFFF"/>
                <w:sz w:val="21"/>
              </w:rPr>
              <w:t>Item</w:t>
            </w:r>
          </w:p>
        </w:tc>
      </w:tr>
      <w:tr w:rsidR="002D6FED">
        <w:trPr>
          <w:cantSplit/>
          <w:jc w:val="center"/>
        </w:trPr>
        <w:tc>
          <w:tcPr>
            <w:tcW w:w="576" w:type="dxa"/>
          </w:tcPr>
          <w:p w:rsidR="002D6FED" w:rsidRDefault="00531098">
            <w:pPr>
              <w:spacing w:after="40" w:line="240" w:lineRule="auto"/>
              <w:jc w:val="center"/>
            </w:pPr>
            <w:r>
              <w:rPr>
                <w:rFonts w:cs="Times New Roman"/>
                <w:sz w:val="21"/>
              </w:rPr>
              <w:t>1</w:t>
            </w:r>
          </w:p>
        </w:tc>
        <w:tc>
          <w:tcPr>
            <w:tcW w:w="8496" w:type="dxa"/>
          </w:tcPr>
          <w:p w:rsidR="002D6FED" w:rsidRDefault="00531098">
            <w:pPr>
              <w:spacing w:after="40" w:line="240" w:lineRule="auto"/>
              <w:jc w:val="left"/>
            </w:pPr>
            <w:r>
              <w:rPr>
                <w:rFonts w:cs="Times New Roman"/>
                <w:sz w:val="21"/>
              </w:rPr>
              <w:t xml:space="preserve">Three-way classification of a single </w:t>
            </w:r>
            <w:r>
              <w:rPr>
                <w:rFonts w:cs="Times New Roman"/>
                <w:sz w:val="21"/>
              </w:rPr>
              <w:t>frontal chest X-ray into Normal, Bacterial Pneumonia or Viral Pneumonia, with per-class probabilities.</w:t>
            </w:r>
          </w:p>
        </w:tc>
      </w:tr>
      <w:tr w:rsidR="002D6FED">
        <w:trPr>
          <w:cantSplit/>
          <w:jc w:val="center"/>
        </w:trPr>
        <w:tc>
          <w:tcPr>
            <w:tcW w:w="576" w:type="dxa"/>
          </w:tcPr>
          <w:p w:rsidR="002D6FED" w:rsidRDefault="00531098">
            <w:pPr>
              <w:spacing w:after="40" w:line="240" w:lineRule="auto"/>
              <w:jc w:val="center"/>
            </w:pPr>
            <w:r>
              <w:rPr>
                <w:rFonts w:cs="Times New Roman"/>
                <w:sz w:val="21"/>
              </w:rPr>
              <w:t>2</w:t>
            </w:r>
          </w:p>
        </w:tc>
        <w:tc>
          <w:tcPr>
            <w:tcW w:w="8496" w:type="dxa"/>
          </w:tcPr>
          <w:p w:rsidR="002D6FED" w:rsidRDefault="00531098">
            <w:pPr>
              <w:spacing w:after="40" w:line="240" w:lineRule="auto"/>
              <w:jc w:val="left"/>
            </w:pPr>
            <w:r>
              <w:rPr>
                <w:rFonts w:cs="Times New Roman"/>
                <w:sz w:val="21"/>
              </w:rPr>
              <w:t>The preprocessing chain actually used in the code: grayscale decoding, resizing to 224 x 224, CLAHE contrast enhancement, light Gaussian smoothing and</w:t>
            </w:r>
            <w:r>
              <w:rPr>
                <w:rFonts w:cs="Times New Roman"/>
                <w:sz w:val="21"/>
              </w:rPr>
              <w:t xml:space="preserve"> scaling to [0, 1].</w:t>
            </w:r>
          </w:p>
        </w:tc>
      </w:tr>
      <w:tr w:rsidR="002D6FED">
        <w:trPr>
          <w:cantSplit/>
          <w:jc w:val="center"/>
        </w:trPr>
        <w:tc>
          <w:tcPr>
            <w:tcW w:w="576" w:type="dxa"/>
          </w:tcPr>
          <w:p w:rsidR="002D6FED" w:rsidRDefault="00531098">
            <w:pPr>
              <w:spacing w:after="40" w:line="240" w:lineRule="auto"/>
              <w:jc w:val="center"/>
            </w:pPr>
            <w:r>
              <w:rPr>
                <w:rFonts w:cs="Times New Roman"/>
                <w:sz w:val="21"/>
              </w:rPr>
              <w:t>3</w:t>
            </w:r>
          </w:p>
        </w:tc>
        <w:tc>
          <w:tcPr>
            <w:tcW w:w="8496" w:type="dxa"/>
          </w:tcPr>
          <w:p w:rsidR="002D6FED" w:rsidRDefault="00531098">
            <w:pPr>
              <w:spacing w:after="40" w:line="240" w:lineRule="auto"/>
              <w:jc w:val="left"/>
            </w:pPr>
            <w:r>
              <w:rPr>
                <w:rFonts w:cs="Times New Roman"/>
                <w:sz w:val="21"/>
              </w:rPr>
              <w:t>A convolutional network written for the project (four convolution blocks, global average pooling and a dense head), plus a transfer-learning builder for DenseNet, ResNet and EfficientNet backbones.</w:t>
            </w:r>
          </w:p>
        </w:tc>
      </w:tr>
      <w:tr w:rsidR="002D6FED">
        <w:trPr>
          <w:cantSplit/>
          <w:jc w:val="center"/>
        </w:trPr>
        <w:tc>
          <w:tcPr>
            <w:tcW w:w="576" w:type="dxa"/>
          </w:tcPr>
          <w:p w:rsidR="002D6FED" w:rsidRDefault="00531098">
            <w:pPr>
              <w:spacing w:after="40" w:line="240" w:lineRule="auto"/>
              <w:jc w:val="center"/>
            </w:pPr>
            <w:r>
              <w:rPr>
                <w:rFonts w:cs="Times New Roman"/>
                <w:sz w:val="21"/>
              </w:rPr>
              <w:t>4</w:t>
            </w:r>
          </w:p>
        </w:tc>
        <w:tc>
          <w:tcPr>
            <w:tcW w:w="8496" w:type="dxa"/>
          </w:tcPr>
          <w:p w:rsidR="002D6FED" w:rsidRDefault="00531098">
            <w:pPr>
              <w:spacing w:after="40" w:line="240" w:lineRule="auto"/>
              <w:jc w:val="left"/>
            </w:pPr>
            <w:r>
              <w:rPr>
                <w:rFonts w:cs="Times New Roman"/>
                <w:sz w:val="21"/>
              </w:rPr>
              <w:t xml:space="preserve">A Grad-CAM heatmap overlay for </w:t>
            </w:r>
            <w:r>
              <w:rPr>
                <w:rFonts w:cs="Times New Roman"/>
                <w:sz w:val="21"/>
              </w:rPr>
              <w:t>the predicted class on every scan.</w:t>
            </w:r>
          </w:p>
        </w:tc>
      </w:tr>
      <w:tr w:rsidR="002D6FED">
        <w:trPr>
          <w:cantSplit/>
          <w:jc w:val="center"/>
        </w:trPr>
        <w:tc>
          <w:tcPr>
            <w:tcW w:w="576" w:type="dxa"/>
          </w:tcPr>
          <w:p w:rsidR="002D6FED" w:rsidRDefault="00531098">
            <w:pPr>
              <w:spacing w:after="40" w:line="240" w:lineRule="auto"/>
              <w:jc w:val="center"/>
            </w:pPr>
            <w:r>
              <w:rPr>
                <w:rFonts w:cs="Times New Roman"/>
                <w:sz w:val="21"/>
              </w:rPr>
              <w:t>5</w:t>
            </w:r>
          </w:p>
        </w:tc>
        <w:tc>
          <w:tcPr>
            <w:tcW w:w="8496" w:type="dxa"/>
          </w:tcPr>
          <w:p w:rsidR="002D6FED" w:rsidRDefault="00531098">
            <w:pPr>
              <w:spacing w:after="40" w:line="240" w:lineRule="auto"/>
              <w:jc w:val="left"/>
            </w:pPr>
            <w:r>
              <w:rPr>
                <w:rFonts w:cs="Times New Roman"/>
                <w:sz w:val="21"/>
              </w:rPr>
              <w:t>A web application with a React front end, a FastAPI service and the original Flask interface, a signed-cookie demo login, SQLite history, a dashboard, CSV export and deletion of stored scans.</w:t>
            </w:r>
          </w:p>
        </w:tc>
      </w:tr>
      <w:tr w:rsidR="002D6FED">
        <w:trPr>
          <w:cantSplit/>
          <w:jc w:val="center"/>
        </w:trPr>
        <w:tc>
          <w:tcPr>
            <w:tcW w:w="576" w:type="dxa"/>
          </w:tcPr>
          <w:p w:rsidR="002D6FED" w:rsidRDefault="00531098">
            <w:pPr>
              <w:spacing w:after="40" w:line="240" w:lineRule="auto"/>
              <w:jc w:val="center"/>
            </w:pPr>
            <w:r>
              <w:rPr>
                <w:rFonts w:cs="Times New Roman"/>
                <w:sz w:val="21"/>
              </w:rPr>
              <w:t>6</w:t>
            </w:r>
          </w:p>
        </w:tc>
        <w:tc>
          <w:tcPr>
            <w:tcW w:w="8496" w:type="dxa"/>
          </w:tcPr>
          <w:p w:rsidR="002D6FED" w:rsidRDefault="00531098">
            <w:pPr>
              <w:spacing w:after="40" w:line="240" w:lineRule="auto"/>
              <w:jc w:val="left"/>
            </w:pPr>
            <w:r>
              <w:rPr>
                <w:rFonts w:cs="Times New Roman"/>
                <w:sz w:val="21"/>
              </w:rPr>
              <w:t>A reproducible training</w:t>
            </w:r>
            <w:r>
              <w:rPr>
                <w:rFonts w:cs="Times New Roman"/>
                <w:sz w:val="21"/>
              </w:rPr>
              <w:t xml:space="preserve"> and evaluation script, an automated test suite and the documentation set.</w:t>
            </w:r>
          </w:p>
        </w:tc>
      </w:tr>
    </w:tbl>
    <w:p w:rsidR="002D6FED" w:rsidRDefault="002D6FED">
      <w:pPr>
        <w:spacing w:line="192" w:lineRule="auto"/>
      </w:pPr>
    </w:p>
    <w:p w:rsidR="002D6FED" w:rsidRDefault="00531098">
      <w:pPr>
        <w:pStyle w:val="Heading2"/>
      </w:pPr>
      <w:r>
        <w:lastRenderedPageBreak/>
        <w:t>1.2 Out of scope</w:t>
      </w:r>
    </w:p>
    <w:p w:rsidR="002D6FED" w:rsidRDefault="005310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Out of scope</w:t>
      </w:r>
    </w:p>
    <w:tbl>
      <w:tblPr>
        <w:tblStyle w:val="TableGrid"/>
        <w:tblW w:w="0" w:type="auto"/>
        <w:jc w:val="center"/>
        <w:tblLook w:val="04A0" w:firstRow="1" w:lastRow="0" w:firstColumn="1" w:lastColumn="0" w:noHBand="0" w:noVBand="1"/>
      </w:tblPr>
      <w:tblGrid>
        <w:gridCol w:w="569"/>
        <w:gridCol w:w="8313"/>
      </w:tblGrid>
      <w:tr w:rsidR="002D6FED">
        <w:trPr>
          <w:cantSplit/>
          <w:tblHeader/>
          <w:jc w:val="center"/>
        </w:trPr>
        <w:tc>
          <w:tcPr>
            <w:tcW w:w="576" w:type="dxa"/>
            <w:shd w:val="clear" w:color="auto" w:fill="1B2A41"/>
          </w:tcPr>
          <w:p w:rsidR="002D6FED" w:rsidRDefault="00531098">
            <w:pPr>
              <w:spacing w:after="40" w:line="240" w:lineRule="auto"/>
              <w:jc w:val="center"/>
            </w:pPr>
            <w:r>
              <w:rPr>
                <w:rFonts w:cs="Times New Roman"/>
                <w:b/>
                <w:color w:val="FFFFFF"/>
                <w:sz w:val="21"/>
              </w:rPr>
              <w:t>#</w:t>
            </w:r>
          </w:p>
        </w:tc>
        <w:tc>
          <w:tcPr>
            <w:tcW w:w="8496" w:type="dxa"/>
            <w:shd w:val="clear" w:color="auto" w:fill="1B2A41"/>
          </w:tcPr>
          <w:p w:rsidR="002D6FED" w:rsidRDefault="00531098">
            <w:pPr>
              <w:spacing w:after="40" w:line="240" w:lineRule="auto"/>
              <w:jc w:val="center"/>
            </w:pPr>
            <w:r>
              <w:rPr>
                <w:rFonts w:cs="Times New Roman"/>
                <w:b/>
                <w:color w:val="FFFFFF"/>
                <w:sz w:val="21"/>
              </w:rPr>
              <w:t>Item</w:t>
            </w:r>
          </w:p>
        </w:tc>
      </w:tr>
      <w:tr w:rsidR="002D6FED">
        <w:trPr>
          <w:cantSplit/>
          <w:jc w:val="center"/>
        </w:trPr>
        <w:tc>
          <w:tcPr>
            <w:tcW w:w="576" w:type="dxa"/>
          </w:tcPr>
          <w:p w:rsidR="002D6FED" w:rsidRDefault="00531098">
            <w:pPr>
              <w:spacing w:after="40" w:line="240" w:lineRule="auto"/>
              <w:jc w:val="center"/>
            </w:pPr>
            <w:r>
              <w:rPr>
                <w:rFonts w:cs="Times New Roman"/>
                <w:sz w:val="21"/>
              </w:rPr>
              <w:t>1</w:t>
            </w:r>
          </w:p>
        </w:tc>
        <w:tc>
          <w:tcPr>
            <w:tcW w:w="8496" w:type="dxa"/>
          </w:tcPr>
          <w:p w:rsidR="002D6FED" w:rsidRDefault="00531098">
            <w:pPr>
              <w:spacing w:after="40" w:line="240" w:lineRule="auto"/>
              <w:jc w:val="left"/>
            </w:pPr>
            <w:r>
              <w:rPr>
                <w:rFonts w:cs="Times New Roman"/>
                <w:sz w:val="21"/>
              </w:rPr>
              <w:t xml:space="preserve">U-Net lung segmentation. It is an objective of the project proposal, but no segmentation network is </w:t>
            </w:r>
            <w:r>
              <w:rPr>
                <w:rFonts w:cs="Times New Roman"/>
                <w:sz w:val="21"/>
              </w:rPr>
              <w:t>implemented, trained or evaluated; the classifier sees the whole radiograph.</w:t>
            </w:r>
          </w:p>
        </w:tc>
      </w:tr>
      <w:tr w:rsidR="002D6FED">
        <w:trPr>
          <w:cantSplit/>
          <w:jc w:val="center"/>
        </w:trPr>
        <w:tc>
          <w:tcPr>
            <w:tcW w:w="576" w:type="dxa"/>
          </w:tcPr>
          <w:p w:rsidR="002D6FED" w:rsidRDefault="00531098">
            <w:pPr>
              <w:spacing w:after="40" w:line="240" w:lineRule="auto"/>
              <w:jc w:val="center"/>
            </w:pPr>
            <w:r>
              <w:rPr>
                <w:rFonts w:cs="Times New Roman"/>
                <w:sz w:val="21"/>
              </w:rPr>
              <w:t>2</w:t>
            </w:r>
          </w:p>
        </w:tc>
        <w:tc>
          <w:tcPr>
            <w:tcW w:w="8496" w:type="dxa"/>
          </w:tcPr>
          <w:p w:rsidR="002D6FED" w:rsidRDefault="00531098">
            <w:pPr>
              <w:spacing w:after="40" w:line="240" w:lineRule="auto"/>
              <w:jc w:val="left"/>
            </w:pPr>
            <w:r>
              <w:rPr>
                <w:rFonts w:cs="Times New Roman"/>
                <w:sz w:val="21"/>
              </w:rPr>
              <w:t>Clinical use. The system is a research prototype for screening support and has not been validated on patients, by radiologists or by any regulator.</w:t>
            </w:r>
          </w:p>
        </w:tc>
      </w:tr>
      <w:tr w:rsidR="002D6FED">
        <w:trPr>
          <w:cantSplit/>
          <w:jc w:val="center"/>
        </w:trPr>
        <w:tc>
          <w:tcPr>
            <w:tcW w:w="576" w:type="dxa"/>
          </w:tcPr>
          <w:p w:rsidR="002D6FED" w:rsidRDefault="00531098">
            <w:pPr>
              <w:spacing w:after="40" w:line="240" w:lineRule="auto"/>
              <w:jc w:val="center"/>
            </w:pPr>
            <w:r>
              <w:rPr>
                <w:rFonts w:cs="Times New Roman"/>
                <w:sz w:val="21"/>
              </w:rPr>
              <w:t>3</w:t>
            </w:r>
          </w:p>
        </w:tc>
        <w:tc>
          <w:tcPr>
            <w:tcW w:w="8496" w:type="dxa"/>
          </w:tcPr>
          <w:p w:rsidR="002D6FED" w:rsidRDefault="00531098">
            <w:pPr>
              <w:spacing w:after="40" w:line="240" w:lineRule="auto"/>
              <w:jc w:val="left"/>
            </w:pPr>
            <w:r>
              <w:rPr>
                <w:rFonts w:cs="Times New Roman"/>
                <w:sz w:val="21"/>
              </w:rPr>
              <w:t>Any imaging modality othe</w:t>
            </w:r>
            <w:r>
              <w:rPr>
                <w:rFonts w:cs="Times New Roman"/>
                <w:sz w:val="21"/>
              </w:rPr>
              <w:t>r than frontal chest X-rays, any disease other than pneumonia, and adult or non-paediatric validation (the training data are paediatric).</w:t>
            </w:r>
          </w:p>
        </w:tc>
      </w:tr>
      <w:tr w:rsidR="002D6FED">
        <w:trPr>
          <w:cantSplit/>
          <w:jc w:val="center"/>
        </w:trPr>
        <w:tc>
          <w:tcPr>
            <w:tcW w:w="576" w:type="dxa"/>
          </w:tcPr>
          <w:p w:rsidR="002D6FED" w:rsidRDefault="00531098">
            <w:pPr>
              <w:spacing w:after="40" w:line="240" w:lineRule="auto"/>
              <w:jc w:val="center"/>
            </w:pPr>
            <w:r>
              <w:rPr>
                <w:rFonts w:cs="Times New Roman"/>
                <w:sz w:val="21"/>
              </w:rPr>
              <w:t>4</w:t>
            </w:r>
          </w:p>
        </w:tc>
        <w:tc>
          <w:tcPr>
            <w:tcW w:w="8496" w:type="dxa"/>
          </w:tcPr>
          <w:p w:rsidR="002D6FED" w:rsidRDefault="00531098">
            <w:pPr>
              <w:spacing w:after="40" w:line="240" w:lineRule="auto"/>
              <w:jc w:val="left"/>
            </w:pPr>
            <w:r>
              <w:rPr>
                <w:rFonts w:cs="Times New Roman"/>
                <w:sz w:val="21"/>
              </w:rPr>
              <w:t>DICOM handling, PACS or hospital information system integration, multi-user accounts, role management and audit log</w:t>
            </w:r>
            <w:r>
              <w:rPr>
                <w:rFonts w:cs="Times New Roman"/>
                <w:sz w:val="21"/>
              </w:rPr>
              <w:t>ging.</w:t>
            </w:r>
          </w:p>
        </w:tc>
      </w:tr>
      <w:tr w:rsidR="002D6FED">
        <w:trPr>
          <w:cantSplit/>
          <w:jc w:val="center"/>
        </w:trPr>
        <w:tc>
          <w:tcPr>
            <w:tcW w:w="576" w:type="dxa"/>
          </w:tcPr>
          <w:p w:rsidR="002D6FED" w:rsidRDefault="00531098">
            <w:pPr>
              <w:spacing w:after="40" w:line="240" w:lineRule="auto"/>
              <w:jc w:val="center"/>
            </w:pPr>
            <w:r>
              <w:rPr>
                <w:rFonts w:cs="Times New Roman"/>
                <w:sz w:val="21"/>
              </w:rPr>
              <w:t>5</w:t>
            </w:r>
          </w:p>
        </w:tc>
        <w:tc>
          <w:tcPr>
            <w:tcW w:w="8496" w:type="dxa"/>
          </w:tcPr>
          <w:p w:rsidR="002D6FED" w:rsidRDefault="00531098">
            <w:pPr>
              <w:spacing w:after="40" w:line="240" w:lineRule="auto"/>
              <w:jc w:val="left"/>
            </w:pPr>
            <w:r>
              <w:rPr>
                <w:rFonts w:cs="Times New Roman"/>
                <w:sz w:val="21"/>
              </w:rPr>
              <w:t>Semi-supervised learning, Monte Carlo Dropout uncertainty and external multi-hospital validation, which the base paper studies and this project does not reproduce.</w:t>
            </w:r>
          </w:p>
        </w:tc>
      </w:tr>
      <w:tr w:rsidR="002D6FED">
        <w:trPr>
          <w:cantSplit/>
          <w:jc w:val="center"/>
        </w:trPr>
        <w:tc>
          <w:tcPr>
            <w:tcW w:w="576" w:type="dxa"/>
          </w:tcPr>
          <w:p w:rsidR="002D6FED" w:rsidRDefault="00531098">
            <w:pPr>
              <w:spacing w:after="40" w:line="240" w:lineRule="auto"/>
              <w:jc w:val="center"/>
            </w:pPr>
            <w:r>
              <w:rPr>
                <w:rFonts w:cs="Times New Roman"/>
                <w:sz w:val="21"/>
              </w:rPr>
              <w:t>6</w:t>
            </w:r>
          </w:p>
        </w:tc>
        <w:tc>
          <w:tcPr>
            <w:tcW w:w="8496" w:type="dxa"/>
          </w:tcPr>
          <w:p w:rsidR="002D6FED" w:rsidRDefault="00531098">
            <w:pPr>
              <w:spacing w:after="40" w:line="240" w:lineRule="auto"/>
              <w:jc w:val="left"/>
            </w:pPr>
            <w:r>
              <w:rPr>
                <w:rFonts w:cs="Times New Roman"/>
                <w:sz w:val="21"/>
              </w:rPr>
              <w:t>Cloud deployment, containerisation and horizontal scaling.</w:t>
            </w:r>
          </w:p>
        </w:tc>
      </w:tr>
    </w:tbl>
    <w:p w:rsidR="002D6FED" w:rsidRDefault="002D6FED">
      <w:pPr>
        <w:spacing w:line="192" w:lineRule="auto"/>
      </w:pPr>
    </w:p>
    <w:p w:rsidR="002D6FED" w:rsidRDefault="00531098">
      <w:r>
        <w:rPr>
          <w:rFonts w:cs="Times New Roman"/>
        </w:rPr>
        <w:t xml:space="preserve">The boundary is </w:t>
      </w:r>
      <w:r>
        <w:rPr>
          <w:rFonts w:cs="Times New Roman"/>
        </w:rPr>
        <w:t>deliberate. The system is a screening-support prototype whose predictions are always accompanied by a heat map and a disclaimer; anything that would make it a clinical tool (regulatory approval, validation on patients, integration with hospital systems) is</w:t>
      </w:r>
      <w:r>
        <w:rPr>
          <w:rFonts w:cs="Times New Roman"/>
        </w:rPr>
        <w:t xml:space="preserve"> outside the project.</w:t>
      </w:r>
    </w:p>
    <w:p w:rsidR="002D6FED" w:rsidRDefault="00531098">
      <w:pPr>
        <w:keepNext/>
        <w:spacing w:after="80" w:line="240" w:lineRule="auto"/>
        <w:jc w:val="center"/>
      </w:pPr>
      <w:r>
        <w:rPr>
          <w:noProof/>
        </w:rPr>
        <w:drawing>
          <wp:inline distT="0" distB="0" distL="0" distR="0">
            <wp:extent cx="4206240" cy="3300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8"/>
                    <a:stretch>
                      <a:fillRect/>
                    </a:stretch>
                  </pic:blipFill>
                  <pic:spPr>
                    <a:xfrm>
                      <a:off x="0" y="0"/>
                      <a:ext cx="4206240" cy="3300281"/>
                    </a:xfrm>
                    <a:prstGeom prst="rect">
                      <a:avLst/>
                    </a:prstGeom>
                  </pic:spPr>
                </pic:pic>
              </a:graphicData>
            </a:graphic>
          </wp:inline>
        </w:drawing>
      </w:r>
    </w:p>
    <w:p w:rsidR="002D6FED" w:rsidRDefault="005310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What the user can do within the scope of the system (use-case diagram)</w:t>
      </w:r>
    </w:p>
    <w:p w:rsidR="002D6FED" w:rsidRDefault="00531098">
      <w:r>
        <w:br w:type="page"/>
      </w:r>
    </w:p>
    <w:p w:rsidR="002D6FED" w:rsidRDefault="00531098">
      <w:pPr>
        <w:pStyle w:val="Heading1"/>
      </w:pPr>
      <w:r>
        <w:lastRenderedPageBreak/>
        <w:t>2. ASSUMPTIONS</w:t>
      </w:r>
    </w:p>
    <w:p w:rsidR="002D6FED" w:rsidRDefault="00531098">
      <w:pPr>
        <w:spacing w:after="60"/>
        <w:ind w:left="720" w:hanging="360"/>
      </w:pPr>
      <w:r>
        <w:rPr>
          <w:rFonts w:cs="Times New Roman"/>
        </w:rPr>
        <w:t>•  The uploaded image is a frontal (PA or AP) chest radiograph in PNG or JPEG form and no larger than 8 MB.</w:t>
      </w:r>
    </w:p>
    <w:p w:rsidR="002D6FED" w:rsidRDefault="00531098">
      <w:pPr>
        <w:spacing w:after="60"/>
        <w:ind w:left="720" w:hanging="360"/>
      </w:pPr>
      <w:r>
        <w:rPr>
          <w:rFonts w:cs="Times New Roman"/>
        </w:rPr>
        <w:t>•  The public Kermany dataset is representative enough of paediatric chest X-rays to demonstrate the pipeline; its labels are taken as ground truth.</w:t>
      </w:r>
    </w:p>
    <w:p w:rsidR="002D6FED" w:rsidRDefault="00531098">
      <w:pPr>
        <w:spacing w:after="60"/>
        <w:ind w:left="720" w:hanging="360"/>
      </w:pPr>
      <w:r>
        <w:rPr>
          <w:rFonts w:cs="Times New Roman"/>
        </w:rPr>
        <w:t>•  Bacterial and viral labels are derived from the file names of the dataset (person</w:t>
      </w:r>
      <w:r>
        <w:rPr>
          <w:rFonts w:cs="Times New Roman"/>
          <w:i/>
        </w:rPr>
        <w:t>_bacteria_</w:t>
      </w:r>
      <w:r>
        <w:rPr>
          <w:rFonts w:cs="Times New Roman"/>
        </w:rPr>
        <w:t>, person</w:t>
      </w:r>
      <w:r>
        <w:rPr>
          <w:rFonts w:cs="Times New Roman"/>
          <w:i/>
        </w:rPr>
        <w:t>_viru</w:t>
      </w:r>
      <w:r>
        <w:rPr>
          <w:rFonts w:cs="Times New Roman"/>
          <w:i/>
        </w:rPr>
        <w:t>s_</w:t>
      </w:r>
      <w:r>
        <w:rPr>
          <w:rFonts w:cs="Times New Roman"/>
        </w:rPr>
        <w:t>), as the original authors encoded them.</w:t>
      </w:r>
    </w:p>
    <w:p w:rsidR="002D6FED" w:rsidRDefault="00531098">
      <w:pPr>
        <w:spacing w:after="60"/>
        <w:ind w:left="720" w:hanging="360"/>
      </w:pPr>
      <w:r>
        <w:rPr>
          <w:rFonts w:cs="Times New Roman"/>
        </w:rPr>
        <w:t>•  A single trusted user population: the demo login is a convenience, not an identity system.</w:t>
      </w:r>
    </w:p>
    <w:p w:rsidR="002D6FED" w:rsidRDefault="00531098">
      <w:pPr>
        <w:spacing w:after="60"/>
        <w:ind w:left="720" w:hanging="360"/>
      </w:pPr>
      <w:r>
        <w:rPr>
          <w:rFonts w:cs="Times New Roman"/>
        </w:rPr>
        <w:t>•  The machine running the system has Python 3.10 or 3.11, Node.js 18 or newer and about 2 GB of free disk for the Pyth</w:t>
      </w:r>
      <w:r>
        <w:rPr>
          <w:rFonts w:cs="Times New Roman"/>
        </w:rPr>
        <w:t>on environment.</w:t>
      </w:r>
    </w:p>
    <w:p w:rsidR="002D6FED" w:rsidRDefault="00531098">
      <w:r>
        <w:br w:type="page"/>
      </w:r>
    </w:p>
    <w:p w:rsidR="002D6FED" w:rsidRDefault="00531098">
      <w:pPr>
        <w:pStyle w:val="Heading1"/>
      </w:pPr>
      <w:r>
        <w:lastRenderedPageBreak/>
        <w:t>3. LIMITATIONS</w:t>
      </w:r>
    </w:p>
    <w:p w:rsidR="002D6FED" w:rsidRDefault="00531098">
      <w:pPr>
        <w:spacing w:after="60"/>
        <w:ind w:left="720" w:hanging="360"/>
      </w:pPr>
      <w:r>
        <w:rPr>
          <w:rFonts w:cs="Times New Roman"/>
        </w:rPr>
        <w:t xml:space="preserve">•  </w:t>
      </w:r>
      <w:r>
        <w:rPr>
          <w:rFonts w:cs="Times New Roman"/>
          <w:b/>
        </w:rPr>
        <w:t>No U-Net segmentation.</w:t>
      </w:r>
      <w:r>
        <w:rPr>
          <w:rFonts w:cs="Times New Roman"/>
        </w:rPr>
        <w:t xml:space="preserve"> One of the six stated objectives was not met; the model may use image regions outside the lungs, and the Grad-CAM maps in Chapter 8 show that it sometimes does.</w:t>
      </w:r>
    </w:p>
    <w:p w:rsidR="002D6FED" w:rsidRDefault="00531098">
      <w:pPr>
        <w:spacing w:after="60"/>
        <w:ind w:left="720" w:hanging="360"/>
      </w:pPr>
      <w:r>
        <w:rPr>
          <w:rFonts w:cs="Times New Roman"/>
        </w:rPr>
        <w:t xml:space="preserve">•  </w:t>
      </w:r>
      <w:r>
        <w:rPr>
          <w:rFonts w:cs="Times New Roman"/>
          <w:b/>
        </w:rPr>
        <w:t>Single data source.</w:t>
      </w:r>
      <w:r>
        <w:rPr>
          <w:rFonts w:cs="Times New Roman"/>
        </w:rPr>
        <w:t xml:space="preserve"> All training and test images come from one paediatric centre. The official test split is known to differ in distribution from the training split, and no external hospital data were available, so the reported figures say little about performance elsewhere.</w:t>
      </w:r>
    </w:p>
    <w:p w:rsidR="002D6FED" w:rsidRDefault="00531098">
      <w:pPr>
        <w:spacing w:after="60"/>
        <w:ind w:left="720" w:hanging="360"/>
      </w:pPr>
      <w:r>
        <w:rPr>
          <w:rFonts w:cs="Times New Roman"/>
        </w:rPr>
        <w:t xml:space="preserve">•  </w:t>
      </w:r>
      <w:r>
        <w:rPr>
          <w:rFonts w:cs="Times New Roman"/>
          <w:b/>
        </w:rPr>
        <w:t>Modest absolute accuracy.</w:t>
      </w:r>
      <w:r>
        <w:rPr>
          <w:rFonts w:cs="Times New Roman"/>
        </w:rPr>
        <w:t xml:space="preserve"> Normal radiographs are often called pneumonia and the two pneumonia types overlap on a radiograph alone; the confusion matrix in Chapter 8 shows where the model fails.</w:t>
      </w:r>
    </w:p>
    <w:p w:rsidR="002D6FED" w:rsidRDefault="00531098">
      <w:pPr>
        <w:spacing w:after="60"/>
        <w:ind w:left="720" w:hanging="360"/>
      </w:pPr>
      <w:r>
        <w:rPr>
          <w:rFonts w:cs="Times New Roman"/>
        </w:rPr>
        <w:t xml:space="preserve">•  </w:t>
      </w:r>
      <w:r>
        <w:rPr>
          <w:rFonts w:cs="Times New Roman"/>
          <w:b/>
        </w:rPr>
        <w:t>CPU-only training.</w:t>
      </w:r>
      <w:r>
        <w:rPr>
          <w:rFonts w:cs="Times New Roman"/>
        </w:rPr>
        <w:t xml:space="preserve"> All training was run on a desktop CP</w:t>
      </w:r>
      <w:r>
        <w:rPr>
          <w:rFonts w:cs="Times New Roman"/>
        </w:rPr>
        <w:t>U (no GPU), which limited the number of experiments and made large backbones impractical.</w:t>
      </w:r>
    </w:p>
    <w:p w:rsidR="002D6FED" w:rsidRDefault="00531098">
      <w:pPr>
        <w:spacing w:after="60"/>
        <w:ind w:left="720" w:hanging="360"/>
      </w:pPr>
      <w:r>
        <w:rPr>
          <w:rFonts w:cs="Times New Roman"/>
        </w:rPr>
        <w:t xml:space="preserve">•  </w:t>
      </w:r>
      <w:r>
        <w:rPr>
          <w:rFonts w:cs="Times New Roman"/>
          <w:b/>
        </w:rPr>
        <w:t>Class labels from file names.</w:t>
      </w:r>
      <w:r>
        <w:rPr>
          <w:rFonts w:cs="Times New Roman"/>
        </w:rPr>
        <w:t xml:space="preserve"> Pathogen type is not independently verified by the authors of this project.</w:t>
      </w:r>
    </w:p>
    <w:p w:rsidR="002D6FED" w:rsidRDefault="00531098">
      <w:pPr>
        <w:spacing w:after="60"/>
        <w:ind w:left="720" w:hanging="360"/>
      </w:pPr>
      <w:r>
        <w:rPr>
          <w:rFonts w:cs="Times New Roman"/>
        </w:rPr>
        <w:t xml:space="preserve">•  </w:t>
      </w:r>
      <w:r>
        <w:rPr>
          <w:rFonts w:cs="Times New Roman"/>
          <w:b/>
        </w:rPr>
        <w:t>Uncalibrated probabilities.</w:t>
      </w:r>
      <w:r>
        <w:rPr>
          <w:rFonts w:cs="Times New Roman"/>
        </w:rPr>
        <w:t xml:space="preserve"> Confidence is the raw soft</w:t>
      </w:r>
      <w:r>
        <w:rPr>
          <w:rFonts w:cs="Times New Roman"/>
        </w:rPr>
        <w:t>max output; no temperature scaling or Monte Carlo Dropout is applied, so a high confidence is not a guarantee of correctness.</w:t>
      </w:r>
    </w:p>
    <w:p w:rsidR="002D6FED" w:rsidRDefault="00531098">
      <w:pPr>
        <w:spacing w:after="60"/>
        <w:ind w:left="720" w:hanging="360"/>
      </w:pPr>
      <w:r>
        <w:rPr>
          <w:rFonts w:cs="Times New Roman"/>
        </w:rPr>
        <w:t xml:space="preserve">•  </w:t>
      </w:r>
      <w:r>
        <w:rPr>
          <w:rFonts w:cs="Times New Roman"/>
          <w:b/>
        </w:rPr>
        <w:t>Security is demonstration-grade.</w:t>
      </w:r>
      <w:r>
        <w:rPr>
          <w:rFonts w:cs="Times New Roman"/>
        </w:rPr>
        <w:t xml:space="preserve"> A single shared demo account, an HMAC-signed cookie and an HTTP-only transport; the original F</w:t>
      </w:r>
      <w:r>
        <w:rPr>
          <w:rFonts w:cs="Times New Roman"/>
        </w:rPr>
        <w:t>lask application still uses a fixed secret key and offers no login.</w:t>
      </w:r>
    </w:p>
    <w:p w:rsidR="002D6FED" w:rsidRDefault="00531098">
      <w:pPr>
        <w:spacing w:after="60"/>
        <w:ind w:left="720" w:hanging="360"/>
      </w:pPr>
      <w:r>
        <w:rPr>
          <w:rFonts w:cs="Times New Roman"/>
        </w:rPr>
        <w:t xml:space="preserve">•  </w:t>
      </w:r>
      <w:r>
        <w:rPr>
          <w:rFonts w:cs="Times New Roman"/>
          <w:b/>
        </w:rPr>
        <w:t>Not a medical device.</w:t>
      </w:r>
      <w:r>
        <w:rPr>
          <w:rFonts w:cs="Times New Roman"/>
        </w:rPr>
        <w:t xml:space="preserve"> Outputs must not be used as the sole basis for diagnosis or treatment.</w:t>
      </w:r>
    </w:p>
    <w:p w:rsidR="002D6FED" w:rsidRDefault="00531098">
      <w:r>
        <w:rPr>
          <w:rFonts w:cs="Times New Roman"/>
          <w:b/>
        </w:rPr>
        <w:t>Evidence from the measurements.</w:t>
      </w:r>
      <w:r>
        <w:rPr>
          <w:rFonts w:cs="Times New Roman"/>
        </w:rPr>
        <w:t xml:space="preserve"> The three-class accuracy on the official test split is 79.5%</w:t>
      </w:r>
      <w:r>
        <w:rPr>
          <w:rFonts w:cs="Times New Roman"/>
        </w:rPr>
        <w:t>, and the recall of the weakest class is 62.0%. The expected calibration error is 0.033. These figures come from one seed and one data source and carry no confidence interval.</w:t>
      </w:r>
    </w:p>
    <w:p w:rsidR="002D6FED" w:rsidRDefault="005310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Risks and mitigations</w:t>
      </w:r>
    </w:p>
    <w:tbl>
      <w:tblPr>
        <w:tblStyle w:val="TableGrid"/>
        <w:tblW w:w="0" w:type="auto"/>
        <w:jc w:val="center"/>
        <w:tblLook w:val="04A0" w:firstRow="1" w:lastRow="0" w:firstColumn="1" w:lastColumn="0" w:noHBand="0" w:noVBand="1"/>
      </w:tblPr>
      <w:tblGrid>
        <w:gridCol w:w="2832"/>
        <w:gridCol w:w="6050"/>
      </w:tblGrid>
      <w:tr w:rsidR="002D6FED">
        <w:trPr>
          <w:cantSplit/>
          <w:tblHeader/>
          <w:jc w:val="center"/>
        </w:trPr>
        <w:tc>
          <w:tcPr>
            <w:tcW w:w="2880" w:type="dxa"/>
            <w:shd w:val="clear" w:color="auto" w:fill="1B2A41"/>
          </w:tcPr>
          <w:p w:rsidR="002D6FED" w:rsidRDefault="00531098">
            <w:pPr>
              <w:spacing w:after="40" w:line="240" w:lineRule="auto"/>
              <w:jc w:val="center"/>
            </w:pPr>
            <w:r>
              <w:rPr>
                <w:rFonts w:cs="Times New Roman"/>
                <w:b/>
                <w:color w:val="FFFFFF"/>
                <w:sz w:val="20"/>
              </w:rPr>
              <w:t>Risk</w:t>
            </w:r>
          </w:p>
        </w:tc>
        <w:tc>
          <w:tcPr>
            <w:tcW w:w="6192" w:type="dxa"/>
            <w:shd w:val="clear" w:color="auto" w:fill="1B2A41"/>
          </w:tcPr>
          <w:p w:rsidR="002D6FED" w:rsidRDefault="00531098">
            <w:pPr>
              <w:spacing w:after="40" w:line="240" w:lineRule="auto"/>
              <w:jc w:val="center"/>
            </w:pPr>
            <w:r>
              <w:rPr>
                <w:rFonts w:cs="Times New Roman"/>
                <w:b/>
                <w:color w:val="FFFFFF"/>
                <w:sz w:val="20"/>
              </w:rPr>
              <w:t>Mitigation in the pr</w:t>
            </w:r>
            <w:r>
              <w:rPr>
                <w:rFonts w:cs="Times New Roman"/>
                <w:b/>
                <w:color w:val="FFFFFF"/>
                <w:sz w:val="20"/>
              </w:rPr>
              <w:t>oject</w:t>
            </w:r>
          </w:p>
        </w:tc>
      </w:tr>
      <w:tr w:rsidR="002D6FED">
        <w:trPr>
          <w:cantSplit/>
          <w:jc w:val="center"/>
        </w:trPr>
        <w:tc>
          <w:tcPr>
            <w:tcW w:w="2880" w:type="dxa"/>
          </w:tcPr>
          <w:p w:rsidR="002D6FED" w:rsidRDefault="00531098">
            <w:pPr>
              <w:spacing w:after="40" w:line="240" w:lineRule="auto"/>
              <w:jc w:val="left"/>
            </w:pPr>
            <w:r>
              <w:rPr>
                <w:rFonts w:cs="Times New Roman"/>
                <w:sz w:val="20"/>
              </w:rPr>
              <w:t>Output mistaken for a diagnosis</w:t>
            </w:r>
          </w:p>
        </w:tc>
        <w:tc>
          <w:tcPr>
            <w:tcW w:w="6192" w:type="dxa"/>
          </w:tcPr>
          <w:p w:rsidR="002D6FED" w:rsidRDefault="00531098">
            <w:pPr>
              <w:spacing w:after="40" w:line="240" w:lineRule="auto"/>
              <w:jc w:val="left"/>
            </w:pPr>
            <w:r>
              <w:rPr>
                <w:rFonts w:cs="Times New Roman"/>
                <w:sz w:val="20"/>
              </w:rPr>
              <w:t>Disclaimer on every screen and in the README; Demo Mode alert for untrained models; heat map shown with every prediction</w:t>
            </w:r>
          </w:p>
        </w:tc>
      </w:tr>
      <w:tr w:rsidR="002D6FED">
        <w:trPr>
          <w:cantSplit/>
          <w:jc w:val="center"/>
        </w:trPr>
        <w:tc>
          <w:tcPr>
            <w:tcW w:w="2880" w:type="dxa"/>
          </w:tcPr>
          <w:p w:rsidR="002D6FED" w:rsidRDefault="00531098">
            <w:pPr>
              <w:spacing w:after="40" w:line="240" w:lineRule="auto"/>
              <w:jc w:val="left"/>
            </w:pPr>
            <w:r>
              <w:rPr>
                <w:rFonts w:cs="Times New Roman"/>
                <w:sz w:val="20"/>
              </w:rPr>
              <w:t>Over-confident wrong prediction</w:t>
            </w:r>
          </w:p>
        </w:tc>
        <w:tc>
          <w:tcPr>
            <w:tcW w:w="6192" w:type="dxa"/>
          </w:tcPr>
          <w:p w:rsidR="002D6FED" w:rsidRDefault="00531098">
            <w:pPr>
              <w:spacing w:after="40" w:line="240" w:lineRule="auto"/>
              <w:jc w:val="left"/>
            </w:pPr>
            <w:r>
              <w:rPr>
                <w:rFonts w:cs="Times New Roman"/>
                <w:sz w:val="20"/>
              </w:rPr>
              <w:t xml:space="preserve">Confidence shown with the full probability bars; threshold </w:t>
            </w:r>
            <w:r>
              <w:rPr>
                <w:rFonts w:cs="Times New Roman"/>
                <w:sz w:val="20"/>
              </w:rPr>
              <w:t>analysis in Chapter 8; recommendation to review low-confidence scans</w:t>
            </w:r>
          </w:p>
        </w:tc>
      </w:tr>
      <w:tr w:rsidR="002D6FED">
        <w:trPr>
          <w:cantSplit/>
          <w:jc w:val="center"/>
        </w:trPr>
        <w:tc>
          <w:tcPr>
            <w:tcW w:w="2880" w:type="dxa"/>
          </w:tcPr>
          <w:p w:rsidR="002D6FED" w:rsidRDefault="00531098">
            <w:pPr>
              <w:spacing w:after="40" w:line="240" w:lineRule="auto"/>
              <w:jc w:val="left"/>
            </w:pPr>
            <w:r>
              <w:rPr>
                <w:rFonts w:cs="Times New Roman"/>
                <w:sz w:val="20"/>
              </w:rPr>
              <w:t>Distribution shift (other hospitals, adults)</w:t>
            </w:r>
          </w:p>
        </w:tc>
        <w:tc>
          <w:tcPr>
            <w:tcW w:w="6192" w:type="dxa"/>
          </w:tcPr>
          <w:p w:rsidR="002D6FED" w:rsidRDefault="00531098">
            <w:pPr>
              <w:spacing w:after="40" w:line="240" w:lineRule="auto"/>
              <w:jc w:val="left"/>
            </w:pPr>
            <w:r>
              <w:rPr>
                <w:rFonts w:cs="Times New Roman"/>
                <w:sz w:val="20"/>
              </w:rPr>
              <w:t>Stated as a limitation; no claim beyond the public paediatric data</w:t>
            </w:r>
          </w:p>
        </w:tc>
      </w:tr>
      <w:tr w:rsidR="002D6FED">
        <w:trPr>
          <w:cantSplit/>
          <w:jc w:val="center"/>
        </w:trPr>
        <w:tc>
          <w:tcPr>
            <w:tcW w:w="2880" w:type="dxa"/>
          </w:tcPr>
          <w:p w:rsidR="002D6FED" w:rsidRDefault="00531098">
            <w:pPr>
              <w:spacing w:after="40" w:line="240" w:lineRule="auto"/>
              <w:jc w:val="left"/>
            </w:pPr>
            <w:r>
              <w:rPr>
                <w:rFonts w:cs="Times New Roman"/>
                <w:sz w:val="20"/>
              </w:rPr>
              <w:t>Test-set overlap inflating results</w:t>
            </w:r>
          </w:p>
        </w:tc>
        <w:tc>
          <w:tcPr>
            <w:tcW w:w="6192" w:type="dxa"/>
          </w:tcPr>
          <w:p w:rsidR="002D6FED" w:rsidRDefault="00531098">
            <w:pPr>
              <w:spacing w:after="40" w:line="240" w:lineRule="auto"/>
              <w:jc w:val="left"/>
            </w:pPr>
            <w:r>
              <w:rPr>
                <w:rFonts w:cs="Times New Roman"/>
                <w:sz w:val="20"/>
              </w:rPr>
              <w:t xml:space="preserve">Patient-disjoint subset and </w:t>
            </w:r>
            <w:r>
              <w:rPr>
                <w:rFonts w:cs="Times New Roman"/>
                <w:sz w:val="20"/>
              </w:rPr>
              <w:t>patient-level re-partition reported beside the official split</w:t>
            </w:r>
          </w:p>
        </w:tc>
      </w:tr>
      <w:tr w:rsidR="002D6FED">
        <w:trPr>
          <w:cantSplit/>
          <w:jc w:val="center"/>
        </w:trPr>
        <w:tc>
          <w:tcPr>
            <w:tcW w:w="2880" w:type="dxa"/>
          </w:tcPr>
          <w:p w:rsidR="002D6FED" w:rsidRDefault="00531098">
            <w:pPr>
              <w:spacing w:after="40" w:line="240" w:lineRule="auto"/>
              <w:jc w:val="left"/>
            </w:pPr>
            <w:r>
              <w:rPr>
                <w:rFonts w:cs="Times New Roman"/>
                <w:sz w:val="20"/>
              </w:rPr>
              <w:t>Unauthorised access</w:t>
            </w:r>
          </w:p>
        </w:tc>
        <w:tc>
          <w:tcPr>
            <w:tcW w:w="6192" w:type="dxa"/>
          </w:tcPr>
          <w:p w:rsidR="002D6FED" w:rsidRDefault="00531098">
            <w:pPr>
              <w:spacing w:after="40" w:line="240" w:lineRule="auto"/>
              <w:jc w:val="left"/>
            </w:pPr>
            <w:r>
              <w:rPr>
                <w:rFonts w:cs="Times New Roman"/>
                <w:sz w:val="20"/>
              </w:rPr>
              <w:t>Signed HttpOnly cookie, 401 on protected routes; demo account only, no real patient data should be loaded</w:t>
            </w:r>
          </w:p>
        </w:tc>
      </w:tr>
    </w:tbl>
    <w:p w:rsidR="002D6FED" w:rsidRDefault="002D6FED">
      <w:pPr>
        <w:spacing w:line="192" w:lineRule="auto"/>
      </w:pPr>
    </w:p>
    <w:p w:rsidR="002D6FED" w:rsidRDefault="00531098">
      <w:r>
        <w:lastRenderedPageBreak/>
        <w:br w:type="page"/>
      </w:r>
    </w:p>
    <w:p w:rsidR="002D6FED" w:rsidRDefault="00531098">
      <w:pPr>
        <w:pStyle w:val="Heading1"/>
      </w:pPr>
      <w:r>
        <w:lastRenderedPageBreak/>
        <w:t>4. WHAT WAS NOT MEASURED</w:t>
      </w:r>
    </w:p>
    <w:p w:rsidR="002D6FED" w:rsidRDefault="00531098">
      <w:r>
        <w:rPr>
          <w:rFonts w:cs="Times New Roman"/>
        </w:rPr>
        <w:t>The following were not measured and ar</w:t>
      </w:r>
      <w:r>
        <w:rPr>
          <w:rFonts w:cs="Times New Roman"/>
        </w:rPr>
        <w:t>e therefore stated as gaps, not estimated:</w:t>
      </w:r>
    </w:p>
    <w:p w:rsidR="002D6FED" w:rsidRDefault="00531098">
      <w:pPr>
        <w:spacing w:after="60"/>
        <w:ind w:left="720" w:hanging="360"/>
      </w:pPr>
      <w:r>
        <w:rPr>
          <w:rFonts w:cs="Times New Roman"/>
        </w:rPr>
        <w:t>•  Run-to-run variation (confidence intervals): each configuration was trained once with seed 42.</w:t>
      </w:r>
    </w:p>
    <w:p w:rsidR="002D6FED" w:rsidRDefault="00531098">
      <w:pPr>
        <w:spacing w:after="60"/>
        <w:ind w:left="720" w:hanging="360"/>
      </w:pPr>
      <w:r>
        <w:rPr>
          <w:rFonts w:cs="Times New Roman"/>
        </w:rPr>
        <w:t>•  Performance on any data source other than the Kermany paediatric dataset.</w:t>
      </w:r>
    </w:p>
    <w:p w:rsidR="002D6FED" w:rsidRDefault="00531098">
      <w:pPr>
        <w:spacing w:after="60"/>
        <w:ind w:left="720" w:hanging="360"/>
      </w:pPr>
      <w:r>
        <w:rPr>
          <w:rFonts w:cs="Times New Roman"/>
        </w:rPr>
        <w:t>•  Agreement with radiologists, or any</w:t>
      </w:r>
      <w:r>
        <w:rPr>
          <w:rFonts w:cs="Times New Roman"/>
        </w:rPr>
        <w:t xml:space="preserve"> human-factors or usability study with clinicians.</w:t>
      </w:r>
    </w:p>
    <w:p w:rsidR="002D6FED" w:rsidRDefault="00531098">
      <w:pPr>
        <w:spacing w:after="60"/>
        <w:ind w:left="720" w:hanging="360"/>
      </w:pPr>
      <w:r>
        <w:rPr>
          <w:rFonts w:cs="Times New Roman"/>
        </w:rPr>
        <w:t>•  Load, concurrency and long-running behaviour of the API beyond the single-inference lock.</w:t>
      </w:r>
    </w:p>
    <w:p w:rsidR="002D6FED" w:rsidRDefault="00531098">
      <w:pPr>
        <w:spacing w:after="60"/>
        <w:ind w:left="720" w:hanging="360"/>
      </w:pPr>
      <w:r>
        <w:rPr>
          <w:rFonts w:cs="Times New Roman"/>
        </w:rPr>
        <w:t>•  The effect of U-Net segmentation, Monte Carlo Dropout or semi-supervised learning, which were not implemented</w:t>
      </w:r>
      <w:r>
        <w:rPr>
          <w:rFonts w:cs="Times New Roman"/>
        </w:rPr>
        <w:t>.</w:t>
      </w:r>
    </w:p>
    <w:p w:rsidR="002D6FED" w:rsidRDefault="00531098">
      <w:pPr>
        <w:spacing w:after="60"/>
        <w:ind w:left="720" w:hanging="360"/>
      </w:pPr>
      <w:r>
        <w:rPr>
          <w:rFonts w:cs="Times New Roman"/>
        </w:rPr>
        <w:t>•  The effect of horizontal-flip augmentation (the base paper disables it); the shipped augmentor was used unchanged.</w:t>
      </w:r>
    </w:p>
    <w:p w:rsidR="002D6FED" w:rsidRDefault="00531098">
      <w:pPr>
        <w:spacing w:after="60"/>
        <w:ind w:left="720" w:hanging="360"/>
      </w:pPr>
      <w:r>
        <w:rPr>
          <w:rFonts w:cs="Times New Roman"/>
        </w:rPr>
        <w:t>•  Browsers other than Chromium and any assistive technology for the user-interface checks.</w:t>
      </w:r>
    </w:p>
    <w:sectPr w:rsidR="002D6FED"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31098">
      <w:pPr>
        <w:spacing w:after="0" w:line="240" w:lineRule="auto"/>
      </w:pPr>
      <w:r>
        <w:separator/>
      </w:r>
    </w:p>
  </w:endnote>
  <w:endnote w:type="continuationSeparator" w:id="0">
    <w:p w:rsidR="00000000" w:rsidRDefault="0053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FED" w:rsidRDefault="0053109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31098">
      <w:pPr>
        <w:spacing w:after="0" w:line="240" w:lineRule="auto"/>
      </w:pPr>
      <w:r>
        <w:separator/>
      </w:r>
    </w:p>
  </w:footnote>
  <w:footnote w:type="continuationSeparator" w:id="0">
    <w:p w:rsidR="00000000" w:rsidRDefault="00531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FED" w:rsidRDefault="00531098">
    <w:pPr>
      <w:pStyle w:val="Header"/>
      <w:jc w:val="center"/>
    </w:pPr>
    <w:r>
      <w:rPr>
        <w:rFonts w:cs="Times New Roman"/>
        <w:i/>
        <w:color w:val="555555"/>
        <w:sz w:val="20"/>
      </w:rPr>
      <w:t>Pneumonia Detection Using Deep Learning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FED"/>
    <w:rsid w:val="00326F90"/>
    <w:rsid w:val="005310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79574D2-77A8-4D78-834C-62185B3B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138FC-88FD-417C-A0AA-1CC027DA0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1010</Words>
  <Characters>5612</Characters>
  <Application>Microsoft Office Word</Application>
  <DocSecurity>0</DocSecurity>
  <Lines>156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