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FE" w:rsidRDefault="004B29FE">
      <w:pPr>
        <w:spacing w:after="480" w:line="240" w:lineRule="auto"/>
      </w:pPr>
      <w:bookmarkStart w:id="0" w:name="_GoBack"/>
      <w:bookmarkEnd w:id="0"/>
    </w:p>
    <w:p w:rsidR="004B29FE" w:rsidRDefault="006927C2">
      <w:pPr>
        <w:spacing w:after="120"/>
        <w:jc w:val="center"/>
      </w:pPr>
      <w:r>
        <w:rPr>
          <w:rFonts w:cs="Times New Roman"/>
          <w:b/>
          <w:sz w:val="36"/>
        </w:rPr>
        <w:t>SAFEGRID-AI: AN EXPLAINABLE MULTI-AGENT SYSTEM FOR DYNAMIC POWER ROUTING</w:t>
      </w:r>
    </w:p>
    <w:p w:rsidR="004B29FE" w:rsidRDefault="006927C2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4B29FE" w:rsidRDefault="006927C2">
      <w:pPr>
        <w:spacing w:after="40"/>
        <w:jc w:val="center"/>
      </w:pPr>
      <w:r>
        <w:rPr>
          <w:rFonts w:cs="Times New Roman"/>
        </w:rPr>
        <w:t>Department of Computer Science and Engineering, TKR College of Engineering and Technology (Autonomous)</w:t>
      </w:r>
    </w:p>
    <w:p w:rsidR="004B29FE" w:rsidRDefault="006927C2">
      <w:pPr>
        <w:spacing w:after="240"/>
        <w:jc w:val="center"/>
      </w:pPr>
      <w:r>
        <w:rPr>
          <w:rFonts w:cs="Times New Roman"/>
        </w:rPr>
        <w:t>Batch A13 (CSE-A)  ·  Academic year [ACADEMIC YEAR]</w:t>
      </w:r>
    </w:p>
    <w:p w:rsidR="004B29FE" w:rsidRDefault="006927C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4B29FE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4B29FE">
        <w:trPr>
          <w:cantSplit/>
          <w:jc w:val="center"/>
        </w:trPr>
        <w:tc>
          <w:tcPr>
            <w:tcW w:w="1008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DISHA KAUSHAL</w:t>
            </w:r>
          </w:p>
        </w:tc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23K91A0563</w:t>
            </w:r>
          </w:p>
        </w:tc>
      </w:tr>
      <w:tr w:rsidR="004B29FE">
        <w:trPr>
          <w:cantSplit/>
          <w:jc w:val="center"/>
        </w:trPr>
        <w:tc>
          <w:tcPr>
            <w:tcW w:w="1008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BOLLAM RAKESH</w:t>
            </w:r>
          </w:p>
        </w:tc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23K91A0542</w:t>
            </w:r>
          </w:p>
        </w:tc>
      </w:tr>
      <w:tr w:rsidR="004B29FE">
        <w:trPr>
          <w:cantSplit/>
          <w:jc w:val="center"/>
        </w:trPr>
        <w:tc>
          <w:tcPr>
            <w:tcW w:w="1008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CHINNOLLA RAVINDHAR</w:t>
            </w:r>
          </w:p>
        </w:tc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23K91A0554</w:t>
            </w:r>
          </w:p>
        </w:tc>
      </w:tr>
      <w:tr w:rsidR="004B29FE">
        <w:trPr>
          <w:cantSplit/>
          <w:jc w:val="center"/>
        </w:trPr>
        <w:tc>
          <w:tcPr>
            <w:tcW w:w="1008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AFFAN MOHAMMED RAMY</w:t>
            </w:r>
          </w:p>
        </w:tc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23K91A0505</w:t>
            </w:r>
          </w:p>
        </w:tc>
      </w:tr>
    </w:tbl>
    <w:p w:rsidR="004B29FE" w:rsidRDefault="004B29FE">
      <w:pPr>
        <w:spacing w:after="40" w:line="144" w:lineRule="auto"/>
      </w:pPr>
    </w:p>
    <w:p w:rsidR="004B29FE" w:rsidRDefault="006927C2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CHANDRASHEKAR</w:t>
      </w:r>
    </w:p>
    <w:p w:rsidR="004B29FE" w:rsidRDefault="006927C2">
      <w:pPr>
        <w:spacing w:after="120"/>
      </w:pPr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Section 6.6 or Chapter 8) refer to the full project report, 17.Final Document. Figures and tables in this document are numbered from 1.</w:t>
      </w:r>
    </w:p>
    <w:p w:rsidR="004B29FE" w:rsidRDefault="006927C2">
      <w:pPr>
        <w:pStyle w:val="Heading1"/>
      </w:pPr>
      <w:r>
        <w:t>1. SCOPE</w:t>
      </w:r>
    </w:p>
    <w:p w:rsidR="004B29FE" w:rsidRDefault="006927C2">
      <w:pPr>
        <w:pStyle w:val="Heading2"/>
      </w:pPr>
      <w:r>
        <w:t>1.1 In Scope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Simulated network.</w:t>
      </w:r>
      <w:r>
        <w:rPr>
          <w:rFonts w:cs="Times New Roman"/>
        </w:rPr>
        <w:t xml:space="preserve"> A three-node low-voltage feeder behind a 20/0.4 kV, 0.25 MVA transformer, solved with an AC power flow (pandapower [11]) every 15 minutes of simulated time.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Agents.</w:t>
      </w:r>
      <w:r>
        <w:rPr>
          <w:rFonts w:cs="Times New Roman"/>
        </w:rPr>
        <w:t xml:space="preserve"> Three agents (residential prosumer with 6 kWp PV and a 10 kWh battery; EV storage node </w:t>
      </w:r>
      <w:r>
        <w:rPr>
          <w:rFonts w:cs="Times New Roman"/>
        </w:rPr>
        <w:t>with a 40 kWh battery, charge only, 7.4 kW; renewable prosumer with 20 kWp PV and a 30 kWh battery) that perceive a structured context and propose one action per step.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Actions.</w:t>
      </w:r>
      <w:r>
        <w:rPr>
          <w:rFonts w:cs="Times New Roman"/>
        </w:rPr>
        <w:t xml:space="preserve"> Seven action types: charge, discharge, import, export, curtail generation, s</w:t>
      </w:r>
      <w:r>
        <w:rPr>
          <w:rFonts w:cs="Times New Roman"/>
        </w:rPr>
        <w:t>hift load and idle, under a closed schema.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Safety.</w:t>
      </w:r>
      <w:r>
        <w:rPr>
          <w:rFonts w:cs="Times New Roman"/>
        </w:rPr>
        <w:t xml:space="preserve"> Ten ordered checks, three verdicts (approved, projected, rejected), configurable limits and a hash-chained audit log.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Scenarios.</w:t>
      </w:r>
      <w:r>
        <w:rPr>
          <w:rFonts w:cs="Times New Roman"/>
        </w:rPr>
        <w:t xml:space="preserve"> Seven seeded scenarios: normal, high solar, peak demand, battery stres</w:t>
      </w:r>
      <w:r>
        <w:rPr>
          <w:rFonts w:cs="Times New Roman"/>
        </w:rPr>
        <w:t>s, line congestion, voltage violation and unsafe AI action.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Providers.</w:t>
      </w:r>
      <w:r>
        <w:rPr>
          <w:rFonts w:cs="Times New Roman"/>
        </w:rPr>
        <w:t xml:space="preserve"> A deterministic mock, a rule-based baseline, a failing provider for tests, a fault-injecting provider and an API provider for a hosted model, any of which may fail into a labelled fa</w:t>
      </w:r>
      <w:r>
        <w:rPr>
          <w:rFonts w:cs="Times New Roman"/>
        </w:rPr>
        <w:t>llback.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Interfaces.</w:t>
      </w:r>
      <w:r>
        <w:rPr>
          <w:rFonts w:cs="Times New Roman"/>
        </w:rPr>
        <w:t xml:space="preserve"> A REST and WebSocket API and a React console with seven screens, a landing page and a demo sign-in.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Evaluation.</w:t>
      </w:r>
      <w:r>
        <w:rPr>
          <w:rFonts w:cs="Times New Roman"/>
        </w:rPr>
        <w:t xml:space="preserve"> An experiment runner for three strategies, and results stored in SQLite.</w:t>
      </w:r>
    </w:p>
    <w:p w:rsidR="004B29FE" w:rsidRDefault="006927C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Scope by dim</w:t>
      </w:r>
      <w:r>
        <w:rPr>
          <w:rFonts w:cs="Times New Roman"/>
        </w:rPr>
        <w:t>ension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4259"/>
        <w:gridCol w:w="3409"/>
      </w:tblGrid>
      <w:tr w:rsidR="004B29FE">
        <w:trPr>
          <w:cantSplit/>
          <w:tblHeader/>
          <w:jc w:val="center"/>
        </w:trPr>
        <w:tc>
          <w:tcPr>
            <w:tcW w:w="1584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Dimension</w:t>
            </w:r>
          </w:p>
        </w:tc>
        <w:tc>
          <w:tcPr>
            <w:tcW w:w="4320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Included</w:t>
            </w:r>
          </w:p>
        </w:tc>
        <w:tc>
          <w:tcPr>
            <w:tcW w:w="3456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Excluded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Network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 nodes, 4 buses, 3 lines, 1 transformer; single-phase equivalent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Meshed, three-phase or larger networks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Time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15-minute quasi-static steps; runs of 12 to 32 native steps (24 in the experiment)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Seconds-scale </w:t>
            </w:r>
            <w:r>
              <w:rPr>
                <w:rFonts w:cs="Times New Roman"/>
                <w:sz w:val="19"/>
              </w:rPr>
              <w:t>dynamics, protection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Control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 action per agent per step, seven action types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Multi-step plans executed without re-validation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Safety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Voltage, line, transformer, battery, node and grid import/export limits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Frequency, harmonics, short-circuit levels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Data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Seeded synthetic profiles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Measured profiles, forecasts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Models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Deterministic mock; API provider implemented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Evaluated hosted models; training or fine-tuning</w:t>
            </w:r>
          </w:p>
        </w:tc>
      </w:tr>
      <w:tr w:rsidR="004B29FE">
        <w:trPr>
          <w:cantSplit/>
          <w:jc w:val="center"/>
        </w:trPr>
        <w:tc>
          <w:tcPr>
            <w:tcW w:w="1584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People</w:t>
            </w:r>
          </w:p>
        </w:tc>
        <w:tc>
          <w:tcPr>
            <w:tcW w:w="432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Developer browser walk-through</w:t>
            </w:r>
          </w:p>
        </w:tc>
        <w:tc>
          <w:tcPr>
            <w:tcW w:w="345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User studies</w:t>
            </w:r>
          </w:p>
        </w:tc>
      </w:tr>
    </w:tbl>
    <w:p w:rsidR="004B29FE" w:rsidRDefault="004B29FE">
      <w:pPr>
        <w:spacing w:after="40" w:line="144" w:lineRule="auto"/>
      </w:pPr>
    </w:p>
    <w:p w:rsidR="004B29FE" w:rsidRDefault="006927C2">
      <w:pPr>
        <w:pStyle w:val="Heading2"/>
      </w:pPr>
      <w:r>
        <w:t>1.2 Out of Scope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Real hardware, field </w:t>
      </w:r>
      <w:r>
        <w:rPr>
          <w:rFonts w:cs="Times New Roman"/>
        </w:rPr>
        <w:t>data or any connection to a real network.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Protection, fast dynamics, frequency control, harmonics and three-phase unbalance.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Forecasting, electricity markets and real tariffs (a time-of-use tariff of 3.8 to 9.0 INR per kWh is illustrative).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Traini</w:t>
      </w:r>
      <w:r>
        <w:rPr>
          <w:rFonts w:cs="Times New Roman"/>
        </w:rPr>
        <w:t>ng or fine-tuning of a language model, and evaluation of a live hosted model.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Authentication, authorisation and transport security of the API; the demo sign-in is a browser-side gate only.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User studies and usability evaluation.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>•  Formal verification</w:t>
      </w:r>
      <w:r>
        <w:rPr>
          <w:rFonts w:cs="Times New Roman"/>
        </w:rPr>
        <w:t xml:space="preserve"> of the shield.</w:t>
      </w:r>
    </w:p>
    <w:p w:rsidR="004B29FE" w:rsidRDefault="006927C2">
      <w:pPr>
        <w:pStyle w:val="Heading2"/>
      </w:pPr>
      <w:r>
        <w:t>1.3 Intended Users and Use</w:t>
      </w:r>
    </w:p>
    <w:p w:rsidR="004B29FE" w:rsidRDefault="006927C2">
      <w:r>
        <w:rPr>
          <w:rFonts w:cs="Times New Roman"/>
        </w:rPr>
        <w:t>The intended users are students, instructors and researchers who want to study how an autonomous proposer behaves under a safety layer. The intended use is simulation, teaching and comparison of controllers. The s</w:t>
      </w:r>
      <w:r>
        <w:rPr>
          <w:rFonts w:cs="Times New Roman"/>
        </w:rPr>
        <w:t>oftware is not intended to control, and must not be connected to, real distribution equipment.</w:t>
      </w:r>
    </w:p>
    <w:p w:rsidR="004B29FE" w:rsidRDefault="006927C2">
      <w:pPr>
        <w:pStyle w:val="Heading2"/>
      </w:pPr>
      <w:r>
        <w:lastRenderedPageBreak/>
        <w:t>1.4 Deliverables</w:t>
      </w:r>
    </w:p>
    <w:p w:rsidR="004B29FE" w:rsidRDefault="006927C2">
      <w:r>
        <w:rPr>
          <w:rFonts w:cs="Times New Roman"/>
        </w:rPr>
        <w:t>The deliverables are the source code (3,117 lines of backend, 624 lines of tests and 6,989 lines of frontend), the run scripts, the documentatio</w:t>
      </w:r>
      <w:r>
        <w:rPr>
          <w:rFonts w:cs="Times New Roman"/>
        </w:rPr>
        <w:t>n set, the 63-run result file and the screenshots and diagrams used in the reports. Everything runs on one ordinary computer without a graphics processor, and the backend and frontend start with one script (</w:t>
      </w:r>
      <w:r>
        <w:rPr>
          <w:rFonts w:ascii="Consolas" w:eastAsia="Consolas" w:hAnsi="Consolas" w:cs="Consolas"/>
          <w:sz w:val="21"/>
        </w:rPr>
        <w:t>run.bat</w:t>
      </w:r>
      <w:r>
        <w:rPr>
          <w:rFonts w:cs="Times New Roman"/>
        </w:rPr>
        <w:t>).</w:t>
      </w:r>
    </w:p>
    <w:p w:rsidR="004B29FE" w:rsidRDefault="006927C2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303520" cy="2814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eeder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9FE" w:rsidRDefault="006927C2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The simulated feeder that bounds the scope of every result</w:t>
      </w:r>
    </w:p>
    <w:p w:rsidR="004B29FE" w:rsidRDefault="006927C2">
      <w:r>
        <w:br w:type="page"/>
      </w:r>
    </w:p>
    <w:p w:rsidR="004B29FE" w:rsidRDefault="006927C2">
      <w:pPr>
        <w:pStyle w:val="Heading1"/>
      </w:pPr>
      <w:r>
        <w:lastRenderedPageBreak/>
        <w:t>2. ASSUMPTIONS</w:t>
      </w:r>
    </w:p>
    <w:p w:rsidR="004B29FE" w:rsidRDefault="006927C2">
      <w:r>
        <w:rPr>
          <w:rFonts w:cs="Times New Roman"/>
        </w:rPr>
        <w:t>The results depend on the following assumptions, all of which are built into the simulator or the experiment: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Quasi-static operation.</w:t>
      </w:r>
      <w:r>
        <w:rPr>
          <w:rFonts w:cs="Times New Roman"/>
        </w:rPr>
        <w:t xml:space="preserve"> Each 15-minute step is solved as a steady s</w:t>
      </w:r>
      <w:r>
        <w:rPr>
          <w:rFonts w:cs="Times New Roman"/>
        </w:rPr>
        <w:t>tate; dynamics inside the step are ignored.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Single-phase equivalent.</w:t>
      </w:r>
      <w:r>
        <w:rPr>
          <w:rFonts w:cs="Times New Roman"/>
        </w:rPr>
        <w:t xml:space="preserve"> The feeder is balanced; load power factor is 0.95; line type NAYY 4x50 SE.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Perfect observation.</w:t>
      </w:r>
      <w:r>
        <w:rPr>
          <w:rFonts w:cs="Times New Roman"/>
        </w:rPr>
        <w:t xml:space="preserve"> Agents receive exact node state, prices and a weather label; there is no measurement </w:t>
      </w:r>
      <w:r>
        <w:rPr>
          <w:rFonts w:cs="Times New Roman"/>
        </w:rPr>
        <w:t>noise or communication delay.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simulator is the truth.</w:t>
      </w:r>
      <w:r>
        <w:rPr>
          <w:rFonts w:cs="Times New Roman"/>
        </w:rPr>
        <w:t xml:space="preserve"> The shield judges an action by what the simulated power flow says; if the model were wrong, the shield would protect the wrong limits.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Synthetic inputs.</w:t>
      </w:r>
      <w:r>
        <w:rPr>
          <w:rFonts w:cs="Times New Roman"/>
        </w:rPr>
        <w:t xml:space="preserve"> Solar follows </w:t>
      </w:r>
      <w:r>
        <w:rPr>
          <w:rFonts w:ascii="Consolas" w:eastAsia="Consolas" w:hAnsi="Consolas" w:cs="Consolas"/>
          <w:sz w:val="21"/>
        </w:rPr>
        <w:t>sin^1.2</w:t>
      </w:r>
      <w:r>
        <w:rPr>
          <w:rFonts w:cs="Times New Roman"/>
        </w:rPr>
        <w:t xml:space="preserve"> between 06:00 and</w:t>
      </w:r>
      <w:r>
        <w:rPr>
          <w:rFonts w:cs="Times New Roman"/>
        </w:rPr>
        <w:t xml:space="preserve"> 18:00 scaled by a seeded cloud factor of 0.45 to 1.0; household load has a morning and an evening bump with 5 % seeded noise; the tariff and the export credit (60 % of the import price) are illustrative.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Monotone safety.</w:t>
      </w:r>
      <w:r>
        <w:rPr>
          <w:rFonts w:cs="Times New Roman"/>
        </w:rPr>
        <w:t xml:space="preserve"> Bisection assumes that scaling an action down never makes it less safe; the defensive re-verification of the final rounded action guards against small violations of this assumption.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Limits come from configuration.</w:t>
      </w:r>
      <w:r>
        <w:rPr>
          <w:rFonts w:cs="Times New Roman"/>
        </w:rPr>
        <w:t xml:space="preserve"> 0.95 to 1.05 pu, 100 % line and transf</w:t>
      </w:r>
      <w:r>
        <w:rPr>
          <w:rFonts w:cs="Times New Roman"/>
        </w:rPr>
        <w:t>ormer loading, 200 kW grid import and export; the voltage band is of the kind used in public-network standards [19].</w:t>
      </w:r>
    </w:p>
    <w:p w:rsidR="004B29FE" w:rsidRDefault="006927C2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mock stands in for the language model.</w:t>
      </w:r>
      <w:r>
        <w:rPr>
          <w:rFonts w:cs="Times New Roman"/>
        </w:rPr>
        <w:t xml:space="preserve"> The deterministic, seeded provider produces plausible proposals with occasional over-sizing; re</w:t>
      </w:r>
      <w:r>
        <w:rPr>
          <w:rFonts w:cs="Times New Roman"/>
        </w:rPr>
        <w:t>al models will behave differently.</w:t>
      </w:r>
    </w:p>
    <w:p w:rsidR="004B29FE" w:rsidRDefault="006927C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Numerical assumptions and what changes if they are wrong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702"/>
        <w:gridCol w:w="4117"/>
      </w:tblGrid>
      <w:tr w:rsidR="004B29FE">
        <w:trPr>
          <w:cantSplit/>
          <w:tblHeader/>
          <w:jc w:val="center"/>
        </w:trPr>
        <w:tc>
          <w:tcPr>
            <w:tcW w:w="2448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Assumption</w:t>
            </w:r>
          </w:p>
        </w:tc>
        <w:tc>
          <w:tcPr>
            <w:tcW w:w="2736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Value used</w:t>
            </w:r>
          </w:p>
        </w:tc>
        <w:tc>
          <w:tcPr>
            <w:tcW w:w="4176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If it were different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Voltage band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0.95 to 1.05 pu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 tighter band raises the intervention rate and the cost </w:t>
            </w:r>
            <w:r>
              <w:rPr>
                <w:rFonts w:cs="Times New Roman"/>
                <w:sz w:val="19"/>
              </w:rPr>
              <w:t>of safety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Line and transformer limit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100 % of rating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lower operating limit needs only a new constraint file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Grid import and export limit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200 kW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reached on this small feeder in the reported scenarios; a much lower value would bind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Smallest useful a</w:t>
            </w:r>
            <w:r>
              <w:rPr>
                <w:rFonts w:cs="Times New Roman"/>
                <w:sz w:val="19"/>
              </w:rPr>
              <w:t>ction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0.05 kW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Larger values turn more projections into rejections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Implausible-request factor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x node rating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Smaller values reject large but possibly valid requests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Power-balance tolerance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0.05 kW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Looser values hide errors in the power flow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Control step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15 minutes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Longer steps make the quasi-static model less accurate</w:t>
            </w:r>
          </w:p>
        </w:tc>
      </w:tr>
      <w:tr w:rsidR="004B29FE">
        <w:trPr>
          <w:cantSplit/>
          <w:jc w:val="center"/>
        </w:trPr>
        <w:tc>
          <w:tcPr>
            <w:tcW w:w="244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lastRenderedPageBreak/>
              <w:t>Mock over-sizing</w:t>
            </w:r>
          </w:p>
        </w:tc>
        <w:tc>
          <w:tcPr>
            <w:tcW w:w="273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Seeded, scenario-dependent rates of unsafe proposals</w:t>
            </w:r>
          </w:p>
        </w:tc>
        <w:tc>
          <w:tcPr>
            <w:tcW w:w="4176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different rate changes the size of the unshielded harm, not the shielded result</w:t>
            </w:r>
          </w:p>
        </w:tc>
      </w:tr>
    </w:tbl>
    <w:p w:rsidR="004B29FE" w:rsidRDefault="004B29FE">
      <w:pPr>
        <w:spacing w:after="40" w:line="144" w:lineRule="auto"/>
      </w:pPr>
    </w:p>
    <w:p w:rsidR="004B29FE" w:rsidRDefault="006927C2">
      <w:r>
        <w:rPr>
          <w:rFonts w:cs="Times New Roman"/>
        </w:rPr>
        <w:t>Each of these is a configuration v</w:t>
      </w:r>
      <w:r>
        <w:rPr>
          <w:rFonts w:cs="Times New Roman"/>
        </w:rPr>
        <w:t>alue, not a constant buried in a check, so a different assumption can be tested by editing the constraint file or the run configuration. The experiment used the defaults shown.</w:t>
      </w:r>
    </w:p>
    <w:p w:rsidR="004B29FE" w:rsidRDefault="006927C2">
      <w:r>
        <w:br w:type="page"/>
      </w:r>
    </w:p>
    <w:p w:rsidR="004B29FE" w:rsidRDefault="006927C2">
      <w:pPr>
        <w:pStyle w:val="Heading1"/>
      </w:pPr>
      <w:r>
        <w:lastRenderedPageBreak/>
        <w:t>3. LIMITATIONS</w:t>
      </w:r>
    </w:p>
    <w:p w:rsidR="004B29FE" w:rsidRDefault="006927C2">
      <w:r>
        <w:rPr>
          <w:rFonts w:cs="Times New Roman"/>
        </w:rPr>
        <w:t xml:space="preserve">8 limitations affect how the results may be read. Each is </w:t>
      </w:r>
      <w:r>
        <w:rPr>
          <w:rFonts w:cs="Times New Roman"/>
        </w:rPr>
        <w:t>stated with its consequence.</w:t>
      </w:r>
    </w:p>
    <w:p w:rsidR="004B29FE" w:rsidRDefault="006927C2">
      <w:pPr>
        <w:pStyle w:val="Heading2"/>
      </w:pPr>
      <w:r>
        <w:t>3.1 No live language model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Every agent result comes from the deterministic mock provider; no live language model was evaluated, so language-model reasoning quality and real inference latency are unmeasured.</w:t>
      </w:r>
    </w:p>
    <w:p w:rsidR="004B29FE" w:rsidRDefault="006927C2">
      <w:r>
        <w:rPr>
          <w:rFonts w:cs="Times New Roman"/>
          <w:b/>
        </w:rPr>
        <w:t>Conseque</w:t>
      </w:r>
      <w:r>
        <w:rPr>
          <w:rFonts w:cs="Times New Roman"/>
          <w:b/>
        </w:rPr>
        <w:t>nce.</w:t>
      </w:r>
      <w:r>
        <w:rPr>
          <w:rFonts w:cs="Times New Roman"/>
        </w:rPr>
        <w:t xml:space="preserve"> Language-model reasoning quality, robustness to prompts and real inference latency are all unmeasured. The measured benefit of the shield is the benefit against a mock that over-sizes requests on purpose, so it is likely an indication, not an estimate</w:t>
      </w:r>
      <w:r>
        <w:rPr>
          <w:rFonts w:cs="Times New Roman"/>
        </w:rPr>
        <w:t>, of the benefit against a real model.</w:t>
      </w:r>
    </w:p>
    <w:p w:rsidR="004B29FE" w:rsidRDefault="006927C2">
      <w:pPr>
        <w:pStyle w:val="Heading2"/>
      </w:pPr>
      <w:r>
        <w:t>3.2 No violation-resolution rate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The batch objective 'violation resolution rate' was not measured; the project measures violations prevented (caused by actions = 0) and steps with any violation, not repair</w:t>
      </w:r>
      <w:r>
        <w:rPr>
          <w:rFonts w:cs="Times New Roman"/>
        </w:rPr>
        <w:t xml:space="preserve"> of a grid that is already outside its limits.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The project cannot say how often unsafe proposals are repaired when the grid is already outside its limits. It can say only that actions do not make things worse. The </w:t>
      </w:r>
      <w:r>
        <w:rPr>
          <w:rFonts w:ascii="Consolas" w:eastAsia="Consolas" w:hAnsi="Consolas" w:cs="Consolas"/>
          <w:sz w:val="21"/>
        </w:rPr>
        <w:t>peak_demand</w:t>
      </w:r>
      <w:r>
        <w:rPr>
          <w:rFonts w:cs="Times New Roman"/>
        </w:rPr>
        <w:t xml:space="preserve"> result shows that</w:t>
      </w:r>
      <w:r>
        <w:rPr>
          <w:rFonts w:cs="Times New Roman"/>
        </w:rPr>
        <w:t>, there, the rule baseline leaves fewer violation steps than the shielded agents.</w:t>
      </w:r>
    </w:p>
    <w:p w:rsidR="004B29FE" w:rsidRDefault="006927C2">
      <w:pPr>
        <w:pStyle w:val="Heading2"/>
      </w:pPr>
      <w:r>
        <w:t>3.3 Decision latency is not representative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Mean decision latency is 0.1-0.2 ms for the mock provider and says nothing about a real model.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The 0.17 ms</w:t>
      </w:r>
      <w:r>
        <w:rPr>
          <w:rFonts w:cs="Times New Roman"/>
        </w:rPr>
        <w:t xml:space="preserve"> mean decision latency in the tables must not be read as the latency of an AI planner; with a hosted model it would be orders of magnitude larger and would dominate the step time.</w:t>
      </w:r>
    </w:p>
    <w:p w:rsidR="004B29FE" w:rsidRDefault="006927C2">
      <w:pPr>
        <w:pStyle w:val="Heading2"/>
      </w:pPr>
      <w:r>
        <w:t>3.4 Small synthetic experiment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Three seeds, a three-node synthet</w:t>
      </w:r>
      <w:r>
        <w:rPr>
          <w:rFonts w:cs="Times New Roman"/>
        </w:rPr>
        <w:t>ic feeder, an illustrative tariff, no protection, no dynamics and no three-phase unbalance.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Three seeds give means but not meaningful confidence intervals; the feeder has three nodes, so effects such as congestion are exaggerated compared with</w:t>
      </w:r>
      <w:r>
        <w:rPr>
          <w:rFonts w:cs="Times New Roman"/>
        </w:rPr>
        <w:t xml:space="preserve"> real networks and phenomena such as unbalance are absent. Absolute costs in INR are illustrative.</w:t>
      </w:r>
    </w:p>
    <w:p w:rsidR="004B29FE" w:rsidRDefault="006927C2">
      <w:pPr>
        <w:pStyle w:val="Heading2"/>
      </w:pPr>
      <w:r>
        <w:lastRenderedPageBreak/>
        <w:t>3.5 Model-relative guarantee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The guarantee is model-relative (no new or worse violations in the simulated model), not a formal proof; the abstrac</w:t>
      </w:r>
      <w:r>
        <w:rPr>
          <w:rFonts w:cs="Times New Roman"/>
        </w:rPr>
        <w:t>t's 'mathematically guaranteeing zero physical constraint violations' is stronger than what was built and tested.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The shield's guarantee is that executed actions create or worsen no violation of the configured limits in the simulated model. It</w:t>
      </w:r>
      <w:r>
        <w:rPr>
          <w:rFonts w:cs="Times New Roman"/>
        </w:rPr>
        <w:t xml:space="preserve"> is neither a formal proof nor a promise of a violation-free grid. The wording of the abstract ("mathematically guaranteeing zero physical constraint violations") is stronger than what was built or tested.</w:t>
      </w:r>
    </w:p>
    <w:p w:rsidR="004B29FE" w:rsidRDefault="006927C2">
      <w:pPr>
        <w:pStyle w:val="Heading2"/>
      </w:pPr>
      <w:r>
        <w:t>3.6 Qualitative comparison with the base paper</w:t>
      </w:r>
    </w:p>
    <w:p w:rsidR="004B29FE" w:rsidRDefault="006927C2">
      <w:r>
        <w:rPr>
          <w:rFonts w:cs="Times New Roman"/>
          <w:b/>
        </w:rPr>
        <w:t>Lim</w:t>
      </w:r>
      <w:r>
        <w:rPr>
          <w:rFonts w:cs="Times New Roman"/>
          <w:b/>
        </w:rPr>
        <w:t>itation.</w:t>
      </w:r>
      <w:r>
        <w:rPr>
          <w:rFonts w:cs="Times New Roman"/>
        </w:rPr>
        <w:t xml:space="preserve"> The comparison with the base paper is qualitative: different system, no shared benchmark, no like-for-like numbers.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No number from this project can be compared with the base paper's. Statements about advantages over it are statements </w:t>
      </w:r>
      <w:r>
        <w:rPr>
          <w:rFonts w:cs="Times New Roman"/>
        </w:rPr>
        <w:t>about design, not about measured performance.</w:t>
      </w:r>
    </w:p>
    <w:p w:rsidR="004B29FE" w:rsidRDefault="006927C2">
      <w:pPr>
        <w:pStyle w:val="Heading2"/>
      </w:pPr>
      <w:r>
        <w:t>3.7 Failing and hanging tests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Two unit tests fail on numeric tolerances with pandapower 3.5.6 and one WebSocket test hangs under the installed Starlette test client.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Test code defects r</w:t>
      </w:r>
      <w:r>
        <w:rPr>
          <w:rFonts w:cs="Times New Roman"/>
        </w:rPr>
        <w:t>educe confidence in the regression suite: the two grid tests fail on numeric tolerances with pandapower 3.5.6, and the WebSocket test hangs. They do not affect the experiment results, which come from the engine, but a green suite would be better evidence.</w:t>
      </w:r>
    </w:p>
    <w:p w:rsidR="004B29FE" w:rsidRDefault="006927C2">
      <w:pPr>
        <w:pStyle w:val="Heading2"/>
      </w:pPr>
      <w:r>
        <w:t>3.8 No user study</w:t>
      </w:r>
    </w:p>
    <w:p w:rsidR="004B29FE" w:rsidRDefault="006927C2">
      <w:r>
        <w:rPr>
          <w:rFonts w:cs="Times New Roman"/>
          <w:b/>
        </w:rPr>
        <w:t>Limitation.</w:t>
      </w:r>
      <w:r>
        <w:rPr>
          <w:rFonts w:cs="Times New Roman"/>
        </w:rPr>
        <w:t xml:space="preserve"> No user study was carried out, so usability and operator trust are not measured.</w:t>
      </w:r>
    </w:p>
    <w:p w:rsidR="004B29FE" w:rsidRDefault="006927C2">
      <w:r>
        <w:rPr>
          <w:rFonts w:cs="Times New Roman"/>
          <w:b/>
        </w:rPr>
        <w:t>Consequence.</w:t>
      </w:r>
      <w:r>
        <w:rPr>
          <w:rFonts w:cs="Times New Roman"/>
        </w:rPr>
        <w:t xml:space="preserve"> Whether operators find the explanations clear, and whether they trust or over-trust the shield, is unknown.</w:t>
      </w:r>
    </w:p>
    <w:p w:rsidR="004B29FE" w:rsidRDefault="006927C2">
      <w:pPr>
        <w:pStyle w:val="Heading2"/>
      </w:pPr>
      <w:r>
        <w:t>3.9 What Would Change th</w:t>
      </w:r>
      <w:r>
        <w:t>e Conclusions</w:t>
      </w:r>
    </w:p>
    <w:p w:rsidR="004B29FE" w:rsidRDefault="006927C2">
      <w:r>
        <w:rPr>
          <w:rFonts w:cs="Times New Roman"/>
        </w:rPr>
        <w:t>Four findings would change the conclusions if they came out differently. First, a real language model that routinely produces schema-valid but plainly unreasonable proposals would push the intervention rate far above the measured 23.2% and wo</w:t>
      </w:r>
      <w:r>
        <w:rPr>
          <w:rFonts w:cs="Times New Roman"/>
        </w:rPr>
        <w:t xml:space="preserve">uld make the cost of safety (compute and renewable utilisation) the main question. Second, a trial power flow that disagrees with a more detailed network model would show that the shield enforces the wrong </w:t>
      </w:r>
      <w:r>
        <w:rPr>
          <w:rFonts w:cs="Times New Roman"/>
        </w:rPr>
        <w:lastRenderedPageBreak/>
        <w:t>limits. Third, a user study in which operators ove</w:t>
      </w:r>
      <w:r>
        <w:rPr>
          <w:rFonts w:cs="Times New Roman"/>
        </w:rPr>
        <w:t>r-trust the shield's "approved" label would show that the interface, not the algorithm, creates the risk. Fourth, a test of the bisection on non-monotone cases that returns an unsafe value would show that the defensive re-verification is not enough.</w:t>
      </w:r>
    </w:p>
    <w:p w:rsidR="004B29FE" w:rsidRDefault="006927C2">
      <w:r>
        <w:rPr>
          <w:rFonts w:cs="Times New Roman"/>
        </w:rPr>
        <w:t>None o</w:t>
      </w:r>
      <w:r>
        <w:rPr>
          <w:rFonts w:cs="Times New Roman"/>
        </w:rPr>
        <w:t>f these has been observed, and none has been tested, which is why the guarantee is stated as model-relative and why the report prefers the wording "no new or worse violation in the simulated model" to "zero violations".</w:t>
      </w:r>
    </w:p>
    <w:p w:rsidR="004B29FE" w:rsidRDefault="006927C2">
      <w:pPr>
        <w:pStyle w:val="Heading2"/>
      </w:pPr>
      <w:r>
        <w:t>3.10 How to Read the Numbers</w:t>
      </w:r>
    </w:p>
    <w:p w:rsidR="004B29FE" w:rsidRDefault="006927C2">
      <w:r>
        <w:rPr>
          <w:rFonts w:cs="Times New Roman"/>
        </w:rPr>
        <w:t xml:space="preserve">The </w:t>
      </w:r>
      <w:r>
        <w:rPr>
          <w:rFonts w:cs="Times New Roman"/>
        </w:rPr>
        <w:t xml:space="preserve">numbers in the report are measurements of a specific simulator. Three habits keep them in proportion. First, read the per-scenario tables before the overall means: the overall mean mixes a scenario in which nothing happens with one in which most proposals </w:t>
      </w:r>
      <w:r>
        <w:rPr>
          <w:rFonts w:cs="Times New Roman"/>
        </w:rPr>
        <w:t>are changed. Second, read the attribution metric and the counterfactual together: 0 violations caused is meaningful because the raw proposals would have caused 192 violations in 145 steps. Third, treat the cost, renewable-utilisation and latency figures as</w:t>
      </w:r>
      <w:r>
        <w:rPr>
          <w:rFonts w:cs="Times New Roman"/>
        </w:rPr>
        <w:t xml:space="preserve"> indications of direction and order of magnitude, not as predictions for a real feeder or a real model.</w:t>
      </w:r>
    </w:p>
    <w:p w:rsidR="004B29FE" w:rsidRDefault="006927C2">
      <w:r>
        <w:rPr>
          <w:rFonts w:cs="Times New Roman"/>
        </w:rPr>
        <w:t>The chart below shows the largest limitation of the guarantee: grid stress that exists with every agent idle is not removed by the shield.</w:t>
      </w:r>
    </w:p>
    <w:p w:rsidR="004B29FE" w:rsidRDefault="006927C2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120640" cy="2598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eexisting_st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9FE" w:rsidRDefault="006927C2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Grid stress with every agent idle compared with violations after SafeGrid-AI actions (steps of 24, mean of three seeds)</w:t>
      </w:r>
    </w:p>
    <w:p w:rsidR="004B29FE" w:rsidRDefault="006927C2">
      <w:r>
        <w:br w:type="page"/>
      </w:r>
    </w:p>
    <w:p w:rsidR="004B29FE" w:rsidRDefault="006927C2">
      <w:pPr>
        <w:pStyle w:val="Heading1"/>
      </w:pPr>
      <w:r>
        <w:lastRenderedPageBreak/>
        <w:t>4. WHAT WAS NOT MEASURED</w:t>
      </w:r>
    </w:p>
    <w:p w:rsidR="004B29FE" w:rsidRDefault="006927C2">
      <w:r>
        <w:rPr>
          <w:rFonts w:cs="Times New Roman"/>
        </w:rPr>
        <w:t xml:space="preserve">Honest reporting means listing what was not measured. The table gives each item, </w:t>
      </w:r>
      <w:r>
        <w:rPr>
          <w:rFonts w:cs="Times New Roman"/>
        </w:rPr>
        <w:t>the reason, and what would be needed.</w:t>
      </w:r>
    </w:p>
    <w:p w:rsidR="004B29FE" w:rsidRDefault="006927C2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Quantities not measured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3551"/>
        <w:gridCol w:w="3128"/>
      </w:tblGrid>
      <w:tr w:rsidR="004B29FE">
        <w:trPr>
          <w:cantSplit/>
          <w:tblHeader/>
          <w:jc w:val="center"/>
        </w:trPr>
        <w:tc>
          <w:tcPr>
            <w:tcW w:w="2592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Quantity</w:t>
            </w:r>
          </w:p>
        </w:tc>
        <w:tc>
          <w:tcPr>
            <w:tcW w:w="3600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was not measured</w:t>
            </w:r>
          </w:p>
        </w:tc>
        <w:tc>
          <w:tcPr>
            <w:tcW w:w="3168" w:type="dxa"/>
            <w:shd w:val="clear" w:color="auto" w:fill="1B2A41"/>
          </w:tcPr>
          <w:p w:rsidR="004B29FE" w:rsidRDefault="006927C2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What would be needed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Accuracy, F1, precision, recall, confusion matrix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applicable: there is no dataset, no trained model an</w:t>
            </w:r>
            <w:r>
              <w:rPr>
                <w:rFonts w:cs="Times New Roman"/>
                <w:sz w:val="19"/>
              </w:rPr>
              <w:t>d no classification task; inputs are generated from a seed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Nothing; these metrics do not apply to this project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 language-model latency and cost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API key was configured; the provider was run only in its unconfigured and mocked paths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hosted model, a</w:t>
            </w:r>
            <w:r>
              <w:rPr>
                <w:rFonts w:cs="Times New Roman"/>
                <w:sz w:val="19"/>
              </w:rPr>
              <w:t xml:space="preserve"> key and a repeat of the experiment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Violation resolution rate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evaluation measures violations prevented and steps with any violation, not repair of pre-existing violations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resolution metric and a planner that is rewarded for resolving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Quality of lan</w:t>
            </w:r>
            <w:r>
              <w:rPr>
                <w:rFonts w:cs="Times New Roman"/>
                <w:sz w:val="19"/>
              </w:rPr>
              <w:t>guage-model reasoning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mock is a transparent heuristic with seeded over-sizing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Evaluation with real models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Performance on standard test networks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Only the three-node feeder was modelled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IEEE and CIGRE feeders in pandapower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Formal proof of the shield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</w:t>
            </w:r>
            <w:r>
              <w:rPr>
                <w:rFonts w:cs="Times New Roman"/>
                <w:sz w:val="19"/>
              </w:rPr>
              <w:t>idence is by testing and simulation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stated model and a verifier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User acceptance, usability and trust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users were recruited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task-based study with a questionnaire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Load and soak behaviour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 local user, short runs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Concurrent clients and long runs</w:t>
            </w:r>
          </w:p>
        </w:tc>
      </w:tr>
      <w:tr w:rsidR="004B29FE">
        <w:trPr>
          <w:cantSplit/>
          <w:jc w:val="center"/>
        </w:trPr>
        <w:tc>
          <w:tcPr>
            <w:tcW w:w="2592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Confidence intervals</w:t>
            </w:r>
          </w:p>
        </w:tc>
        <w:tc>
          <w:tcPr>
            <w:tcW w:w="3600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Three seeds only</w:t>
            </w:r>
          </w:p>
        </w:tc>
        <w:tc>
          <w:tcPr>
            <w:tcW w:w="3168" w:type="dxa"/>
          </w:tcPr>
          <w:p w:rsidR="004B29FE" w:rsidRDefault="006927C2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More seeds (for example 20 or more)</w:t>
            </w:r>
          </w:p>
        </w:tc>
      </w:tr>
    </w:tbl>
    <w:p w:rsidR="004B29FE" w:rsidRDefault="004B29FE">
      <w:pPr>
        <w:spacing w:after="40" w:line="144" w:lineRule="auto"/>
      </w:pPr>
    </w:p>
    <w:p w:rsidR="004B29FE" w:rsidRDefault="006927C2">
      <w:r>
        <w:rPr>
          <w:rFonts w:cs="Times New Roman"/>
        </w:rPr>
        <w:t>Two of these deserve a sentence on why they are not simply an oversight. Classification metrics are absent because the project has no classifier: it generates inputs from a seed an</w:t>
      </w:r>
      <w:r>
        <w:rPr>
          <w:rFonts w:cs="Times New Roman"/>
        </w:rPr>
        <w:t>d asks what the shield does with proposals, so reporting an accuracy or an F1 score would be inventing a task. Real-model latency is absent because the measured provider is a deterministic mock; presenting its 0.1-0.2 ms as a result about artificial intell</w:t>
      </w:r>
      <w:r>
        <w:rPr>
          <w:rFonts w:cs="Times New Roman"/>
        </w:rPr>
        <w:t>igence would be misleading. The table is kept in the report so that a reader looking for these numbers finds an explicit statement instead of a gap.</w:t>
      </w:r>
    </w:p>
    <w:sectPr w:rsidR="004B29FE" w:rsidSect="00034616">
      <w:headerReference w:type="default" r:id="rId10"/>
      <w:footerReference w:type="default" r:id="rId11"/>
      <w:pgSz w:w="11906" w:h="16838"/>
      <w:pgMar w:top="1296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927C2">
      <w:pPr>
        <w:spacing w:after="0" w:line="240" w:lineRule="auto"/>
      </w:pPr>
      <w:r>
        <w:separator/>
      </w:r>
    </w:p>
  </w:endnote>
  <w:endnote w:type="continuationSeparator" w:id="0">
    <w:p w:rsidR="00000000" w:rsidRDefault="00692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9FE" w:rsidRDefault="006927C2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927C2">
      <w:pPr>
        <w:spacing w:after="0" w:line="240" w:lineRule="auto"/>
      </w:pPr>
      <w:r>
        <w:separator/>
      </w:r>
    </w:p>
  </w:footnote>
  <w:footnote w:type="continuationSeparator" w:id="0">
    <w:p w:rsidR="00000000" w:rsidRDefault="00692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29FE" w:rsidRDefault="006927C2">
    <w:pPr>
      <w:pStyle w:val="Header"/>
      <w:jc w:val="center"/>
    </w:pPr>
    <w:r>
      <w:rPr>
        <w:rFonts w:cs="Times New Roman"/>
        <w:i/>
        <w:color w:val="555555"/>
        <w:sz w:val="20"/>
      </w:rPr>
      <w:t xml:space="preserve">SafeGrid-AI: An </w:t>
    </w:r>
    <w:r>
      <w:rPr>
        <w:rFonts w:cs="Times New Roman"/>
        <w:i/>
        <w:color w:val="555555"/>
        <w:sz w:val="20"/>
      </w:rPr>
      <w:t>Explainable Multi-Agent System for Dynamic Power Routing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9FE"/>
    <w:rsid w:val="006927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B8FADE-1FF5-4342-BA2C-53068779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B71E6A-B00A-4A96-A4C5-CF1D84408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2201</Words>
  <Characters>11942</Characters>
  <Application>Microsoft Office Word</Application>
  <DocSecurity>0</DocSecurity>
  <Lines>308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2026-10-18T17:14:00Z</dcterms:modified>
  <cp:category/>
</cp:coreProperties>
</file>