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011A" w:rsidRDefault="00F5011A">
      <w:pPr>
        <w:spacing w:after="480" w:line="240" w:lineRule="auto"/>
      </w:pPr>
      <w:bookmarkStart w:id="0" w:name="_GoBack"/>
      <w:bookmarkEnd w:id="0"/>
    </w:p>
    <w:p w:rsidR="00F5011A" w:rsidRDefault="008B1879">
      <w:pPr>
        <w:spacing w:after="120"/>
        <w:jc w:val="center"/>
      </w:pPr>
      <w:r>
        <w:rPr>
          <w:rFonts w:cs="Times New Roman"/>
          <w:b/>
          <w:sz w:val="36"/>
        </w:rPr>
        <w:t>SAFEGRID-AI: AN EXPLAINABLE MULTI-AGENT SYSTEM FOR DYNAMIC POWER ROUTING</w:t>
      </w:r>
    </w:p>
    <w:p w:rsidR="00F5011A" w:rsidRDefault="008B1879">
      <w:pPr>
        <w:spacing w:after="280"/>
        <w:jc w:val="center"/>
      </w:pPr>
      <w:r>
        <w:rPr>
          <w:rFonts w:cs="Times New Roman"/>
          <w:b/>
          <w:sz w:val="28"/>
        </w:rPr>
        <w:t>Conclusion, Future Scope and References</w:t>
      </w:r>
    </w:p>
    <w:p w:rsidR="00F5011A" w:rsidRDefault="008B1879">
      <w:pPr>
        <w:spacing w:after="40"/>
        <w:jc w:val="center"/>
      </w:pPr>
      <w:r>
        <w:rPr>
          <w:rFonts w:cs="Times New Roman"/>
        </w:rPr>
        <w:t>Department of Computer Science and Engineering, TKR College of Engineering and Technology (Autonomous)</w:t>
      </w:r>
    </w:p>
    <w:p w:rsidR="00F5011A" w:rsidRDefault="008B1879">
      <w:pPr>
        <w:spacing w:after="240"/>
        <w:jc w:val="center"/>
      </w:pPr>
      <w:r>
        <w:rPr>
          <w:rFonts w:cs="Times New Roman"/>
        </w:rPr>
        <w:t xml:space="preserve">Batch A13 (CSE-A)  ·  Academic year </w:t>
      </w:r>
      <w:r>
        <w:rPr>
          <w:rFonts w:cs="Times New Roman"/>
        </w:rPr>
        <w:t>[ACADEMIC YEAR]</w:t>
      </w:r>
    </w:p>
    <w:p w:rsidR="00F5011A" w:rsidRDefault="008B187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F5011A">
        <w:trPr>
          <w:cantSplit/>
          <w:tblHeader/>
          <w:jc w:val="center"/>
        </w:trPr>
        <w:tc>
          <w:tcPr>
            <w:tcW w:w="1008" w:type="dxa"/>
            <w:shd w:val="clear" w:color="auto" w:fill="1B2A41"/>
          </w:tcPr>
          <w:p w:rsidR="00F5011A" w:rsidRDefault="008B1879">
            <w:pPr>
              <w:spacing w:after="40" w:line="240" w:lineRule="auto"/>
              <w:jc w:val="center"/>
            </w:pPr>
            <w:r>
              <w:rPr>
                <w:rFonts w:cs="Times New Roman"/>
                <w:b/>
                <w:color w:val="FFFFFF"/>
                <w:sz w:val="22"/>
              </w:rPr>
              <w:t>S.No.</w:t>
            </w:r>
          </w:p>
        </w:tc>
        <w:tc>
          <w:tcPr>
            <w:tcW w:w="4896" w:type="dxa"/>
            <w:shd w:val="clear" w:color="auto" w:fill="1B2A41"/>
          </w:tcPr>
          <w:p w:rsidR="00F5011A" w:rsidRDefault="008B1879">
            <w:pPr>
              <w:spacing w:after="40" w:line="240" w:lineRule="auto"/>
              <w:jc w:val="center"/>
            </w:pPr>
            <w:r>
              <w:rPr>
                <w:rFonts w:cs="Times New Roman"/>
                <w:b/>
                <w:color w:val="FFFFFF"/>
                <w:sz w:val="22"/>
              </w:rPr>
              <w:t>Student name</w:t>
            </w:r>
          </w:p>
        </w:tc>
        <w:tc>
          <w:tcPr>
            <w:tcW w:w="2592" w:type="dxa"/>
            <w:shd w:val="clear" w:color="auto" w:fill="1B2A41"/>
          </w:tcPr>
          <w:p w:rsidR="00F5011A" w:rsidRDefault="008B1879">
            <w:pPr>
              <w:spacing w:after="40" w:line="240" w:lineRule="auto"/>
              <w:jc w:val="center"/>
            </w:pPr>
            <w:r>
              <w:rPr>
                <w:rFonts w:cs="Times New Roman"/>
                <w:b/>
                <w:color w:val="FFFFFF"/>
                <w:sz w:val="22"/>
              </w:rPr>
              <w:t>Roll number</w:t>
            </w:r>
          </w:p>
        </w:tc>
      </w:tr>
      <w:tr w:rsidR="00F5011A">
        <w:trPr>
          <w:cantSplit/>
          <w:jc w:val="center"/>
        </w:trPr>
        <w:tc>
          <w:tcPr>
            <w:tcW w:w="1008" w:type="dxa"/>
          </w:tcPr>
          <w:p w:rsidR="00F5011A" w:rsidRDefault="008B1879">
            <w:pPr>
              <w:spacing w:after="40" w:line="240" w:lineRule="auto"/>
              <w:jc w:val="center"/>
            </w:pPr>
            <w:r>
              <w:rPr>
                <w:rFonts w:cs="Times New Roman"/>
                <w:sz w:val="22"/>
              </w:rPr>
              <w:t>1</w:t>
            </w:r>
          </w:p>
        </w:tc>
        <w:tc>
          <w:tcPr>
            <w:tcW w:w="4896" w:type="dxa"/>
          </w:tcPr>
          <w:p w:rsidR="00F5011A" w:rsidRDefault="008B1879">
            <w:pPr>
              <w:spacing w:after="40" w:line="240" w:lineRule="auto"/>
              <w:jc w:val="left"/>
            </w:pPr>
            <w:r>
              <w:rPr>
                <w:rFonts w:cs="Times New Roman"/>
                <w:sz w:val="22"/>
              </w:rPr>
              <w:t>DISHA KAUSHAL</w:t>
            </w:r>
          </w:p>
        </w:tc>
        <w:tc>
          <w:tcPr>
            <w:tcW w:w="2592" w:type="dxa"/>
          </w:tcPr>
          <w:p w:rsidR="00F5011A" w:rsidRDefault="008B1879">
            <w:pPr>
              <w:spacing w:after="40" w:line="240" w:lineRule="auto"/>
              <w:jc w:val="center"/>
            </w:pPr>
            <w:r>
              <w:rPr>
                <w:rFonts w:cs="Times New Roman"/>
                <w:sz w:val="22"/>
              </w:rPr>
              <w:t>23K91A0563</w:t>
            </w:r>
          </w:p>
        </w:tc>
      </w:tr>
      <w:tr w:rsidR="00F5011A">
        <w:trPr>
          <w:cantSplit/>
          <w:jc w:val="center"/>
        </w:trPr>
        <w:tc>
          <w:tcPr>
            <w:tcW w:w="1008" w:type="dxa"/>
          </w:tcPr>
          <w:p w:rsidR="00F5011A" w:rsidRDefault="008B1879">
            <w:pPr>
              <w:spacing w:after="40" w:line="240" w:lineRule="auto"/>
              <w:jc w:val="center"/>
            </w:pPr>
            <w:r>
              <w:rPr>
                <w:rFonts w:cs="Times New Roman"/>
                <w:sz w:val="22"/>
              </w:rPr>
              <w:t>2</w:t>
            </w:r>
          </w:p>
        </w:tc>
        <w:tc>
          <w:tcPr>
            <w:tcW w:w="4896" w:type="dxa"/>
          </w:tcPr>
          <w:p w:rsidR="00F5011A" w:rsidRDefault="008B1879">
            <w:pPr>
              <w:spacing w:after="40" w:line="240" w:lineRule="auto"/>
              <w:jc w:val="left"/>
            </w:pPr>
            <w:r>
              <w:rPr>
                <w:rFonts w:cs="Times New Roman"/>
                <w:sz w:val="22"/>
              </w:rPr>
              <w:t>BOLLAM RAKESH</w:t>
            </w:r>
          </w:p>
        </w:tc>
        <w:tc>
          <w:tcPr>
            <w:tcW w:w="2592" w:type="dxa"/>
          </w:tcPr>
          <w:p w:rsidR="00F5011A" w:rsidRDefault="008B1879">
            <w:pPr>
              <w:spacing w:after="40" w:line="240" w:lineRule="auto"/>
              <w:jc w:val="center"/>
            </w:pPr>
            <w:r>
              <w:rPr>
                <w:rFonts w:cs="Times New Roman"/>
                <w:sz w:val="22"/>
              </w:rPr>
              <w:t>23K91A0542</w:t>
            </w:r>
          </w:p>
        </w:tc>
      </w:tr>
      <w:tr w:rsidR="00F5011A">
        <w:trPr>
          <w:cantSplit/>
          <w:jc w:val="center"/>
        </w:trPr>
        <w:tc>
          <w:tcPr>
            <w:tcW w:w="1008" w:type="dxa"/>
          </w:tcPr>
          <w:p w:rsidR="00F5011A" w:rsidRDefault="008B1879">
            <w:pPr>
              <w:spacing w:after="40" w:line="240" w:lineRule="auto"/>
              <w:jc w:val="center"/>
            </w:pPr>
            <w:r>
              <w:rPr>
                <w:rFonts w:cs="Times New Roman"/>
                <w:sz w:val="22"/>
              </w:rPr>
              <w:t>3</w:t>
            </w:r>
          </w:p>
        </w:tc>
        <w:tc>
          <w:tcPr>
            <w:tcW w:w="4896" w:type="dxa"/>
          </w:tcPr>
          <w:p w:rsidR="00F5011A" w:rsidRDefault="008B1879">
            <w:pPr>
              <w:spacing w:after="40" w:line="240" w:lineRule="auto"/>
              <w:jc w:val="left"/>
            </w:pPr>
            <w:r>
              <w:rPr>
                <w:rFonts w:cs="Times New Roman"/>
                <w:sz w:val="22"/>
              </w:rPr>
              <w:t>CHINNOLLA RAVINDHAR</w:t>
            </w:r>
          </w:p>
        </w:tc>
        <w:tc>
          <w:tcPr>
            <w:tcW w:w="2592" w:type="dxa"/>
          </w:tcPr>
          <w:p w:rsidR="00F5011A" w:rsidRDefault="008B1879">
            <w:pPr>
              <w:spacing w:after="40" w:line="240" w:lineRule="auto"/>
              <w:jc w:val="center"/>
            </w:pPr>
            <w:r>
              <w:rPr>
                <w:rFonts w:cs="Times New Roman"/>
                <w:sz w:val="22"/>
              </w:rPr>
              <w:t>23K91A0554</w:t>
            </w:r>
          </w:p>
        </w:tc>
      </w:tr>
      <w:tr w:rsidR="00F5011A">
        <w:trPr>
          <w:cantSplit/>
          <w:jc w:val="center"/>
        </w:trPr>
        <w:tc>
          <w:tcPr>
            <w:tcW w:w="1008" w:type="dxa"/>
          </w:tcPr>
          <w:p w:rsidR="00F5011A" w:rsidRDefault="008B1879">
            <w:pPr>
              <w:spacing w:after="40" w:line="240" w:lineRule="auto"/>
              <w:jc w:val="center"/>
            </w:pPr>
            <w:r>
              <w:rPr>
                <w:rFonts w:cs="Times New Roman"/>
                <w:sz w:val="22"/>
              </w:rPr>
              <w:t>4</w:t>
            </w:r>
          </w:p>
        </w:tc>
        <w:tc>
          <w:tcPr>
            <w:tcW w:w="4896" w:type="dxa"/>
          </w:tcPr>
          <w:p w:rsidR="00F5011A" w:rsidRDefault="008B1879">
            <w:pPr>
              <w:spacing w:after="40" w:line="240" w:lineRule="auto"/>
              <w:jc w:val="left"/>
            </w:pPr>
            <w:r>
              <w:rPr>
                <w:rFonts w:cs="Times New Roman"/>
                <w:sz w:val="22"/>
              </w:rPr>
              <w:t>AFFAN MOHAMMED RAMY</w:t>
            </w:r>
          </w:p>
        </w:tc>
        <w:tc>
          <w:tcPr>
            <w:tcW w:w="2592" w:type="dxa"/>
          </w:tcPr>
          <w:p w:rsidR="00F5011A" w:rsidRDefault="008B1879">
            <w:pPr>
              <w:spacing w:after="40" w:line="240" w:lineRule="auto"/>
              <w:jc w:val="center"/>
            </w:pPr>
            <w:r>
              <w:rPr>
                <w:rFonts w:cs="Times New Roman"/>
                <w:sz w:val="22"/>
              </w:rPr>
              <w:t>23K91A0505</w:t>
            </w:r>
          </w:p>
        </w:tc>
      </w:tr>
    </w:tbl>
    <w:p w:rsidR="00F5011A" w:rsidRDefault="00F5011A">
      <w:pPr>
        <w:spacing w:after="40" w:line="144" w:lineRule="auto"/>
      </w:pPr>
    </w:p>
    <w:p w:rsidR="00F5011A" w:rsidRDefault="008B1879">
      <w:pPr>
        <w:spacing w:after="200"/>
        <w:jc w:val="center"/>
      </w:pPr>
      <w:r>
        <w:rPr>
          <w:rFonts w:cs="Times New Roman"/>
          <w:b/>
        </w:rPr>
        <w:t>Project guide:</w:t>
      </w:r>
      <w:r>
        <w:rPr>
          <w:rFonts w:cs="Times New Roman"/>
        </w:rPr>
        <w:t xml:space="preserve"> CHANDRASHEKAR</w:t>
      </w:r>
    </w:p>
    <w:p w:rsidR="00F5011A" w:rsidRDefault="008B1879">
      <w:pPr>
        <w:spacing w:after="120"/>
      </w:pPr>
      <w:r>
        <w:rPr>
          <w:rFonts w:cs="Times New Roman"/>
          <w:i/>
          <w:sz w:val="21"/>
        </w:rPr>
        <w:t xml:space="preserve">Chapter </w:t>
      </w:r>
      <w:r>
        <w:rPr>
          <w:rFonts w:cs="Times New Roman"/>
          <w:i/>
          <w:sz w:val="21"/>
        </w:rPr>
        <w:t>and section numbers quoted in the text (for example Section 6.6 or Chapter 8) refer to the full project report, 17.Final Document. Figures and tables in this document are numbered from 1.</w:t>
      </w:r>
    </w:p>
    <w:p w:rsidR="00F5011A" w:rsidRDefault="008B1879">
      <w:pPr>
        <w:pStyle w:val="Heading2"/>
      </w:pPr>
      <w:r>
        <w:t>Summary</w:t>
      </w:r>
    </w:p>
    <w:p w:rsidR="00F5011A" w:rsidRDefault="008B1879">
      <w:r>
        <w:rPr>
          <w:rFonts w:cs="Times New Roman"/>
        </w:rPr>
        <w:t xml:space="preserve">This project set out to show that autonomous agents can be </w:t>
      </w:r>
      <w:r>
        <w:rPr>
          <w:rFonts w:cs="Times New Roman"/>
        </w:rPr>
        <w:t>allowed to propose control actions for a power network without being allowed to execute them. The system that resulted, SafeGrid-AI, has three agents on a simulated three-node low-voltage feeder, a coordinator that detects conflicts and orders proposals, a</w:t>
      </w:r>
      <w:r>
        <w:rPr>
          <w:rFonts w:cs="Times New Roman"/>
        </w:rPr>
        <w:t>nd a Symbolic Safety Shield that validates every proposal with an AC power flow and returns one of three verdicts: approved, projected (scaled to the largest safe size) or rejected. Only validated set-points are committed to the simulated grid. Each non-ap</w:t>
      </w:r>
      <w:r>
        <w:rPr>
          <w:rFonts w:cs="Times New Roman"/>
        </w:rPr>
        <w:t>proved decision is written to a SHA-256 hash-chained log, and each decision carries a structured explanation. The system is served by a FastAPI interface with a WebSocket stream and a React console, and is evaluated with a three-strategy experiment on seve</w:t>
      </w:r>
      <w:r>
        <w:rPr>
          <w:rFonts w:cs="Times New Roman"/>
        </w:rPr>
        <w:t>n seeded scenarios.</w:t>
      </w:r>
    </w:p>
    <w:p w:rsidR="00F5011A" w:rsidRDefault="008B1879">
      <w:pPr>
        <w:pStyle w:val="Heading2"/>
      </w:pPr>
      <w:r>
        <w:t>What the Measurements Show</w:t>
      </w:r>
    </w:p>
    <w:p w:rsidR="00F5011A" w:rsidRDefault="008B1879">
      <w:r>
        <w:rPr>
          <w:rFonts w:cs="Times New Roman"/>
        </w:rPr>
        <w:t xml:space="preserve">Across 21 shielded runs (1,512 agent proposals) the shield approved 1,162 (76.9 %), projected 237 (15.7 %) and rejected 113 (7.5 %), and no executed action created or worsened </w:t>
      </w:r>
      <w:r>
        <w:rPr>
          <w:rFonts w:cs="Times New Roman"/>
        </w:rPr>
        <w:lastRenderedPageBreak/>
        <w:t>a limit violation (0 of 504 steps</w:t>
      </w:r>
      <w:r>
        <w:rPr>
          <w:rFonts w:cs="Times New Roman"/>
        </w:rPr>
        <w:t>), whereas the same agents without the shield did so in 99 steps (144 violations).</w:t>
      </w:r>
    </w:p>
    <w:p w:rsidR="00F5011A" w:rsidRDefault="008B1879">
      <w:r>
        <w:rPr>
          <w:rFonts w:cs="Times New Roman"/>
        </w:rPr>
        <w:t xml:space="preserve">The shield intervened on 23.1% of proposals, mostly by scaling them down rather than refusing them. The mean number of steps with any limit violation after execution fell </w:t>
      </w:r>
      <w:r>
        <w:rPr>
          <w:rFonts w:cs="Times New Roman"/>
        </w:rPr>
        <w:t>from 6.38 (agents without the shield) and 6.05 (rule baseline) to 2.48 with SafeGrid-AI, although 6.33 steps per run are stressed by the scenario even when every agent is idle. The price is compute and some renewable energy: 347.8 ms per step against about</w:t>
      </w:r>
      <w:r>
        <w:rPr>
          <w:rFonts w:cs="Times New Roman"/>
        </w:rPr>
        <w:t xml:space="preserve"> 106 ms, and renewable utilisation of 0.860 against 0.884 without the shield.</w:t>
      </w:r>
    </w:p>
    <w:p w:rsidR="00F5011A" w:rsidRDefault="008B1879">
      <w:r>
        <w:rPr>
          <w:rFonts w:cs="Times New Roman"/>
        </w:rPr>
        <w:t>Single-run traces make the same point visually: in the congestion scenario the unshielded agents push a line to 137.7 % of its rating, while with the shield it never exceeds 100.</w:t>
      </w:r>
      <w:r>
        <w:rPr>
          <w:rFonts w:cs="Times New Roman"/>
        </w:rPr>
        <w:t>0 %; in the voltage scenario the highest voltage is 1.117 pu without the shield and 1.056 pu with it, which is still above 1.05 pu because the scenario already breaks the limit with every agent idle.</w:t>
      </w:r>
    </w:p>
    <w:p w:rsidR="00F5011A" w:rsidRDefault="008B187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Headline measurements (</w:t>
      </w:r>
      <w:r>
        <w:rPr>
          <w:rFonts w:cs="Times New Roman"/>
        </w:rPr>
        <w:t>mean per 24-step run, 21 runs per strategy)</w:t>
      </w:r>
    </w:p>
    <w:tbl>
      <w:tblPr>
        <w:tblStyle w:val="TableGrid"/>
        <w:tblW w:w="0" w:type="auto"/>
        <w:jc w:val="center"/>
        <w:tblLook w:val="04A0" w:firstRow="1" w:lastRow="0" w:firstColumn="1" w:lastColumn="0" w:noHBand="0" w:noVBand="1"/>
      </w:tblPr>
      <w:tblGrid>
        <w:gridCol w:w="3828"/>
        <w:gridCol w:w="1710"/>
        <w:gridCol w:w="1991"/>
        <w:gridCol w:w="1713"/>
      </w:tblGrid>
      <w:tr w:rsidR="00F5011A">
        <w:trPr>
          <w:cantSplit/>
          <w:tblHeader/>
          <w:jc w:val="center"/>
        </w:trPr>
        <w:tc>
          <w:tcPr>
            <w:tcW w:w="3888" w:type="dxa"/>
            <w:shd w:val="clear" w:color="auto" w:fill="1B2A41"/>
          </w:tcPr>
          <w:p w:rsidR="00F5011A" w:rsidRDefault="008B1879">
            <w:pPr>
              <w:spacing w:after="40" w:line="240" w:lineRule="auto"/>
              <w:jc w:val="center"/>
            </w:pPr>
            <w:r>
              <w:rPr>
                <w:rFonts w:cs="Times New Roman"/>
                <w:b/>
                <w:color w:val="FFFFFF"/>
                <w:sz w:val="19"/>
              </w:rPr>
              <w:t>Metric</w:t>
            </w:r>
          </w:p>
        </w:tc>
        <w:tc>
          <w:tcPr>
            <w:tcW w:w="1728" w:type="dxa"/>
            <w:shd w:val="clear" w:color="auto" w:fill="1B2A41"/>
          </w:tcPr>
          <w:p w:rsidR="00F5011A" w:rsidRDefault="008B1879">
            <w:pPr>
              <w:spacing w:after="40" w:line="240" w:lineRule="auto"/>
              <w:jc w:val="center"/>
            </w:pPr>
            <w:r>
              <w:rPr>
                <w:rFonts w:cs="Times New Roman"/>
                <w:b/>
                <w:color w:val="FFFFFF"/>
                <w:sz w:val="19"/>
              </w:rPr>
              <w:t>Rule baseline</w:t>
            </w:r>
          </w:p>
        </w:tc>
        <w:tc>
          <w:tcPr>
            <w:tcW w:w="2016" w:type="dxa"/>
            <w:shd w:val="clear" w:color="auto" w:fill="1B2A41"/>
          </w:tcPr>
          <w:p w:rsidR="00F5011A" w:rsidRDefault="008B1879">
            <w:pPr>
              <w:spacing w:after="40" w:line="240" w:lineRule="auto"/>
              <w:jc w:val="center"/>
            </w:pPr>
            <w:r>
              <w:rPr>
                <w:rFonts w:cs="Times New Roman"/>
                <w:b/>
                <w:color w:val="FFFFFF"/>
                <w:sz w:val="19"/>
              </w:rPr>
              <w:t>Agents, no shield</w:t>
            </w:r>
          </w:p>
        </w:tc>
        <w:tc>
          <w:tcPr>
            <w:tcW w:w="1728" w:type="dxa"/>
            <w:shd w:val="clear" w:color="auto" w:fill="1B2A41"/>
          </w:tcPr>
          <w:p w:rsidR="00F5011A" w:rsidRDefault="008B1879">
            <w:pPr>
              <w:spacing w:after="40" w:line="240" w:lineRule="auto"/>
              <w:jc w:val="center"/>
            </w:pPr>
            <w:r>
              <w:rPr>
                <w:rFonts w:cs="Times New Roman"/>
                <w:b/>
                <w:color w:val="FFFFFF"/>
                <w:sz w:val="19"/>
              </w:rPr>
              <w:t>SafeGrid-AI</w:t>
            </w:r>
          </w:p>
        </w:tc>
      </w:tr>
      <w:tr w:rsidR="00F5011A">
        <w:trPr>
          <w:cantSplit/>
          <w:jc w:val="center"/>
        </w:trPr>
        <w:tc>
          <w:tcPr>
            <w:tcW w:w="3888" w:type="dxa"/>
          </w:tcPr>
          <w:p w:rsidR="00F5011A" w:rsidRDefault="008B1879">
            <w:pPr>
              <w:spacing w:after="40" w:line="240" w:lineRule="auto"/>
              <w:jc w:val="left"/>
            </w:pPr>
            <w:r>
              <w:rPr>
                <w:rFonts w:cs="Times New Roman"/>
                <w:sz w:val="19"/>
              </w:rPr>
              <w:t>Steps with violations caused by actions</w:t>
            </w:r>
          </w:p>
        </w:tc>
        <w:tc>
          <w:tcPr>
            <w:tcW w:w="1728" w:type="dxa"/>
          </w:tcPr>
          <w:p w:rsidR="00F5011A" w:rsidRDefault="008B1879">
            <w:pPr>
              <w:spacing w:after="40" w:line="240" w:lineRule="auto"/>
              <w:jc w:val="right"/>
            </w:pPr>
            <w:r>
              <w:rPr>
                <w:rFonts w:cs="Times New Roman"/>
                <w:sz w:val="19"/>
              </w:rPr>
              <w:t>2.19</w:t>
            </w:r>
          </w:p>
        </w:tc>
        <w:tc>
          <w:tcPr>
            <w:tcW w:w="2016" w:type="dxa"/>
          </w:tcPr>
          <w:p w:rsidR="00F5011A" w:rsidRDefault="008B1879">
            <w:pPr>
              <w:spacing w:after="40" w:line="240" w:lineRule="auto"/>
              <w:jc w:val="right"/>
            </w:pPr>
            <w:r>
              <w:rPr>
                <w:rFonts w:cs="Times New Roman"/>
                <w:sz w:val="19"/>
              </w:rPr>
              <w:t>4.71</w:t>
            </w:r>
          </w:p>
        </w:tc>
        <w:tc>
          <w:tcPr>
            <w:tcW w:w="1728" w:type="dxa"/>
          </w:tcPr>
          <w:p w:rsidR="00F5011A" w:rsidRDefault="008B1879">
            <w:pPr>
              <w:spacing w:after="40" w:line="240" w:lineRule="auto"/>
              <w:jc w:val="right"/>
            </w:pPr>
            <w:r>
              <w:rPr>
                <w:rFonts w:cs="Times New Roman"/>
                <w:sz w:val="19"/>
              </w:rPr>
              <w:t>0.00</w:t>
            </w:r>
          </w:p>
        </w:tc>
      </w:tr>
      <w:tr w:rsidR="00F5011A">
        <w:trPr>
          <w:cantSplit/>
          <w:jc w:val="center"/>
        </w:trPr>
        <w:tc>
          <w:tcPr>
            <w:tcW w:w="3888" w:type="dxa"/>
          </w:tcPr>
          <w:p w:rsidR="00F5011A" w:rsidRDefault="008B1879">
            <w:pPr>
              <w:spacing w:after="40" w:line="240" w:lineRule="auto"/>
              <w:jc w:val="left"/>
            </w:pPr>
            <w:r>
              <w:rPr>
                <w:rFonts w:cs="Times New Roman"/>
                <w:sz w:val="19"/>
              </w:rPr>
              <w:t>Steps with any violation after execution</w:t>
            </w:r>
          </w:p>
        </w:tc>
        <w:tc>
          <w:tcPr>
            <w:tcW w:w="1728" w:type="dxa"/>
          </w:tcPr>
          <w:p w:rsidR="00F5011A" w:rsidRDefault="008B1879">
            <w:pPr>
              <w:spacing w:after="40" w:line="240" w:lineRule="auto"/>
              <w:jc w:val="right"/>
            </w:pPr>
            <w:r>
              <w:rPr>
                <w:rFonts w:cs="Times New Roman"/>
                <w:sz w:val="19"/>
              </w:rPr>
              <w:t>6.05</w:t>
            </w:r>
          </w:p>
        </w:tc>
        <w:tc>
          <w:tcPr>
            <w:tcW w:w="2016" w:type="dxa"/>
          </w:tcPr>
          <w:p w:rsidR="00F5011A" w:rsidRDefault="008B1879">
            <w:pPr>
              <w:spacing w:after="40" w:line="240" w:lineRule="auto"/>
              <w:jc w:val="right"/>
            </w:pPr>
            <w:r>
              <w:rPr>
                <w:rFonts w:cs="Times New Roman"/>
                <w:sz w:val="19"/>
              </w:rPr>
              <w:t>6.38</w:t>
            </w:r>
          </w:p>
        </w:tc>
        <w:tc>
          <w:tcPr>
            <w:tcW w:w="1728" w:type="dxa"/>
          </w:tcPr>
          <w:p w:rsidR="00F5011A" w:rsidRDefault="008B1879">
            <w:pPr>
              <w:spacing w:after="40" w:line="240" w:lineRule="auto"/>
              <w:jc w:val="right"/>
            </w:pPr>
            <w:r>
              <w:rPr>
                <w:rFonts w:cs="Times New Roman"/>
                <w:sz w:val="19"/>
              </w:rPr>
              <w:t>2.48</w:t>
            </w:r>
          </w:p>
        </w:tc>
      </w:tr>
      <w:tr w:rsidR="00F5011A">
        <w:trPr>
          <w:cantSplit/>
          <w:jc w:val="center"/>
        </w:trPr>
        <w:tc>
          <w:tcPr>
            <w:tcW w:w="3888" w:type="dxa"/>
          </w:tcPr>
          <w:p w:rsidR="00F5011A" w:rsidRDefault="008B1879">
            <w:pPr>
              <w:spacing w:after="40" w:line="240" w:lineRule="auto"/>
              <w:jc w:val="left"/>
            </w:pPr>
            <w:r>
              <w:rPr>
                <w:rFonts w:cs="Times New Roman"/>
                <w:sz w:val="19"/>
              </w:rPr>
              <w:t>Energy cost (INR, illustrative)</w:t>
            </w:r>
          </w:p>
        </w:tc>
        <w:tc>
          <w:tcPr>
            <w:tcW w:w="1728" w:type="dxa"/>
          </w:tcPr>
          <w:p w:rsidR="00F5011A" w:rsidRDefault="008B1879">
            <w:pPr>
              <w:spacing w:after="40" w:line="240" w:lineRule="auto"/>
              <w:jc w:val="right"/>
            </w:pPr>
            <w:r>
              <w:rPr>
                <w:rFonts w:cs="Times New Roman"/>
                <w:sz w:val="19"/>
              </w:rPr>
              <w:t>216.4</w:t>
            </w:r>
          </w:p>
        </w:tc>
        <w:tc>
          <w:tcPr>
            <w:tcW w:w="2016" w:type="dxa"/>
          </w:tcPr>
          <w:p w:rsidR="00F5011A" w:rsidRDefault="008B1879">
            <w:pPr>
              <w:spacing w:after="40" w:line="240" w:lineRule="auto"/>
              <w:jc w:val="right"/>
            </w:pPr>
            <w:r>
              <w:rPr>
                <w:rFonts w:cs="Times New Roman"/>
                <w:sz w:val="19"/>
              </w:rPr>
              <w:t>380.8</w:t>
            </w:r>
          </w:p>
        </w:tc>
        <w:tc>
          <w:tcPr>
            <w:tcW w:w="1728" w:type="dxa"/>
          </w:tcPr>
          <w:p w:rsidR="00F5011A" w:rsidRDefault="008B1879">
            <w:pPr>
              <w:spacing w:after="40" w:line="240" w:lineRule="auto"/>
              <w:jc w:val="right"/>
            </w:pPr>
            <w:r>
              <w:rPr>
                <w:rFonts w:cs="Times New Roman"/>
                <w:sz w:val="19"/>
              </w:rPr>
              <w:t>225.0</w:t>
            </w:r>
          </w:p>
        </w:tc>
      </w:tr>
      <w:tr w:rsidR="00F5011A">
        <w:trPr>
          <w:cantSplit/>
          <w:jc w:val="center"/>
        </w:trPr>
        <w:tc>
          <w:tcPr>
            <w:tcW w:w="3888" w:type="dxa"/>
          </w:tcPr>
          <w:p w:rsidR="00F5011A" w:rsidRDefault="008B1879">
            <w:pPr>
              <w:spacing w:after="40" w:line="240" w:lineRule="auto"/>
              <w:jc w:val="left"/>
            </w:pPr>
            <w:r>
              <w:rPr>
                <w:rFonts w:cs="Times New Roman"/>
                <w:sz w:val="19"/>
              </w:rPr>
              <w:t>Renewable utilisation</w:t>
            </w:r>
          </w:p>
        </w:tc>
        <w:tc>
          <w:tcPr>
            <w:tcW w:w="1728" w:type="dxa"/>
          </w:tcPr>
          <w:p w:rsidR="00F5011A" w:rsidRDefault="008B1879">
            <w:pPr>
              <w:spacing w:after="40" w:line="240" w:lineRule="auto"/>
              <w:jc w:val="right"/>
            </w:pPr>
            <w:r>
              <w:rPr>
                <w:rFonts w:cs="Times New Roman"/>
                <w:sz w:val="19"/>
              </w:rPr>
              <w:t>1.000</w:t>
            </w:r>
          </w:p>
        </w:tc>
        <w:tc>
          <w:tcPr>
            <w:tcW w:w="2016" w:type="dxa"/>
          </w:tcPr>
          <w:p w:rsidR="00F5011A" w:rsidRDefault="008B1879">
            <w:pPr>
              <w:spacing w:after="40" w:line="240" w:lineRule="auto"/>
              <w:jc w:val="right"/>
            </w:pPr>
            <w:r>
              <w:rPr>
                <w:rFonts w:cs="Times New Roman"/>
                <w:sz w:val="19"/>
              </w:rPr>
              <w:t>0.884</w:t>
            </w:r>
          </w:p>
        </w:tc>
        <w:tc>
          <w:tcPr>
            <w:tcW w:w="1728" w:type="dxa"/>
          </w:tcPr>
          <w:p w:rsidR="00F5011A" w:rsidRDefault="008B1879">
            <w:pPr>
              <w:spacing w:after="40" w:line="240" w:lineRule="auto"/>
              <w:jc w:val="right"/>
            </w:pPr>
            <w:r>
              <w:rPr>
                <w:rFonts w:cs="Times New Roman"/>
                <w:sz w:val="19"/>
              </w:rPr>
              <w:t>0.860</w:t>
            </w:r>
          </w:p>
        </w:tc>
      </w:tr>
      <w:tr w:rsidR="00F5011A">
        <w:trPr>
          <w:cantSplit/>
          <w:jc w:val="center"/>
        </w:trPr>
        <w:tc>
          <w:tcPr>
            <w:tcW w:w="3888" w:type="dxa"/>
          </w:tcPr>
          <w:p w:rsidR="00F5011A" w:rsidRDefault="008B1879">
            <w:pPr>
              <w:spacing w:after="40" w:line="240" w:lineRule="auto"/>
              <w:jc w:val="left"/>
            </w:pPr>
            <w:r>
              <w:rPr>
                <w:rFonts w:cs="Times New Roman"/>
                <w:sz w:val="19"/>
              </w:rPr>
              <w:t>Mean step time (ms)</w:t>
            </w:r>
          </w:p>
        </w:tc>
        <w:tc>
          <w:tcPr>
            <w:tcW w:w="1728" w:type="dxa"/>
          </w:tcPr>
          <w:p w:rsidR="00F5011A" w:rsidRDefault="008B1879">
            <w:pPr>
              <w:spacing w:after="40" w:line="240" w:lineRule="auto"/>
              <w:jc w:val="right"/>
            </w:pPr>
            <w:r>
              <w:rPr>
                <w:rFonts w:cs="Times New Roman"/>
                <w:sz w:val="19"/>
              </w:rPr>
              <w:t>107.9</w:t>
            </w:r>
          </w:p>
        </w:tc>
        <w:tc>
          <w:tcPr>
            <w:tcW w:w="2016" w:type="dxa"/>
          </w:tcPr>
          <w:p w:rsidR="00F5011A" w:rsidRDefault="008B1879">
            <w:pPr>
              <w:spacing w:after="40" w:line="240" w:lineRule="auto"/>
              <w:jc w:val="right"/>
            </w:pPr>
            <w:r>
              <w:rPr>
                <w:rFonts w:cs="Times New Roman"/>
                <w:sz w:val="19"/>
              </w:rPr>
              <w:t>106.2</w:t>
            </w:r>
          </w:p>
        </w:tc>
        <w:tc>
          <w:tcPr>
            <w:tcW w:w="1728" w:type="dxa"/>
          </w:tcPr>
          <w:p w:rsidR="00F5011A" w:rsidRDefault="008B1879">
            <w:pPr>
              <w:spacing w:after="40" w:line="240" w:lineRule="auto"/>
              <w:jc w:val="right"/>
            </w:pPr>
            <w:r>
              <w:rPr>
                <w:rFonts w:cs="Times New Roman"/>
                <w:sz w:val="19"/>
              </w:rPr>
              <w:t>347.8</w:t>
            </w:r>
          </w:p>
        </w:tc>
      </w:tr>
    </w:tbl>
    <w:p w:rsidR="00F5011A" w:rsidRDefault="00F5011A">
      <w:pPr>
        <w:spacing w:after="40" w:line="144" w:lineRule="auto"/>
      </w:pPr>
    </w:p>
    <w:p w:rsidR="00F5011A" w:rsidRDefault="008B1879">
      <w:r>
        <w:rPr>
          <w:rFonts w:cs="Times New Roman"/>
        </w:rPr>
        <w:t>Beyond the averages, the system behaved as designed in the situations built to test it: a 1,000 kW export was rejected, a 900 kW import was rejected, a malformed output</w:t>
      </w:r>
      <w:r>
        <w:rPr>
          <w:rFonts w:cs="Times New Roman"/>
        </w:rPr>
        <w:t xml:space="preserve"> became a labelled fallback decision, a congested feeder never exceeded its rating, and the dashboard displayed each of these decisions with its reasons.</w:t>
      </w:r>
    </w:p>
    <w:p w:rsidR="00F5011A" w:rsidRDefault="008B1879">
      <w:pPr>
        <w:pStyle w:val="Heading2"/>
      </w:pPr>
      <w:r>
        <w:t>Contributions</w:t>
      </w:r>
    </w:p>
    <w:p w:rsidR="00F5011A" w:rsidRDefault="008B1879">
      <w:r>
        <w:rPr>
          <w:rFonts w:cs="Times New Roman"/>
        </w:rPr>
        <w:t xml:space="preserve">The work contributes a verdict that can reduce a request instead of only vetoing it, an </w:t>
      </w:r>
      <w:r>
        <w:rPr>
          <w:rFonts w:cs="Times New Roman"/>
        </w:rPr>
        <w:t>attribution rule that separates violations caused by an action from those already present, a shield whose independence from the language-model code is enforced by a test, structured explanations without stored chain-of-thought, a tamper-evident audit trail</w:t>
      </w:r>
      <w:r>
        <w:rPr>
          <w:rFonts w:cs="Times New Roman"/>
        </w:rPr>
        <w:t xml:space="preserve"> and a three-arm evaluation that includes the counterfactual of what the raw proposals would have done. Measured against the six objectives of the batch, four were achieved, one was achieved with a mock model and one, violation resolution, was achieved in </w:t>
      </w:r>
      <w:r>
        <w:rPr>
          <w:rFonts w:cs="Times New Roman"/>
        </w:rPr>
        <w:t>part.</w:t>
      </w:r>
    </w:p>
    <w:p w:rsidR="00F5011A" w:rsidRDefault="008B1879">
      <w:pPr>
        <w:pStyle w:val="Heading2"/>
      </w:pPr>
      <w:r>
        <w:lastRenderedPageBreak/>
        <w:t>Lessons Learned</w:t>
      </w:r>
    </w:p>
    <w:p w:rsidR="00F5011A" w:rsidRDefault="008B1879">
      <w:pPr>
        <w:spacing w:after="60"/>
        <w:ind w:left="720" w:hanging="360"/>
      </w:pPr>
      <w:r>
        <w:rPr>
          <w:rFonts w:cs="Times New Roman"/>
        </w:rPr>
        <w:t xml:space="preserve">•  </w:t>
      </w:r>
      <w:r>
        <w:rPr>
          <w:rFonts w:cs="Times New Roman"/>
          <w:b/>
        </w:rPr>
        <w:t>Measure the counterfactual.</w:t>
      </w:r>
      <w:r>
        <w:rPr>
          <w:rFonts w:cs="Times New Roman"/>
        </w:rPr>
        <w:t xml:space="preserve"> Reporting only what happened with the shield on would have made the result a statement about the scenarios. Computing, in the same step, what the raw proposals would have done turned it into a statement </w:t>
      </w:r>
      <w:r>
        <w:rPr>
          <w:rFonts w:cs="Times New Roman"/>
        </w:rPr>
        <w:t>about the shield.</w:t>
      </w:r>
    </w:p>
    <w:p w:rsidR="00F5011A" w:rsidRDefault="008B1879">
      <w:pPr>
        <w:spacing w:after="60"/>
        <w:ind w:left="720" w:hanging="360"/>
      </w:pPr>
      <w:r>
        <w:rPr>
          <w:rFonts w:cs="Times New Roman"/>
        </w:rPr>
        <w:t xml:space="preserve">•  </w:t>
      </w:r>
      <w:r>
        <w:rPr>
          <w:rFonts w:cs="Times New Roman"/>
          <w:b/>
        </w:rPr>
        <w:t>Separate harm from stress.</w:t>
      </w:r>
      <w:r>
        <w:rPr>
          <w:rFonts w:cs="Times New Roman"/>
        </w:rPr>
        <w:t xml:space="preserve"> A metric that simply counts violations per step would charge the shield with stress that no action caused. The attribution rule avoids that, and it also exposes the cases (peak demand) where the shield leaves</w:t>
      </w:r>
      <w:r>
        <w:rPr>
          <w:rFonts w:cs="Times New Roman"/>
        </w:rPr>
        <w:t xml:space="preserve"> more stress than a simple controller.</w:t>
      </w:r>
    </w:p>
    <w:p w:rsidR="00F5011A" w:rsidRDefault="008B1879">
      <w:pPr>
        <w:spacing w:after="60"/>
        <w:ind w:left="720" w:hanging="360"/>
      </w:pPr>
      <w:r>
        <w:rPr>
          <w:rFonts w:cs="Times New Roman"/>
        </w:rPr>
        <w:t xml:space="preserve">•  </w:t>
      </w:r>
      <w:r>
        <w:rPr>
          <w:rFonts w:cs="Times New Roman"/>
          <w:b/>
        </w:rPr>
        <w:t>Say what a number is.</w:t>
      </w:r>
      <w:r>
        <w:rPr>
          <w:rFonts w:cs="Times New Roman"/>
        </w:rPr>
        <w:t xml:space="preserve"> A decision latency of 0.17 ms, a classification metric that does not exist, or a 'guarantee' stronger than the tests all look like results; writing down what each one is not kept the report honest.</w:t>
      </w:r>
    </w:p>
    <w:p w:rsidR="00F5011A" w:rsidRDefault="008B1879">
      <w:pPr>
        <w:spacing w:after="60"/>
        <w:ind w:left="720" w:hanging="360"/>
      </w:pPr>
      <w:r>
        <w:rPr>
          <w:rFonts w:cs="Times New Roman"/>
        </w:rPr>
        <w:t xml:space="preserve">•  </w:t>
      </w:r>
      <w:r>
        <w:rPr>
          <w:rFonts w:cs="Times New Roman"/>
          <w:b/>
        </w:rPr>
        <w:t>Keep the checker small and dull.</w:t>
      </w:r>
      <w:r>
        <w:rPr>
          <w:rFonts w:cs="Times New Roman"/>
        </w:rPr>
        <w:t xml:space="preserve"> The whole safety pack</w:t>
      </w:r>
      <w:r>
        <w:rPr>
          <w:rFonts w:cs="Times New Roman"/>
        </w:rPr>
        <w:t>age is 621 lines of ordinary deterministic code (of 3,117 backend lines) with 22 dedicated unit tests, a deliberate contrast with the component it supervises.</w:t>
      </w:r>
    </w:p>
    <w:p w:rsidR="00F5011A" w:rsidRDefault="008B1879">
      <w:pPr>
        <w:pStyle w:val="Heading2"/>
      </w:pPr>
      <w:r>
        <w:t>Limits of the Conclusion</w:t>
      </w:r>
    </w:p>
    <w:p w:rsidR="00F5011A" w:rsidRDefault="008B1879">
      <w:r>
        <w:rPr>
          <w:rFonts w:cs="Times New Roman"/>
        </w:rPr>
        <w:t>These conclusions are conditional. No real language model was evaluated;</w:t>
      </w:r>
      <w:r>
        <w:rPr>
          <w:rFonts w:cs="Times New Roman"/>
        </w:rPr>
        <w:t xml:space="preserve"> every agent decision came from a deterministic mock. The feeder is a three-node simulation with synthetic profiles and an illustrative tariff, and the experiment has three seeds. The safety guarantee is that executed actions do not create or worsen a viol</w:t>
      </w:r>
      <w:r>
        <w:rPr>
          <w:rFonts w:cs="Times New Roman"/>
        </w:rPr>
        <w:t xml:space="preserve">ation of the configured limits in the simulated model; it is not a proof and it does not promise a violation-free grid. The comparison with the base paper [1] is qualitative. Two grid unit tests fail on numeric tolerances, one WebSocket test hangs, and no </w:t>
      </w:r>
      <w:r>
        <w:rPr>
          <w:rFonts w:cs="Times New Roman"/>
        </w:rPr>
        <w:t>user study was carried out.</w:t>
      </w:r>
    </w:p>
    <w:p w:rsidR="00F5011A" w:rsidRDefault="008B1879">
      <w:pPr>
        <w:pStyle w:val="Heading2"/>
      </w:pPr>
      <w:r>
        <w:t>Closing Remark</w:t>
      </w:r>
    </w:p>
    <w:p w:rsidR="00F5011A" w:rsidRDefault="008B1879">
      <w:r>
        <w:rPr>
          <w:rFonts w:cs="Times New Roman"/>
        </w:rPr>
        <w:t>The practical lesson is architectural. A language model, or any other flexible proposer, is most useful when the system around it assumes that it will sometimes be wrong, and makes being wrong cheap: a narrow acti</w:t>
      </w:r>
      <w:r>
        <w:rPr>
          <w:rFonts w:cs="Times New Roman"/>
        </w:rPr>
        <w:t>on schema, an independent deterministic validator, a clear record of what was changed and why, and an interface in which a person can check any decision. SafeGrid-AI is a small, honest demonstration of that pattern, together with a clear list of what remai</w:t>
      </w:r>
      <w:r>
        <w:rPr>
          <w:rFonts w:cs="Times New Roman"/>
        </w:rPr>
        <w:t>ns to be shown.</w:t>
      </w:r>
    </w:p>
    <w:p w:rsidR="00F5011A" w:rsidRDefault="008B1879">
      <w:pPr>
        <w:keepNext/>
        <w:spacing w:line="240" w:lineRule="auto"/>
        <w:jc w:val="center"/>
      </w:pPr>
      <w:r>
        <w:rPr>
          <w:noProof/>
        </w:rPr>
        <w:lastRenderedPageBreak/>
        <w:drawing>
          <wp:inline distT="0" distB="0" distL="0" distR="0">
            <wp:extent cx="5120640" cy="2785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olations_by_scenario.png"/>
                    <pic:cNvPicPr/>
                  </pic:nvPicPr>
                  <pic:blipFill>
                    <a:blip r:embed="rId8"/>
                    <a:stretch>
                      <a:fillRect/>
                    </a:stretch>
                  </pic:blipFill>
                  <pic:spPr>
                    <a:xfrm>
                      <a:off x="0" y="0"/>
                      <a:ext cx="5120640" cy="2785757"/>
                    </a:xfrm>
                    <a:prstGeom prst="rect">
                      <a:avLst/>
                    </a:prstGeom>
                  </pic:spPr>
                </pic:pic>
              </a:graphicData>
            </a:graphic>
          </wp:inline>
        </w:drawing>
      </w:r>
    </w:p>
    <w:p w:rsidR="00F5011A" w:rsidRDefault="008B187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Steps with violations caused by actions, per scenario and strategy (mean of three seeds): the evidence behind the conclusion</w:t>
      </w:r>
    </w:p>
    <w:p w:rsidR="00F5011A" w:rsidRDefault="008B1879">
      <w:pPr>
        <w:pStyle w:val="Heading2"/>
      </w:pPr>
      <w:r>
        <w:t>Evaluate with a Real Language Model</w:t>
      </w:r>
    </w:p>
    <w:p w:rsidR="00F5011A" w:rsidRDefault="008B1879">
      <w:r>
        <w:rPr>
          <w:rFonts w:cs="Times New Roman"/>
        </w:rPr>
        <w:t xml:space="preserve">Every agent result in this report comes </w:t>
      </w:r>
      <w:r>
        <w:rPr>
          <w:rFonts w:cs="Times New Roman"/>
        </w:rPr>
        <w:t>from a deterministic mock provider, so the most valuable next step is to run the existing API provider against a hosted model and repeat the 63-run experiment. The report should then include decision latency (the mock's 0.1-0.2 ms is meaningless), token co</w:t>
      </w:r>
      <w:r>
        <w:rPr>
          <w:rFonts w:cs="Times New Roman"/>
        </w:rPr>
        <w:t>st, the rate of outputs that fail schema validation, the fallback rate and a comparison of reasoning quality between models, as in the model-by-model success rates reported for Grid-Agent [2].</w:t>
      </w:r>
    </w:p>
    <w:p w:rsidR="00F5011A" w:rsidRDefault="008B1879">
      <w:r>
        <w:rPr>
          <w:rFonts w:cs="Times New Roman"/>
        </w:rPr>
        <w:t>The experiment design is ready for this: the provider interface</w:t>
      </w:r>
      <w:r>
        <w:rPr>
          <w:rFonts w:cs="Times New Roman"/>
        </w:rPr>
        <w:t>, the schema validation of model output, the time-out and the labelled fallback already exist, and the experiment runner accepts a provider name. What is missing is an API key, a budget and a decision about which models to compare. A reasonable protocol is</w:t>
      </w:r>
      <w:r>
        <w:rPr>
          <w:rFonts w:cs="Times New Roman"/>
        </w:rPr>
        <w:t xml:space="preserve"> the same seven scenarios and three arms with at least ten seeds, with the model's temperature fixed, so that variation between seeds reflects the scenario and not sampling noise; wall-clock time per step would then be dominated by model latency, and the s</w:t>
      </w:r>
      <w:r>
        <w:rPr>
          <w:rFonts w:cs="Times New Roman"/>
        </w:rPr>
        <w:t>hield's 0.35 s per step would no longer be the bottleneck.</w:t>
      </w:r>
    </w:p>
    <w:p w:rsidR="00F5011A" w:rsidRDefault="008B1879">
      <w:pPr>
        <w:pStyle w:val="Heading2"/>
      </w:pPr>
      <w:r>
        <w:t>Measure and Improve Resolution</w:t>
      </w:r>
    </w:p>
    <w:p w:rsidR="00F5011A" w:rsidRDefault="008B1879">
      <w:r>
        <w:rPr>
          <w:rFonts w:cs="Times New Roman"/>
        </w:rPr>
        <w:t>Objective 6 asked for a violation resolution rate, which was not measured. Add a metric for the share of pre-existing violation steps that are cleared, and give the p</w:t>
      </w:r>
      <w:r>
        <w:rPr>
          <w:rFonts w:cs="Times New Roman"/>
        </w:rPr>
        <w:t xml:space="preserve">lanner an objective that rewards clearing them. The </w:t>
      </w:r>
      <w:r>
        <w:rPr>
          <w:rFonts w:ascii="Consolas" w:eastAsia="Consolas" w:hAnsi="Consolas" w:cs="Consolas"/>
          <w:sz w:val="21"/>
        </w:rPr>
        <w:t>peak_demand</w:t>
      </w:r>
      <w:r>
        <w:rPr>
          <w:rFonts w:cs="Times New Roman"/>
        </w:rPr>
        <w:t xml:space="preserve"> scenario shows why: the rule baseline leaves 7.33 steps with a violation, the shielded agents 8.67, because a veto-only layer prevents harm but does not look for relief.</w:t>
      </w:r>
    </w:p>
    <w:p w:rsidR="00F5011A" w:rsidRDefault="008B1879">
      <w:pPr>
        <w:pStyle w:val="Heading2"/>
      </w:pPr>
      <w:r>
        <w:lastRenderedPageBreak/>
        <w:t>Stronger Guarantees</w:t>
      </w:r>
    </w:p>
    <w:p w:rsidR="00F5011A" w:rsidRDefault="008B1879">
      <w:pPr>
        <w:spacing w:after="60"/>
        <w:ind w:left="720" w:hanging="360"/>
      </w:pPr>
      <w:r>
        <w:rPr>
          <w:rFonts w:cs="Times New Roman"/>
        </w:rPr>
        <w:t xml:space="preserve">• </w:t>
      </w:r>
      <w:r>
        <w:rPr>
          <w:rFonts w:cs="Times New Roman"/>
        </w:rPr>
        <w:t xml:space="preserve"> State the shield's guarantee as a theorem about an explicit model and check it with a verifier; the present claim is model-relative and rests on tests.</w:t>
      </w:r>
    </w:p>
    <w:p w:rsidR="00F5011A" w:rsidRDefault="008B1879">
      <w:pPr>
        <w:spacing w:after="60"/>
        <w:ind w:left="720" w:hanging="360"/>
      </w:pPr>
      <w:r>
        <w:rPr>
          <w:rFonts w:cs="Times New Roman"/>
        </w:rPr>
        <w:t>•  Test the monotonicity assumption of the bisection (that a smaller action is never less safe) on more</w:t>
      </w:r>
      <w:r>
        <w:rPr>
          <w:rFonts w:cs="Times New Roman"/>
        </w:rPr>
        <w:t xml:space="preserve"> network types and on three-phase models.</w:t>
      </w:r>
    </w:p>
    <w:p w:rsidR="00F5011A" w:rsidRDefault="008B1879">
      <w:pPr>
        <w:spacing w:after="60"/>
        <w:ind w:left="720" w:hanging="360"/>
      </w:pPr>
      <w:r>
        <w:rPr>
          <w:rFonts w:cs="Times New Roman"/>
        </w:rPr>
        <w:t>•  Add adversarial evaluation: prompt-injection attacks on a hosted model, measuring what reaches the grid.</w:t>
      </w:r>
    </w:p>
    <w:p w:rsidR="00F5011A" w:rsidRDefault="008B1879">
      <w:r>
        <w:rPr>
          <w:rFonts w:cs="Times New Roman"/>
        </w:rPr>
        <w:t>A formal statement needs three ingredients: the model (the quasi-static AC power flow and the battery mode</w:t>
      </w:r>
      <w:r>
        <w:rPr>
          <w:rFonts w:cs="Times New Roman"/>
        </w:rPr>
        <w:t>l), the property (no executed action creates or worsens a violation of the configured limits) and the assumptions (monotone safety under scaling, the tolerance of the attribution rule). The first two can be written down directly; the third is where a verif</w:t>
      </w:r>
      <w:r>
        <w:rPr>
          <w:rFonts w:cs="Times New Roman"/>
        </w:rPr>
        <w:t>ier or an exhaustive test over a fine grid of actions would provide real evidence, because it is the assumption the bisection relies on.</w:t>
      </w:r>
    </w:p>
    <w:p w:rsidR="00F5011A" w:rsidRDefault="008B1879">
      <w:pPr>
        <w:pStyle w:val="Heading2"/>
      </w:pPr>
      <w:r>
        <w:t>Realism and Scale</w:t>
      </w:r>
    </w:p>
    <w:p w:rsidR="00F5011A" w:rsidRDefault="008B1879">
      <w:pPr>
        <w:spacing w:after="60"/>
        <w:ind w:left="720" w:hanging="360"/>
      </w:pPr>
      <w:r>
        <w:rPr>
          <w:rFonts w:cs="Times New Roman"/>
        </w:rPr>
        <w:t>•  Larger benchmark networks of the kind used in related work [2], with measured scaling of trial pow</w:t>
      </w:r>
      <w:r>
        <w:rPr>
          <w:rFonts w:cs="Times New Roman"/>
        </w:rPr>
        <w:t>er flows per step.</w:t>
      </w:r>
    </w:p>
    <w:p w:rsidR="00F5011A" w:rsidRDefault="008B1879">
      <w:pPr>
        <w:spacing w:after="60"/>
        <w:ind w:left="720" w:hanging="360"/>
      </w:pPr>
      <w:r>
        <w:rPr>
          <w:rFonts w:cs="Times New Roman"/>
        </w:rPr>
        <w:t>•  Three-phase unbalanced feeders, forecasts for solar and load, real tariffs and measured profiles in place of synthetic ones.</w:t>
      </w:r>
    </w:p>
    <w:p w:rsidR="00F5011A" w:rsidRDefault="008B1879">
      <w:pPr>
        <w:spacing w:after="60"/>
        <w:ind w:left="720" w:hanging="360"/>
      </w:pPr>
      <w:r>
        <w:rPr>
          <w:rFonts w:cs="Times New Roman"/>
        </w:rPr>
        <w:t>•  Dynamics and protection through a real-time simulator or hardware in the loop before any field use.</w:t>
      </w:r>
    </w:p>
    <w:p w:rsidR="00F5011A" w:rsidRDefault="008B1879">
      <w:r>
        <w:rPr>
          <w:rFonts w:cs="Times New Roman"/>
        </w:rPr>
        <w:t>Measur</w:t>
      </w:r>
      <w:r>
        <w:rPr>
          <w:rFonts w:cs="Times New Roman"/>
        </w:rPr>
        <w:t>ed profiles would also change the picture. Solar output on a real day, a metered household load shape and a real tariff would move the numbers for cost and renewable utilisation, and might change which scenarios are hard; the present synthetic profiles wer</w:t>
      </w:r>
      <w:r>
        <w:rPr>
          <w:rFonts w:cs="Times New Roman"/>
        </w:rPr>
        <w:t>e chosen to be transparent and reproducible, not to be representative.</w:t>
      </w:r>
    </w:p>
    <w:p w:rsidR="00F5011A" w:rsidRDefault="008B1879">
      <w:pPr>
        <w:pStyle w:val="Heading2"/>
      </w:pPr>
      <w:r>
        <w:t>Operator-Facing Features</w:t>
      </w:r>
    </w:p>
    <w:p w:rsidR="00F5011A" w:rsidRDefault="008B1879">
      <w:pPr>
        <w:spacing w:after="60"/>
        <w:ind w:left="720" w:hanging="360"/>
      </w:pPr>
      <w:r>
        <w:rPr>
          <w:rFonts w:cs="Times New Roman"/>
        </w:rPr>
        <w:t>•  Human-in-the-loop approval of projected and rejected actions, recorded in the same hash chain, following the human-oversight requirements discussed for agent</w:t>
      </w:r>
      <w:r>
        <w:rPr>
          <w:rFonts w:cs="Times New Roman"/>
        </w:rPr>
        <w:t>-assisted grid studies [3].</w:t>
      </w:r>
    </w:p>
    <w:p w:rsidR="00F5011A" w:rsidRDefault="008B1879">
      <w:pPr>
        <w:spacing w:after="60"/>
        <w:ind w:left="720" w:hanging="360"/>
      </w:pPr>
      <w:r>
        <w:rPr>
          <w:rFonts w:cs="Times New Roman"/>
        </w:rPr>
        <w:t>•  A Model Context Protocol tool interface for the simulator and the shield [3].</w:t>
      </w:r>
    </w:p>
    <w:p w:rsidR="00F5011A" w:rsidRDefault="008B1879">
      <w:pPr>
        <w:spacing w:after="60"/>
        <w:ind w:left="720" w:hanging="360"/>
      </w:pPr>
      <w:r>
        <w:rPr>
          <w:rFonts w:cs="Times New Roman"/>
        </w:rPr>
        <w:t>•  Real authentication, roles and server-side key storage, replacing the browser-side demo gate.</w:t>
      </w:r>
    </w:p>
    <w:p w:rsidR="00F5011A" w:rsidRDefault="008B1879">
      <w:pPr>
        <w:spacing w:after="60"/>
        <w:ind w:left="720" w:hanging="360"/>
      </w:pPr>
      <w:r>
        <w:rPr>
          <w:rFonts w:cs="Times New Roman"/>
        </w:rPr>
        <w:t xml:space="preserve">•  A user study of the decision lane, dry run and </w:t>
      </w:r>
      <w:r>
        <w:rPr>
          <w:rFonts w:cs="Times New Roman"/>
        </w:rPr>
        <w:t>audit view with students and operators.</w:t>
      </w:r>
    </w:p>
    <w:p w:rsidR="00F5011A" w:rsidRDefault="008B1879">
      <w:r>
        <w:rPr>
          <w:rFonts w:cs="Times New Roman"/>
        </w:rPr>
        <w:lastRenderedPageBreak/>
        <w:t>The order in which these should be done is: approval workflow first, because it changes the role of the shield from automatic to supervised; the tool interface second, because it lets other agents use the system; the</w:t>
      </w:r>
      <w:r>
        <w:rPr>
          <w:rFonts w:cs="Times New Roman"/>
        </w:rPr>
        <w:t xml:space="preserve"> user study third, because it needs the first two to be meaningful; authentication last, because it matters only once a deployment target exists.</w:t>
      </w:r>
    </w:p>
    <w:p w:rsidR="00F5011A" w:rsidRDefault="008B1879">
      <w:pPr>
        <w:pStyle w:val="Heading2"/>
      </w:pPr>
      <w:r>
        <w:t>Engineering Clean-up</w:t>
      </w:r>
    </w:p>
    <w:p w:rsidR="00F5011A" w:rsidRDefault="008B1879">
      <w:pPr>
        <w:spacing w:after="60"/>
        <w:ind w:left="720" w:hanging="360"/>
      </w:pPr>
      <w:r>
        <w:rPr>
          <w:rFonts w:cs="Times New Roman"/>
        </w:rPr>
        <w:t>•  Repair the two failing grid tests (compute the expected value in the test instead of f</w:t>
      </w:r>
      <w:r>
        <w:rPr>
          <w:rFonts w:cs="Times New Roman"/>
        </w:rPr>
        <w:t>ixing 10.0 kW and -3.123 kW) and the hanging WebSocket test (use an asynchronous client).</w:t>
      </w:r>
    </w:p>
    <w:p w:rsidR="00F5011A" w:rsidRDefault="008B1879">
      <w:pPr>
        <w:spacing w:after="60"/>
        <w:ind w:left="720" w:hanging="360"/>
      </w:pPr>
      <w:r>
        <w:rPr>
          <w:rFonts w:cs="Times New Roman"/>
        </w:rPr>
        <w:t>•  Reduce the roughly threefold step-time cost of the shield with sensitivity screening or cached factorisations.</w:t>
      </w:r>
    </w:p>
    <w:p w:rsidR="00F5011A" w:rsidRDefault="008B1879">
      <w:pPr>
        <w:spacing w:after="60"/>
        <w:ind w:left="720" w:hanging="360"/>
      </w:pPr>
      <w:r>
        <w:rPr>
          <w:rFonts w:cs="Times New Roman"/>
        </w:rPr>
        <w:t>•  Containerise, add server-side persistence and run</w:t>
      </w:r>
      <w:r>
        <w:rPr>
          <w:rFonts w:cs="Times New Roman"/>
        </w:rPr>
        <w:t xml:space="preserve"> the experiment as a scheduled job with archived results.</w:t>
      </w:r>
    </w:p>
    <w:p w:rsidR="00F5011A" w:rsidRDefault="008B1879">
      <w:pPr>
        <w:pStyle w:val="Heading2"/>
      </w:pPr>
      <w:r>
        <w:t>Suggested Order of Work</w:t>
      </w:r>
    </w:p>
    <w:p w:rsidR="00F5011A" w:rsidRDefault="008B187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Roadmap</w:t>
      </w:r>
    </w:p>
    <w:tbl>
      <w:tblPr>
        <w:tblStyle w:val="TableGrid"/>
        <w:tblW w:w="0" w:type="auto"/>
        <w:jc w:val="center"/>
        <w:tblLook w:val="04A0" w:firstRow="1" w:lastRow="0" w:firstColumn="1" w:lastColumn="0" w:noHBand="0" w:noVBand="1"/>
      </w:tblPr>
      <w:tblGrid>
        <w:gridCol w:w="717"/>
        <w:gridCol w:w="4545"/>
        <w:gridCol w:w="3980"/>
      </w:tblGrid>
      <w:tr w:rsidR="00F5011A">
        <w:trPr>
          <w:cantSplit/>
          <w:tblHeader/>
          <w:jc w:val="center"/>
        </w:trPr>
        <w:tc>
          <w:tcPr>
            <w:tcW w:w="720" w:type="dxa"/>
            <w:shd w:val="clear" w:color="auto" w:fill="1B2A41"/>
          </w:tcPr>
          <w:p w:rsidR="00F5011A" w:rsidRDefault="008B1879">
            <w:pPr>
              <w:spacing w:after="40" w:line="240" w:lineRule="auto"/>
              <w:jc w:val="center"/>
            </w:pPr>
            <w:r>
              <w:rPr>
                <w:rFonts w:cs="Times New Roman"/>
                <w:b/>
                <w:color w:val="FFFFFF"/>
                <w:sz w:val="19"/>
              </w:rPr>
              <w:t>Step</w:t>
            </w:r>
          </w:p>
        </w:tc>
        <w:tc>
          <w:tcPr>
            <w:tcW w:w="4608" w:type="dxa"/>
            <w:shd w:val="clear" w:color="auto" w:fill="1B2A41"/>
          </w:tcPr>
          <w:p w:rsidR="00F5011A" w:rsidRDefault="008B1879">
            <w:pPr>
              <w:spacing w:after="40" w:line="240" w:lineRule="auto"/>
              <w:jc w:val="center"/>
            </w:pPr>
            <w:r>
              <w:rPr>
                <w:rFonts w:cs="Times New Roman"/>
                <w:b/>
                <w:color w:val="FFFFFF"/>
                <w:sz w:val="19"/>
              </w:rPr>
              <w:t>Work</w:t>
            </w:r>
          </w:p>
        </w:tc>
        <w:tc>
          <w:tcPr>
            <w:tcW w:w="4032" w:type="dxa"/>
            <w:shd w:val="clear" w:color="auto" w:fill="1B2A41"/>
          </w:tcPr>
          <w:p w:rsidR="00F5011A" w:rsidRDefault="008B1879">
            <w:pPr>
              <w:spacing w:after="40" w:line="240" w:lineRule="auto"/>
              <w:jc w:val="center"/>
            </w:pPr>
            <w:r>
              <w:rPr>
                <w:rFonts w:cs="Times New Roman"/>
                <w:b/>
                <w:color w:val="FFFFFF"/>
                <w:sz w:val="19"/>
              </w:rPr>
              <w:t>Result expected</w:t>
            </w:r>
          </w:p>
        </w:tc>
      </w:tr>
      <w:tr w:rsidR="00F5011A">
        <w:trPr>
          <w:cantSplit/>
          <w:jc w:val="center"/>
        </w:trPr>
        <w:tc>
          <w:tcPr>
            <w:tcW w:w="720" w:type="dxa"/>
          </w:tcPr>
          <w:p w:rsidR="00F5011A" w:rsidRDefault="008B1879">
            <w:pPr>
              <w:spacing w:after="40" w:line="240" w:lineRule="auto"/>
              <w:jc w:val="center"/>
            </w:pPr>
            <w:r>
              <w:rPr>
                <w:rFonts w:cs="Times New Roman"/>
                <w:sz w:val="19"/>
              </w:rPr>
              <w:t>1</w:t>
            </w:r>
          </w:p>
        </w:tc>
        <w:tc>
          <w:tcPr>
            <w:tcW w:w="4608" w:type="dxa"/>
          </w:tcPr>
          <w:p w:rsidR="00F5011A" w:rsidRDefault="008B1879">
            <w:pPr>
              <w:spacing w:after="40" w:line="240" w:lineRule="auto"/>
              <w:jc w:val="left"/>
            </w:pPr>
            <w:r>
              <w:rPr>
                <w:rFonts w:cs="Times New Roman"/>
                <w:sz w:val="19"/>
              </w:rPr>
              <w:t>Repair the two grid tests and the WebSocket test</w:t>
            </w:r>
          </w:p>
        </w:tc>
        <w:tc>
          <w:tcPr>
            <w:tcW w:w="4032" w:type="dxa"/>
          </w:tcPr>
          <w:p w:rsidR="00F5011A" w:rsidRDefault="008B1879">
            <w:pPr>
              <w:spacing w:after="40" w:line="240" w:lineRule="auto"/>
              <w:jc w:val="left"/>
            </w:pPr>
            <w:r>
              <w:rPr>
                <w:rFonts w:cs="Times New Roman"/>
                <w:sz w:val="19"/>
              </w:rPr>
              <w:t>A green regression suite</w:t>
            </w:r>
          </w:p>
        </w:tc>
      </w:tr>
      <w:tr w:rsidR="00F5011A">
        <w:trPr>
          <w:cantSplit/>
          <w:jc w:val="center"/>
        </w:trPr>
        <w:tc>
          <w:tcPr>
            <w:tcW w:w="720" w:type="dxa"/>
          </w:tcPr>
          <w:p w:rsidR="00F5011A" w:rsidRDefault="008B1879">
            <w:pPr>
              <w:spacing w:after="40" w:line="240" w:lineRule="auto"/>
              <w:jc w:val="center"/>
            </w:pPr>
            <w:r>
              <w:rPr>
                <w:rFonts w:cs="Times New Roman"/>
                <w:sz w:val="19"/>
              </w:rPr>
              <w:t>2</w:t>
            </w:r>
          </w:p>
        </w:tc>
        <w:tc>
          <w:tcPr>
            <w:tcW w:w="4608" w:type="dxa"/>
          </w:tcPr>
          <w:p w:rsidR="00F5011A" w:rsidRDefault="008B1879">
            <w:pPr>
              <w:spacing w:after="40" w:line="240" w:lineRule="auto"/>
              <w:jc w:val="left"/>
            </w:pPr>
            <w:r>
              <w:rPr>
                <w:rFonts w:cs="Times New Roman"/>
                <w:sz w:val="19"/>
              </w:rPr>
              <w:t xml:space="preserve">Run the 63-run experiment </w:t>
            </w:r>
            <w:r>
              <w:rPr>
                <w:rFonts w:cs="Times New Roman"/>
                <w:sz w:val="19"/>
              </w:rPr>
              <w:t>with a hosted model and at least ten seeds</w:t>
            </w:r>
          </w:p>
        </w:tc>
        <w:tc>
          <w:tcPr>
            <w:tcW w:w="4032" w:type="dxa"/>
          </w:tcPr>
          <w:p w:rsidR="00F5011A" w:rsidRDefault="008B1879">
            <w:pPr>
              <w:spacing w:after="40" w:line="240" w:lineRule="auto"/>
              <w:jc w:val="left"/>
            </w:pPr>
            <w:r>
              <w:rPr>
                <w:rFonts w:cs="Times New Roman"/>
                <w:sz w:val="19"/>
              </w:rPr>
              <w:t>Real latency, cost, fallback rate; the shield's benefit against a real proposer</w:t>
            </w:r>
          </w:p>
        </w:tc>
      </w:tr>
      <w:tr w:rsidR="00F5011A">
        <w:trPr>
          <w:cantSplit/>
          <w:jc w:val="center"/>
        </w:trPr>
        <w:tc>
          <w:tcPr>
            <w:tcW w:w="720" w:type="dxa"/>
          </w:tcPr>
          <w:p w:rsidR="00F5011A" w:rsidRDefault="008B1879">
            <w:pPr>
              <w:spacing w:after="40" w:line="240" w:lineRule="auto"/>
              <w:jc w:val="center"/>
            </w:pPr>
            <w:r>
              <w:rPr>
                <w:rFonts w:cs="Times New Roman"/>
                <w:sz w:val="19"/>
              </w:rPr>
              <w:t>3</w:t>
            </w:r>
          </w:p>
        </w:tc>
        <w:tc>
          <w:tcPr>
            <w:tcW w:w="4608" w:type="dxa"/>
          </w:tcPr>
          <w:p w:rsidR="00F5011A" w:rsidRDefault="008B1879">
            <w:pPr>
              <w:spacing w:after="40" w:line="240" w:lineRule="auto"/>
              <w:jc w:val="left"/>
            </w:pPr>
            <w:r>
              <w:rPr>
                <w:rFonts w:cs="Times New Roman"/>
                <w:sz w:val="19"/>
              </w:rPr>
              <w:t>Add a resolution metric and a revise-after-veto loop</w:t>
            </w:r>
          </w:p>
        </w:tc>
        <w:tc>
          <w:tcPr>
            <w:tcW w:w="4032" w:type="dxa"/>
          </w:tcPr>
          <w:p w:rsidR="00F5011A" w:rsidRDefault="008B1879">
            <w:pPr>
              <w:spacing w:after="40" w:line="240" w:lineRule="auto"/>
              <w:jc w:val="left"/>
            </w:pPr>
            <w:r>
              <w:rPr>
                <w:rFonts w:cs="Times New Roman"/>
                <w:sz w:val="19"/>
              </w:rPr>
              <w:t>Evidence on whether the planner can clear pre-existing violations</w:t>
            </w:r>
          </w:p>
        </w:tc>
      </w:tr>
      <w:tr w:rsidR="00F5011A">
        <w:trPr>
          <w:cantSplit/>
          <w:jc w:val="center"/>
        </w:trPr>
        <w:tc>
          <w:tcPr>
            <w:tcW w:w="720" w:type="dxa"/>
          </w:tcPr>
          <w:p w:rsidR="00F5011A" w:rsidRDefault="008B1879">
            <w:pPr>
              <w:spacing w:after="40" w:line="240" w:lineRule="auto"/>
              <w:jc w:val="center"/>
            </w:pPr>
            <w:r>
              <w:rPr>
                <w:rFonts w:cs="Times New Roman"/>
                <w:sz w:val="19"/>
              </w:rPr>
              <w:t>4</w:t>
            </w:r>
          </w:p>
        </w:tc>
        <w:tc>
          <w:tcPr>
            <w:tcW w:w="4608" w:type="dxa"/>
          </w:tcPr>
          <w:p w:rsidR="00F5011A" w:rsidRDefault="008B1879">
            <w:pPr>
              <w:spacing w:after="40" w:line="240" w:lineRule="auto"/>
              <w:jc w:val="left"/>
            </w:pPr>
            <w:r>
              <w:rPr>
                <w:rFonts w:cs="Times New Roman"/>
                <w:sz w:val="19"/>
              </w:rPr>
              <w:t xml:space="preserve">Move to </w:t>
            </w:r>
            <w:r>
              <w:rPr>
                <w:rFonts w:cs="Times New Roman"/>
                <w:sz w:val="19"/>
              </w:rPr>
              <w:t>benchmark feeders and a three-phase model</w:t>
            </w:r>
          </w:p>
        </w:tc>
        <w:tc>
          <w:tcPr>
            <w:tcW w:w="4032" w:type="dxa"/>
          </w:tcPr>
          <w:p w:rsidR="00F5011A" w:rsidRDefault="008B1879">
            <w:pPr>
              <w:spacing w:after="40" w:line="240" w:lineRule="auto"/>
              <w:jc w:val="left"/>
            </w:pPr>
            <w:r>
              <w:rPr>
                <w:rFonts w:cs="Times New Roman"/>
                <w:sz w:val="19"/>
              </w:rPr>
              <w:t>Scaling behaviour of trial power flows; relevance beyond three nodes</w:t>
            </w:r>
          </w:p>
        </w:tc>
      </w:tr>
      <w:tr w:rsidR="00F5011A">
        <w:trPr>
          <w:cantSplit/>
          <w:jc w:val="center"/>
        </w:trPr>
        <w:tc>
          <w:tcPr>
            <w:tcW w:w="720" w:type="dxa"/>
          </w:tcPr>
          <w:p w:rsidR="00F5011A" w:rsidRDefault="008B1879">
            <w:pPr>
              <w:spacing w:after="40" w:line="240" w:lineRule="auto"/>
              <w:jc w:val="center"/>
            </w:pPr>
            <w:r>
              <w:rPr>
                <w:rFonts w:cs="Times New Roman"/>
                <w:sz w:val="19"/>
              </w:rPr>
              <w:t>5</w:t>
            </w:r>
          </w:p>
        </w:tc>
        <w:tc>
          <w:tcPr>
            <w:tcW w:w="4608" w:type="dxa"/>
          </w:tcPr>
          <w:p w:rsidR="00F5011A" w:rsidRDefault="008B1879">
            <w:pPr>
              <w:spacing w:after="40" w:line="240" w:lineRule="auto"/>
              <w:jc w:val="left"/>
            </w:pPr>
            <w:r>
              <w:rPr>
                <w:rFonts w:cs="Times New Roman"/>
                <w:sz w:val="19"/>
              </w:rPr>
              <w:t>Human approval workflow and a user study</w:t>
            </w:r>
          </w:p>
        </w:tc>
        <w:tc>
          <w:tcPr>
            <w:tcW w:w="4032" w:type="dxa"/>
          </w:tcPr>
          <w:p w:rsidR="00F5011A" w:rsidRDefault="008B1879">
            <w:pPr>
              <w:spacing w:after="40" w:line="240" w:lineRule="auto"/>
              <w:jc w:val="left"/>
            </w:pPr>
            <w:r>
              <w:rPr>
                <w:rFonts w:cs="Times New Roman"/>
                <w:sz w:val="19"/>
              </w:rPr>
              <w:t>Usability and trust data</w:t>
            </w:r>
          </w:p>
        </w:tc>
      </w:tr>
      <w:tr w:rsidR="00F5011A">
        <w:trPr>
          <w:cantSplit/>
          <w:jc w:val="center"/>
        </w:trPr>
        <w:tc>
          <w:tcPr>
            <w:tcW w:w="720" w:type="dxa"/>
          </w:tcPr>
          <w:p w:rsidR="00F5011A" w:rsidRDefault="008B1879">
            <w:pPr>
              <w:spacing w:after="40" w:line="240" w:lineRule="auto"/>
              <w:jc w:val="center"/>
            </w:pPr>
            <w:r>
              <w:rPr>
                <w:rFonts w:cs="Times New Roman"/>
                <w:sz w:val="19"/>
              </w:rPr>
              <w:t>6</w:t>
            </w:r>
          </w:p>
        </w:tc>
        <w:tc>
          <w:tcPr>
            <w:tcW w:w="4608" w:type="dxa"/>
          </w:tcPr>
          <w:p w:rsidR="00F5011A" w:rsidRDefault="008B1879">
            <w:pPr>
              <w:spacing w:after="40" w:line="240" w:lineRule="auto"/>
              <w:jc w:val="left"/>
            </w:pPr>
            <w:r>
              <w:rPr>
                <w:rFonts w:cs="Times New Roman"/>
                <w:sz w:val="19"/>
              </w:rPr>
              <w:t>Formal statement and verification of the shield's guarantee</w:t>
            </w:r>
          </w:p>
        </w:tc>
        <w:tc>
          <w:tcPr>
            <w:tcW w:w="4032" w:type="dxa"/>
          </w:tcPr>
          <w:p w:rsidR="00F5011A" w:rsidRDefault="008B1879">
            <w:pPr>
              <w:spacing w:after="40" w:line="240" w:lineRule="auto"/>
              <w:jc w:val="left"/>
            </w:pPr>
            <w:r>
              <w:rPr>
                <w:rFonts w:cs="Times New Roman"/>
                <w:sz w:val="19"/>
              </w:rPr>
              <w:t>A stronger, m</w:t>
            </w:r>
            <w:r>
              <w:rPr>
                <w:rFonts w:cs="Times New Roman"/>
                <w:sz w:val="19"/>
              </w:rPr>
              <w:t>odel-relative guarantee with stated assumptions</w:t>
            </w:r>
          </w:p>
        </w:tc>
      </w:tr>
    </w:tbl>
    <w:p w:rsidR="00F5011A" w:rsidRDefault="00F5011A">
      <w:pPr>
        <w:spacing w:after="40" w:line="144" w:lineRule="auto"/>
      </w:pPr>
    </w:p>
    <w:p w:rsidR="00F5011A" w:rsidRDefault="008B1879">
      <w:r>
        <w:rPr>
          <w:rFonts w:cs="Times New Roman"/>
        </w:rPr>
        <w:t>The first two steps are cheap and answer the questions a reader will ask first; the others each open a new line of work and can proceed in parallel once a real model is available.</w:t>
      </w:r>
    </w:p>
    <w:p w:rsidR="00F5011A" w:rsidRDefault="008B1879">
      <w:r>
        <w:br w:type="page"/>
      </w:r>
    </w:p>
    <w:p w:rsidR="00F5011A" w:rsidRDefault="008B1879">
      <w:pPr>
        <w:pStyle w:val="Heading1"/>
      </w:pPr>
      <w:r>
        <w:lastRenderedPageBreak/>
        <w:t>REFERENCES</w:t>
      </w:r>
    </w:p>
    <w:p w:rsidR="00F5011A" w:rsidRDefault="008B1879">
      <w:pPr>
        <w:spacing w:after="100" w:line="276" w:lineRule="auto"/>
        <w:ind w:left="648" w:hanging="648"/>
      </w:pPr>
      <w:r>
        <w:rPr>
          <w:rFonts w:cs="Times New Roman"/>
          <w:sz w:val="20"/>
        </w:rPr>
        <w:t xml:space="preserve">[1]  S. E. </w:t>
      </w:r>
      <w:r>
        <w:rPr>
          <w:rFonts w:cs="Times New Roman"/>
          <w:sz w:val="20"/>
        </w:rPr>
        <w:t>Eyimaya and N. Altin, "Design of multi-agent-based energy management system for DC microgrids," IEEE Access, vol. 14, pp. 39120-39133, 2026, doi: 10.1109/ACCESS.2026.3672618.</w:t>
      </w:r>
    </w:p>
    <w:p w:rsidR="00F5011A" w:rsidRDefault="008B1879">
      <w:pPr>
        <w:spacing w:after="100" w:line="276" w:lineRule="auto"/>
        <w:ind w:left="648" w:hanging="648"/>
      </w:pPr>
      <w:r>
        <w:rPr>
          <w:rFonts w:cs="Times New Roman"/>
          <w:sz w:val="20"/>
        </w:rPr>
        <w:t>[2]  Y. Zhang, A. M. Saber, A. Youssef, and D. Kundur, "Grid-Agent: An LLM-powere</w:t>
      </w:r>
      <w:r>
        <w:rPr>
          <w:rFonts w:cs="Times New Roman"/>
          <w:sz w:val="20"/>
        </w:rPr>
        <w:t>d multi-agent system for power grid control," arXiv:2508.05702, Aug. 2025.</w:t>
      </w:r>
    </w:p>
    <w:p w:rsidR="00F5011A" w:rsidRDefault="008B1879">
      <w:pPr>
        <w:spacing w:after="100" w:line="276" w:lineRule="auto"/>
        <w:ind w:left="648" w:hanging="648"/>
      </w:pPr>
      <w:r>
        <w:rPr>
          <w:rFonts w:cs="Times New Roman"/>
          <w:sz w:val="20"/>
        </w:rPr>
        <w:t>[3]  J. Picault and C. Goubet, "Orchestrating power grid studies with multi-agent AI and MCP servers," arXiv:2607.14158, Jul. 2026.</w:t>
      </w:r>
    </w:p>
    <w:p w:rsidR="00F5011A" w:rsidRDefault="008B1879">
      <w:pPr>
        <w:spacing w:after="100" w:line="276" w:lineRule="auto"/>
        <w:ind w:left="648" w:hanging="648"/>
      </w:pPr>
      <w:r>
        <w:rPr>
          <w:rFonts w:cs="Times New Roman"/>
          <w:sz w:val="20"/>
        </w:rPr>
        <w:t>[4]  "Multi-agent deep reinforcement learning for</w:t>
      </w:r>
      <w:r>
        <w:rPr>
          <w:rFonts w:cs="Times New Roman"/>
          <w:sz w:val="20"/>
        </w:rPr>
        <w:t xml:space="preserve"> energy-efficient smart grid management," in Proc. 1st Int. Conf. Intelligent Methods and Advanced Computer Scientific Innovations, 2025. (Authors not recorded in the batch survey.)</w:t>
      </w:r>
    </w:p>
    <w:p w:rsidR="00F5011A" w:rsidRDefault="008B1879">
      <w:pPr>
        <w:spacing w:after="100" w:line="276" w:lineRule="auto"/>
        <w:ind w:left="648" w:hanging="648"/>
      </w:pPr>
      <w:r>
        <w:rPr>
          <w:rFonts w:cs="Times New Roman"/>
          <w:sz w:val="20"/>
        </w:rPr>
        <w:t>[5]  "Energy system fault reconstruction control strategy based on multi-a</w:t>
      </w:r>
      <w:r>
        <w:rPr>
          <w:rFonts w:cs="Times New Roman"/>
          <w:sz w:val="20"/>
        </w:rPr>
        <w:t>gent deep reinforcement learning," in Proc. 6th Int. Conf. Energy, Power and Grid (ICEPG), 2024. (Authors not recorded in the batch survey.)</w:t>
      </w:r>
    </w:p>
    <w:p w:rsidR="00F5011A" w:rsidRDefault="008B1879">
      <w:pPr>
        <w:spacing w:after="100" w:line="276" w:lineRule="auto"/>
        <w:ind w:left="648" w:hanging="648"/>
      </w:pPr>
      <w:r>
        <w:rPr>
          <w:rFonts w:cs="Times New Roman"/>
          <w:sz w:val="20"/>
        </w:rPr>
        <w:t>[6]  "Distributed optimal scheduling for electric vehicles considering the multi-agent demands of electric vehicles</w:t>
      </w:r>
      <w:r>
        <w:rPr>
          <w:rFonts w:cs="Times New Roman"/>
          <w:sz w:val="20"/>
        </w:rPr>
        <w:t>, charging stations and power grid," in Proc. 3rd Int. Conf. Power, Grid and Energy Storage, 2025. (Authors not recorded in the batch survey.)</w:t>
      </w:r>
    </w:p>
    <w:p w:rsidR="00F5011A" w:rsidRDefault="008B1879">
      <w:pPr>
        <w:spacing w:after="100" w:line="276" w:lineRule="auto"/>
        <w:ind w:left="648" w:hanging="648"/>
      </w:pPr>
      <w:r>
        <w:rPr>
          <w:rFonts w:cs="Times New Roman"/>
          <w:sz w:val="20"/>
        </w:rPr>
        <w:t>[7]  "Multi-agent systems in power system: A comprehensive review of energy management in power grid," in Smart G</w:t>
      </w:r>
      <w:r>
        <w:rPr>
          <w:rFonts w:cs="Times New Roman"/>
          <w:sz w:val="20"/>
        </w:rPr>
        <w:t>rid Security and Protection, Lecture Notes in Electrical Engineering, 2025. (Authors not recorded in the batch survey.)</w:t>
      </w:r>
    </w:p>
    <w:p w:rsidR="00F5011A" w:rsidRDefault="008B1879">
      <w:pPr>
        <w:spacing w:after="100" w:line="276" w:lineRule="auto"/>
        <w:ind w:left="648" w:hanging="648"/>
      </w:pPr>
      <w:r>
        <w:rPr>
          <w:rFonts w:cs="Times New Roman"/>
          <w:sz w:val="20"/>
        </w:rPr>
        <w:t>[8]  S. D. J. McArthur et al., "Multi-agent systems for power engineering applications - Part I: Concepts, approaches, and technical cha</w:t>
      </w:r>
      <w:r>
        <w:rPr>
          <w:rFonts w:cs="Times New Roman"/>
          <w:sz w:val="20"/>
        </w:rPr>
        <w:t>llenges," IEEE Trans. Power Syst., vol. 22, no. 4, pp. 1743-1752, Nov. 2007, doi: 10.1109/TPWRS.2007.908471.</w:t>
      </w:r>
    </w:p>
    <w:p w:rsidR="00F5011A" w:rsidRDefault="008B1879">
      <w:pPr>
        <w:spacing w:after="100" w:line="276" w:lineRule="auto"/>
        <w:ind w:left="648" w:hanging="648"/>
      </w:pPr>
      <w:r>
        <w:rPr>
          <w:rFonts w:cs="Times New Roman"/>
          <w:sz w:val="20"/>
        </w:rPr>
        <w:t>[9]  R. H. Lasseter, "MicroGrids," in Proc. IEEE Power Eng. Soc. Winter Meeting, vol. 1, 2002, pp. 305-308, doi: 10.1109/PESW.2002.985003.</w:t>
      </w:r>
    </w:p>
    <w:p w:rsidR="00F5011A" w:rsidRDefault="008B1879">
      <w:pPr>
        <w:spacing w:after="100" w:line="276" w:lineRule="auto"/>
        <w:ind w:left="648" w:hanging="648"/>
      </w:pPr>
      <w:r>
        <w:rPr>
          <w:rFonts w:cs="Times New Roman"/>
          <w:sz w:val="20"/>
        </w:rPr>
        <w:t>[10]  H.</w:t>
      </w:r>
      <w:r>
        <w:rPr>
          <w:rFonts w:cs="Times New Roman"/>
          <w:sz w:val="20"/>
        </w:rPr>
        <w:t xml:space="preserve"> Farhangi, "The path of the smart grid," IEEE Power Energy Mag., vol. 8, no. 1, pp. 18-28, Jan./Feb. 2010, doi: 10.1109/MPE.2009.934876.</w:t>
      </w:r>
    </w:p>
    <w:p w:rsidR="00F5011A" w:rsidRDefault="008B1879">
      <w:pPr>
        <w:spacing w:after="100" w:line="276" w:lineRule="auto"/>
        <w:ind w:left="648" w:hanging="648"/>
      </w:pPr>
      <w:r>
        <w:rPr>
          <w:rFonts w:cs="Times New Roman"/>
          <w:sz w:val="20"/>
        </w:rPr>
        <w:t>[11]  L. Thurner et al., "pandapower - An open-source Python tool for convenient modeling, analysis, and optimization o</w:t>
      </w:r>
      <w:r>
        <w:rPr>
          <w:rFonts w:cs="Times New Roman"/>
          <w:sz w:val="20"/>
        </w:rPr>
        <w:t>f electric power systems," IEEE Trans. Power Syst., vol. 33, no. 6, pp. 6510-6521, Nov. 2018, doi: 10.1109/TPWRS.2018.2829021.</w:t>
      </w:r>
    </w:p>
    <w:p w:rsidR="00F5011A" w:rsidRDefault="008B1879">
      <w:pPr>
        <w:spacing w:after="100" w:line="276" w:lineRule="auto"/>
        <w:ind w:left="648" w:hanging="648"/>
      </w:pPr>
      <w:r>
        <w:rPr>
          <w:rFonts w:cs="Times New Roman"/>
          <w:sz w:val="20"/>
        </w:rPr>
        <w:t xml:space="preserve">[12]  M. Alshiekh, R. Bloem, R. Ehlers, B. Konighofer, S. Niekum, and U. Topcu, "Safe reinforcement learning via shielding," in </w:t>
      </w:r>
      <w:r>
        <w:rPr>
          <w:rFonts w:cs="Times New Roman"/>
          <w:sz w:val="20"/>
        </w:rPr>
        <w:t>Proc. AAAI Conf. Artif. Intell., 2018, pp. 2669-2678.</w:t>
      </w:r>
    </w:p>
    <w:p w:rsidR="00F5011A" w:rsidRDefault="008B1879">
      <w:pPr>
        <w:spacing w:after="100" w:line="276" w:lineRule="auto"/>
        <w:ind w:left="648" w:hanging="648"/>
      </w:pPr>
      <w:r>
        <w:rPr>
          <w:rFonts w:cs="Times New Roman"/>
          <w:sz w:val="20"/>
        </w:rPr>
        <w:t>[13]  G. Dalal, K. Dvijotham, M. Vecerik, T. Hester, C. Paduraru, and Y. Tassa, "Safe exploration in continuous action spaces," arXiv:1801.08757, 2018.</w:t>
      </w:r>
    </w:p>
    <w:p w:rsidR="00F5011A" w:rsidRDefault="008B1879">
      <w:pPr>
        <w:spacing w:after="100" w:line="276" w:lineRule="auto"/>
        <w:ind w:left="648" w:hanging="648"/>
      </w:pPr>
      <w:r>
        <w:rPr>
          <w:rFonts w:cs="Times New Roman"/>
          <w:sz w:val="20"/>
        </w:rPr>
        <w:t>[14]  J. Garcia and F. Fernandez, "A comprehensive</w:t>
      </w:r>
      <w:r>
        <w:rPr>
          <w:rFonts w:cs="Times New Roman"/>
          <w:sz w:val="20"/>
        </w:rPr>
        <w:t xml:space="preserve"> survey on safe reinforcement learning," J. Mach. Learn. Res., vol. 16, pp. 1437-1480, 2015.</w:t>
      </w:r>
    </w:p>
    <w:p w:rsidR="00F5011A" w:rsidRDefault="008B1879">
      <w:pPr>
        <w:spacing w:after="100" w:line="276" w:lineRule="auto"/>
        <w:ind w:left="648" w:hanging="648"/>
      </w:pPr>
      <w:r>
        <w:rPr>
          <w:rFonts w:cs="Times New Roman"/>
          <w:sz w:val="20"/>
        </w:rPr>
        <w:t>[15]  D. Amodei, C. Olah, J. Steinhardt, P. Christiano, J. Schulman, and D. Mane, "Concrete problems in AI safety," arXiv:1606.06565, 2016.</w:t>
      </w:r>
    </w:p>
    <w:p w:rsidR="00F5011A" w:rsidRDefault="008B1879">
      <w:pPr>
        <w:spacing w:after="100" w:line="276" w:lineRule="auto"/>
        <w:ind w:left="648" w:hanging="648"/>
      </w:pPr>
      <w:r>
        <w:rPr>
          <w:rFonts w:cs="Times New Roman"/>
          <w:sz w:val="20"/>
        </w:rPr>
        <w:t>[16]  S. Yao et al., "R</w:t>
      </w:r>
      <w:r>
        <w:rPr>
          <w:rFonts w:cs="Times New Roman"/>
          <w:sz w:val="20"/>
        </w:rPr>
        <w:t>eAct: Synergizing reasoning and acting in language models," in Proc. Int. Conf. Learn. Represent. (ICLR), 2023.</w:t>
      </w:r>
    </w:p>
    <w:p w:rsidR="00F5011A" w:rsidRDefault="008B1879">
      <w:pPr>
        <w:spacing w:after="100" w:line="276" w:lineRule="auto"/>
        <w:ind w:left="648" w:hanging="648"/>
      </w:pPr>
      <w:r>
        <w:rPr>
          <w:rFonts w:cs="Times New Roman"/>
          <w:sz w:val="20"/>
        </w:rPr>
        <w:t>[17]  M. Turpin, J. Michael, E. Perez, and S. R. Bowman, "Language models don't always say what they think: Unfaithful explanations in chain-of-</w:t>
      </w:r>
      <w:r>
        <w:rPr>
          <w:rFonts w:cs="Times New Roman"/>
          <w:sz w:val="20"/>
        </w:rPr>
        <w:t>thought prompting," in Proc. Adv. Neural Inf. Process. Syst. (NeurIPS), 2023.</w:t>
      </w:r>
    </w:p>
    <w:p w:rsidR="00F5011A" w:rsidRDefault="008B1879">
      <w:pPr>
        <w:spacing w:after="100" w:line="276" w:lineRule="auto"/>
        <w:ind w:left="648" w:hanging="648"/>
      </w:pPr>
      <w:r>
        <w:rPr>
          <w:rFonts w:cs="Times New Roman"/>
          <w:sz w:val="20"/>
        </w:rPr>
        <w:t>[18]  M. Wooldridge, An Introduction to MultiAgent Systems, 2nd ed. Chichester, U.K.: Wiley, 2009.</w:t>
      </w:r>
    </w:p>
    <w:p w:rsidR="00F5011A" w:rsidRDefault="008B1879">
      <w:pPr>
        <w:spacing w:after="100" w:line="276" w:lineRule="auto"/>
        <w:ind w:left="648" w:hanging="648"/>
      </w:pPr>
      <w:r>
        <w:rPr>
          <w:rFonts w:cs="Times New Roman"/>
          <w:sz w:val="20"/>
        </w:rPr>
        <w:t>[19]  Voltage Characteristics of Electricity Supplied by Public Electricity Net</w:t>
      </w:r>
      <w:r>
        <w:rPr>
          <w:rFonts w:cs="Times New Roman"/>
          <w:sz w:val="20"/>
        </w:rPr>
        <w:t>works, European Standard EN 50160:2010, CENELEC, 2010.</w:t>
      </w:r>
    </w:p>
    <w:p w:rsidR="00F5011A" w:rsidRDefault="008B1879">
      <w:pPr>
        <w:spacing w:after="100" w:line="276" w:lineRule="auto"/>
        <w:ind w:left="648" w:hanging="648"/>
      </w:pPr>
      <w:r>
        <w:rPr>
          <w:rFonts w:cs="Times New Roman"/>
          <w:sz w:val="20"/>
        </w:rPr>
        <w:t>[20]  Secure Hash Standard (SHS), Federal Information Processing Standards Publication FIPS 180-4, NIST, Aug. 2015.</w:t>
      </w:r>
    </w:p>
    <w:sectPr w:rsidR="00F5011A" w:rsidSect="00034616">
      <w:headerReference w:type="default" r:id="rId9"/>
      <w:footerReference w:type="default" r:id="rId10"/>
      <w:pgSz w:w="11906" w:h="16838"/>
      <w:pgMar w:top="1296"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B1879">
      <w:pPr>
        <w:spacing w:after="0" w:line="240" w:lineRule="auto"/>
      </w:pPr>
      <w:r>
        <w:separator/>
      </w:r>
    </w:p>
  </w:endnote>
  <w:endnote w:type="continuationSeparator" w:id="0">
    <w:p w:rsidR="00000000" w:rsidRDefault="008B1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011A" w:rsidRDefault="008B187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B1879">
      <w:pPr>
        <w:spacing w:after="0" w:line="240" w:lineRule="auto"/>
      </w:pPr>
      <w:r>
        <w:separator/>
      </w:r>
    </w:p>
  </w:footnote>
  <w:footnote w:type="continuationSeparator" w:id="0">
    <w:p w:rsidR="00000000" w:rsidRDefault="008B1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011A" w:rsidRDefault="008B1879">
    <w:pPr>
      <w:pStyle w:val="Header"/>
      <w:jc w:val="center"/>
    </w:pPr>
    <w:r>
      <w:rPr>
        <w:rFonts w:cs="Times New Roman"/>
        <w:i/>
        <w:color w:val="555555"/>
        <w:sz w:val="20"/>
      </w:rPr>
      <w:t>SafeGrid-AI: An Explainable Multi-Agent System for Dynamic Power Routing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1879"/>
    <w:rsid w:val="00AA1D8D"/>
    <w:rsid w:val="00B47730"/>
    <w:rsid w:val="00CB0664"/>
    <w:rsid w:val="00F501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C5B5831-90C5-4C61-8A83-FA6E2991C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2449CE-5FC6-47DF-A151-290EB352C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2366</Words>
  <Characters>12778</Characters>
  <Application>Microsoft Office Word</Application>
  <DocSecurity>0</DocSecurity>
  <Lines>267</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2026-10-18T17:14:00Z</dcterms:modified>
  <cp:category/>
</cp:coreProperties>
</file>