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24"/>
        </w:rPr>
        <w:t>Department of Computer Science and Engineering (Data Science)</w:t>
      </w:r>
    </w:p>
    <w:p>
      <w:pPr>
        <w:spacing w:before="0" w:after="160" w:line="276" w:lineRule="auto"/>
        <w:jc w:val="center"/>
      </w:pPr>
      <w:r>
        <w:rPr>
          <w:rFonts w:ascii="Times New Roman" w:hAnsi="Times New Roman" w:cs="Times New Roman" w:eastAsia="Times New Roman"/>
          <w:b w:val="0"/>
          <w:i w:val="0"/>
          <w:sz w:val="24"/>
        </w:rPr>
        <w:t>CSDS-A  |  Batch A5</w:t>
      </w:r>
    </w:p>
    <w:p>
      <w:pPr>
        <w:spacing w:before="0" w:after="120" w:line="276" w:lineRule="auto"/>
        <w:jc w:val="center"/>
      </w:pPr>
      <w:r>
        <w:rPr>
          <w:rFonts w:ascii="Times New Roman" w:hAnsi="Times New Roman" w:cs="Times New Roman" w:eastAsia="Times New Roman"/>
          <w:b/>
          <w:i w:val="0"/>
          <w:sz w:val="28"/>
        </w:rPr>
        <w:t>JEPA-LLM Tuning Framework for Combating GST and Sales Tax Input Tax Credit Fraud Pattern Detection</w:t>
      </w:r>
    </w:p>
    <w:p>
      <w:pPr>
        <w:spacing w:before="0" w:after="160" w:line="276" w:lineRule="auto"/>
        <w:jc w:val="center"/>
      </w:pPr>
      <w:r>
        <w:rPr>
          <w:rFonts w:ascii="Times New Roman" w:hAnsi="Times New Roman" w:cs="Times New Roman" w:eastAsia="Times New Roman"/>
          <w:b/>
          <w:i w:val="0"/>
          <w:sz w:val="28"/>
        </w:rPr>
        <w:t>SCOPE AND LIMITATIONS</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120" w:after="40" w:line="276" w:lineRule="auto"/>
        <w:jc w:val="center"/>
      </w:pPr>
      <w:r>
        <w:rPr>
          <w:rFonts w:ascii="Times New Roman" w:hAnsi="Times New Roman" w:cs="Times New Roman" w:eastAsia="Times New Roman"/>
          <w:b w:val="0"/>
          <w:i w:val="0"/>
          <w:sz w:val="24"/>
        </w:rPr>
        <w:t>Project guide: Dr. N. Ch. Ravi, Professor in CSE (Data Science)</w:t>
      </w:r>
    </w:p>
    <w:p>
      <w:pPr>
        <w:spacing w:before="0" w:after="200" w:line="276" w:lineRule="auto"/>
        <w:jc w:val="center"/>
      </w:pPr>
      <w:r>
        <w:rPr>
          <w:rFonts w:ascii="Times New Roman" w:hAnsi="Times New Roman" w:cs="Times New Roman" w:eastAsia="Times New Roman"/>
          <w:b w:val="0"/>
          <w:i w:val="0"/>
          <w:sz w:val="22"/>
        </w:rPr>
        <w:t>TKR College of Engineering and Technology (Autonomous)  |  A.Y. 2026-27</w:t>
      </w:r>
    </w:p>
    <w:p>
      <w:pPr>
        <w:spacing w:line="276" w:lineRule="auto"/>
      </w:pPr>
      <w:r>
        <w:rPr>
          <w:rFonts w:ascii="Times New Roman" w:hAnsi="Times New Roman" w:cs="Times New Roman" w:eastAsia="Times New Roman"/>
          <w:i/>
          <w:sz w:val="21"/>
        </w:rPr>
        <w:t>This document states what the project covers, what it deliberately does not, the assumptions it rests on and its honest limitations.</w:t>
      </w:r>
    </w:p>
    <w:p>
      <w:pPr>
        <w:spacing w:line="276" w:lineRule="auto"/>
      </w:pPr>
      <w:r>
        <w:rPr>
          <w:rFonts w:ascii="Times New Roman" w:hAnsi="Times New Roman" w:cs="Times New Roman" w:eastAsia="Times New Roman"/>
          <w:i/>
          <w:sz w:val="21"/>
        </w:rPr>
        <w:t>Section, table and figure numbers in this document follow the Final Document (17.Final Document.docx) where a section is cited; tables and figures are numbered within this document.</w:t>
      </w:r>
    </w:p>
    <w:p>
      <w:pPr>
        <w:pStyle w:val="Heading2"/>
      </w:pPr>
      <w:r>
        <w:t>1.6 Scope</w:t>
      </w:r>
    </w:p>
    <w:p>
      <w:r>
        <w:rPr>
          <w:rFonts w:ascii="Times New Roman" w:hAnsi="Times New Roman" w:cs="Times New Roman" w:eastAsia="Times New Roman"/>
          <w:b/>
        </w:rPr>
        <w:t>In scope.</w:t>
      </w:r>
      <w:r>
        <w:rPr>
          <w:rFonts w:ascii="Times New Roman" w:hAnsi="Times New Roman" w:cs="Times New Roman" w:eastAsia="Times New Roman"/>
        </w:rPr>
        <w:t xml:space="preserve"> A reproducible generator of GST ecosystems with injected, labelled fraud; three feature layers per taxpayer-month; a JEPA behaviour encoder; circular-trading and shared-identity detection; invoice-level anomaly scoring; a combined risk score; ranked taxpayers and invoice chains; evidence lists; Gemini-written case notes with automatic grounding checks; evaluation against a rule baseline with ablations; and a secure multi-user web application (FastAPI and React) that presents all of this.</w:t>
      </w:r>
    </w:p>
    <w:p>
      <w:r>
        <w:rPr>
          <w:rFonts w:ascii="Times New Roman" w:hAnsi="Times New Roman" w:cs="Times New Roman" w:eastAsia="Times New Roman"/>
          <w:b/>
        </w:rPr>
        <w:t>Out of scope.</w:t>
      </w:r>
      <w:r>
        <w:rPr>
          <w:rFonts w:ascii="Times New Roman" w:hAnsi="Times New Roman" w:cs="Times New Roman" w:eastAsia="Times New Roman"/>
        </w:rPr>
        <w:t xml:space="preserve"> Connection to the live GST Network or any real taxpayer data; legal determination of fraud (the output is a risk indication for review); e-way-bill and e-invoice (IRN) integration beyond the flag already present in the data; real-time streaming; fine-tuning of language models; mobile applications; and multi-tenant administration. The companion scope-and-limitations document and Chapter 9 of this report list these exclusions in more detail.</w:t>
      </w:r>
    </w:p>
    <w:p>
      <w:pPr>
        <w:pStyle w:val="Heading2"/>
      </w:pPr>
      <w:r>
        <w:t>Scope at a Glance</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Scope against the six approved objectives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Objective</w:t>
            </w:r>
          </w:p>
        </w:tc>
        <w:tc>
          <w:tcPr>
            <w:tcW w:type="dxa" w:w="3729"/>
            <w:shd w:val="clear" w:color="auto" w:fill="DCFCE7"/>
          </w:tcPr>
          <w:p>
            <w:pPr>
              <w:keepNext/>
              <w:spacing w:line="240" w:lineRule="auto" w:after="40"/>
              <w:jc w:val="center"/>
            </w:pPr>
            <w:r/>
            <w:r>
              <w:rPr>
                <w:rFonts w:ascii="Times New Roman" w:hAnsi="Times New Roman" w:cs="Times New Roman" w:eastAsia="Times New Roman"/>
                <w:b/>
                <w:sz w:val="20"/>
              </w:rPr>
              <w:t>Covered</w:t>
            </w:r>
          </w:p>
        </w:tc>
        <w:tc>
          <w:tcPr>
            <w:tcW w:type="dxa" w:w="3214"/>
            <w:shd w:val="clear" w:color="auto" w:fill="DCFCE7"/>
          </w:tcPr>
          <w:p>
            <w:pPr>
              <w:keepNext/>
              <w:spacing w:line="240" w:lineRule="auto" w:after="40"/>
              <w:jc w:val="center"/>
            </w:pPr>
            <w:r/>
            <w:r>
              <w:rPr>
                <w:rFonts w:ascii="Times New Roman" w:hAnsi="Times New Roman" w:cs="Times New Roman" w:eastAsia="Times New Roman"/>
                <w:b/>
                <w:sz w:val="20"/>
              </w:rPr>
              <w:t>Not covered</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1. Multi-layer GST dataset</w:t>
            </w:r>
          </w:p>
        </w:tc>
        <w:tc>
          <w:tcPr>
            <w:tcW w:type="dxa" w:w="3729"/>
          </w:tcPr>
          <w:p>
            <w:pPr>
              <w:keepNext/>
              <w:spacing w:line="240" w:lineRule="auto" w:after="40"/>
              <w:jc w:val="left"/>
            </w:pPr>
            <w:r/>
            <w:r>
              <w:rPr>
                <w:rFonts w:ascii="Times New Roman" w:hAnsi="Times New Roman" w:cs="Times New Roman" w:eastAsia="Times New Roman"/>
                <w:sz w:val="20"/>
              </w:rPr>
              <w:t>Seeded synthetic ecosystem; invoice, behaviour and network layers; labels for evaluation</w:t>
            </w:r>
          </w:p>
        </w:tc>
        <w:tc>
          <w:tcPr>
            <w:tcW w:type="dxa" w:w="3214"/>
          </w:tcPr>
          <w:p>
            <w:pPr>
              <w:keepNext/>
              <w:spacing w:line="240" w:lineRule="auto" w:after="40"/>
              <w:jc w:val="left"/>
            </w:pPr>
            <w:r/>
            <w:r>
              <w:rPr>
                <w:rFonts w:ascii="Times New Roman" w:hAnsi="Times New Roman" w:cs="Times New Roman" w:eastAsia="Times New Roman"/>
                <w:sz w:val="20"/>
              </w:rPr>
              <w:t>Real GST data; other states' schemas; HSN-level or e-invoice fields</w:t>
            </w:r>
          </w:p>
        </w:tc>
      </w:tr>
      <w:tr>
        <w:trPr>
          <w:cantSplit/>
        </w:trPr>
        <w:tc>
          <w:tcPr>
            <w:tcW w:type="dxa" w:w="2057"/>
          </w:tcPr>
          <w:p>
            <w:pPr>
              <w:spacing w:line="240" w:lineRule="auto" w:after="40"/>
              <w:jc w:val="left"/>
            </w:pPr>
            <w:r/>
            <w:r>
              <w:rPr>
                <w:rFonts w:ascii="Times New Roman" w:hAnsi="Times New Roman" w:cs="Times New Roman" w:eastAsia="Times New Roman"/>
                <w:sz w:val="20"/>
              </w:rPr>
              <w:t>2. Self-supervised JEPA</w:t>
            </w:r>
          </w:p>
        </w:tc>
        <w:tc>
          <w:tcPr>
            <w:tcW w:type="dxa" w:w="3729"/>
          </w:tcPr>
          <w:p>
            <w:pPr>
              <w:spacing w:line="240" w:lineRule="auto" w:after="40"/>
              <w:jc w:val="left"/>
            </w:pPr>
            <w:r/>
            <w:r>
              <w:rPr>
                <w:rFonts w:ascii="Times New Roman" w:hAnsi="Times New Roman" w:cs="Times New Roman" w:eastAsia="Times New Roman"/>
                <w:sz w:val="20"/>
              </w:rPr>
              <w:t>JEPA over 19 features with 4 mask variants, 3-month window, CPU training</w:t>
            </w:r>
          </w:p>
        </w:tc>
        <w:tc>
          <w:tcPr>
            <w:tcW w:type="dxa" w:w="3214"/>
          </w:tcPr>
          <w:p>
            <w:pPr>
              <w:spacing w:line="240" w:lineRule="auto" w:after="40"/>
              <w:jc w:val="left"/>
            </w:pPr>
            <w:r/>
            <w:r>
              <w:rPr>
                <w:rFonts w:ascii="Times New Roman" w:hAnsi="Times New Roman" w:cs="Times New Roman" w:eastAsia="Times New Roman"/>
                <w:sz w:val="20"/>
              </w:rPr>
              <w:t>Longer windows, larger models, pre-training on external data</w:t>
            </w:r>
          </w:p>
        </w:tc>
      </w:tr>
      <w:tr>
        <w:trPr>
          <w:cantSplit/>
        </w:trPr>
        <w:tc>
          <w:tcPr>
            <w:tcW w:type="dxa" w:w="2057"/>
          </w:tcPr>
          <w:p>
            <w:pPr>
              <w:spacing w:line="240" w:lineRule="auto" w:after="40"/>
              <w:jc w:val="left"/>
            </w:pPr>
            <w:r/>
            <w:r>
              <w:rPr>
                <w:rFonts w:ascii="Times New Roman" w:hAnsi="Times New Roman" w:cs="Times New Roman" w:eastAsia="Times New Roman"/>
                <w:sz w:val="20"/>
              </w:rPr>
              <w:t>3. Fraud pattern detection</w:t>
            </w:r>
          </w:p>
        </w:tc>
        <w:tc>
          <w:tcPr>
            <w:tcW w:type="dxa" w:w="3729"/>
          </w:tcPr>
          <w:p>
            <w:pPr>
              <w:spacing w:line="240" w:lineRule="auto" w:after="40"/>
              <w:jc w:val="left"/>
            </w:pPr>
            <w:r/>
            <w:r>
              <w:rPr>
                <w:rFonts w:ascii="Times New Roman" w:hAnsi="Times New Roman" w:cs="Times New Roman" w:eastAsia="Times New Roman"/>
                <w:sz w:val="20"/>
              </w:rPr>
              <w:t>Fake invoices (buyers and shells), circular trading, shell entities, ITC spikes</w:t>
            </w:r>
          </w:p>
        </w:tc>
        <w:tc>
          <w:tcPr>
            <w:tcW w:type="dxa" w:w="3214"/>
          </w:tcPr>
          <w:p>
            <w:pPr>
              <w:spacing w:line="240" w:lineRule="auto" w:after="40"/>
              <w:jc w:val="left"/>
            </w:pPr>
            <w:r/>
            <w:r>
              <w:rPr>
                <w:rFonts w:ascii="Times New Roman" w:hAnsi="Times New Roman" w:cs="Times New Roman" w:eastAsia="Times New Roman"/>
                <w:sz w:val="20"/>
              </w:rPr>
              <w:t>Misclassification and refund fraud; cross-border and e-commerce schemes</w:t>
            </w:r>
          </w:p>
        </w:tc>
      </w:tr>
      <w:tr>
        <w:trPr>
          <w:cantSplit/>
        </w:trPr>
        <w:tc>
          <w:tcPr>
            <w:tcW w:type="dxa" w:w="2057"/>
          </w:tcPr>
          <w:p>
            <w:pPr>
              <w:spacing w:line="240" w:lineRule="auto" w:after="40"/>
              <w:jc w:val="left"/>
            </w:pPr>
            <w:r/>
            <w:r>
              <w:rPr>
                <w:rFonts w:ascii="Times New Roman" w:hAnsi="Times New Roman" w:cs="Times New Roman" w:eastAsia="Times New Roman"/>
                <w:sz w:val="20"/>
              </w:rPr>
              <w:t>4. Scoring and ranking</w:t>
            </w:r>
          </w:p>
        </w:tc>
        <w:tc>
          <w:tcPr>
            <w:tcW w:type="dxa" w:w="3729"/>
          </w:tcPr>
          <w:p>
            <w:pPr>
              <w:spacing w:line="240" w:lineRule="auto" w:after="40"/>
              <w:jc w:val="left"/>
            </w:pPr>
            <w:r/>
            <w:r>
              <w:rPr>
                <w:rFonts w:ascii="Times New Roman" w:hAnsi="Times New Roman" w:cs="Times New Roman" w:eastAsia="Times New Roman"/>
                <w:sz w:val="20"/>
              </w:rPr>
              <w:t>Taxpayer risk, invoice score, ranked invoice chains</w:t>
            </w:r>
          </w:p>
        </w:tc>
        <w:tc>
          <w:tcPr>
            <w:tcW w:type="dxa" w:w="3214"/>
          </w:tcPr>
          <w:p>
            <w:pPr>
              <w:spacing w:line="240" w:lineRule="auto" w:after="40"/>
              <w:jc w:val="left"/>
            </w:pPr>
            <w:r/>
            <w:r>
              <w:rPr>
                <w:rFonts w:ascii="Times New Roman" w:hAnsi="Times New Roman" w:cs="Times New Roman" w:eastAsia="Times New Roman"/>
                <w:sz w:val="20"/>
              </w:rPr>
              <w:t>Calibrated probabilities; learned weights; case prioritisation by recoverable amount</w:t>
            </w:r>
          </w:p>
        </w:tc>
      </w:tr>
      <w:tr>
        <w:trPr>
          <w:cantSplit/>
        </w:trPr>
        <w:tc>
          <w:tcPr>
            <w:tcW w:type="dxa" w:w="2057"/>
          </w:tcPr>
          <w:p>
            <w:pPr>
              <w:spacing w:line="240" w:lineRule="auto" w:after="40"/>
              <w:jc w:val="left"/>
            </w:pPr>
            <w:r/>
            <w:r>
              <w:rPr>
                <w:rFonts w:ascii="Times New Roman" w:hAnsi="Times New Roman" w:cs="Times New Roman" w:eastAsia="Times New Roman"/>
                <w:sz w:val="20"/>
              </w:rPr>
              <w:t>5. LLM explanations</w:t>
            </w:r>
          </w:p>
        </w:tc>
        <w:tc>
          <w:tcPr>
            <w:tcW w:type="dxa" w:w="3729"/>
          </w:tcPr>
          <w:p>
            <w:pPr>
              <w:spacing w:line="240" w:lineRule="auto" w:after="40"/>
              <w:jc w:val="left"/>
            </w:pPr>
            <w:r/>
            <w:r>
              <w:rPr>
                <w:rFonts w:ascii="Times New Roman" w:hAnsi="Times New Roman" w:cs="Times New Roman" w:eastAsia="Times New Roman"/>
                <w:sz w:val="20"/>
              </w:rPr>
              <w:t>Prompted Gemini notes with citations and automatic grounding checks</w:t>
            </w:r>
          </w:p>
        </w:tc>
        <w:tc>
          <w:tcPr>
            <w:tcW w:type="dxa" w:w="3214"/>
          </w:tcPr>
          <w:p>
            <w:pPr>
              <w:spacing w:line="240" w:lineRule="auto" w:after="40"/>
              <w:jc w:val="left"/>
            </w:pPr>
            <w:r/>
            <w:r>
              <w:rPr>
                <w:rFonts w:ascii="Times New Roman" w:hAnsi="Times New Roman" w:cs="Times New Roman" w:eastAsia="Times New Roman"/>
                <w:sz w:val="20"/>
              </w:rPr>
              <w:t>Fine-tuning; human review loop; multilingual notes</w:t>
            </w:r>
          </w:p>
        </w:tc>
      </w:tr>
      <w:tr>
        <w:trPr>
          <w:cantSplit/>
        </w:trPr>
        <w:tc>
          <w:tcPr>
            <w:tcW w:type="dxa" w:w="2057"/>
          </w:tcPr>
          <w:p>
            <w:pPr>
              <w:spacing w:line="240" w:lineRule="auto" w:after="40"/>
              <w:jc w:val="left"/>
            </w:pPr>
            <w:r/>
            <w:r>
              <w:rPr>
                <w:rFonts w:ascii="Times New Roman" w:hAnsi="Times New Roman" w:cs="Times New Roman" w:eastAsia="Times New Roman"/>
                <w:sz w:val="20"/>
              </w:rPr>
              <w:t>6. Evaluation</w:t>
            </w:r>
          </w:p>
        </w:tc>
        <w:tc>
          <w:tcPr>
            <w:tcW w:type="dxa" w:w="3729"/>
          </w:tcPr>
          <w:p>
            <w:pPr>
              <w:spacing w:line="240" w:lineRule="auto" w:after="40"/>
              <w:jc w:val="left"/>
            </w:pPr>
            <w:r/>
            <w:r>
              <w:rPr>
                <w:rFonts w:ascii="Times New Roman" w:hAnsi="Times New Roman" w:cs="Times New Roman" w:eastAsia="Times New Roman"/>
                <w:sz w:val="20"/>
              </w:rPr>
              <w:t>Precision@k, recall@k, F1, ROC-AUC, ablations, per-pattern recall, ring recovery, cross-seed study, PaySim transfer check</w:t>
            </w:r>
          </w:p>
        </w:tc>
        <w:tc>
          <w:tcPr>
            <w:tcW w:type="dxa" w:w="3214"/>
          </w:tcPr>
          <w:p>
            <w:pPr>
              <w:spacing w:line="240" w:lineRule="auto" w:after="40"/>
              <w:jc w:val="left"/>
            </w:pPr>
            <w:r/>
            <w:r>
              <w:rPr>
                <w:rFonts w:ascii="Times New Roman" w:hAnsi="Times New Roman" w:cs="Times New Roman" w:eastAsia="Times New Roman"/>
                <w:sz w:val="20"/>
              </w:rPr>
              <w:t>Real-data validation; human evaluation of notes; confidence intervals over many periods</w:t>
            </w:r>
          </w:p>
        </w:tc>
      </w:tr>
    </w:tbl>
    <w:p>
      <w:pPr>
        <w:spacing w:after="120" w:line="240" w:lineRule="auto"/>
      </w:pPr>
    </w:p>
    <w:p>
      <w:pPr>
        <w:pStyle w:val="Heading2"/>
      </w:pPr>
      <w:r>
        <w:t>In Scope</w:t>
      </w:r>
    </w:p>
    <w:p>
      <w:r>
        <w:rPr>
          <w:rFonts w:ascii="Times New Roman" w:hAnsi="Times New Roman" w:cs="Times New Roman" w:eastAsia="Times New Roman"/>
        </w:rPr>
        <w:t>The project covers the following, all of which are implemented and were run for this report.</w:t>
      </w:r>
    </w:p>
    <w:p>
      <w:pPr>
        <w:pStyle w:val="ListBullet"/>
      </w:pPr>
      <w:r>
        <w:rPr>
          <w:rFonts w:ascii="Times New Roman" w:hAnsi="Times New Roman" w:cs="Times New Roman" w:eastAsia="Times New Roman"/>
        </w:rPr>
        <w:t>A seeded generator of GST ecosystems with taxpayers, B2B invoices and monthly GSTR-1, GSTR-2B and GSTR-3B-style returns, four injected fraud patterns with labels and seven kinds of legitimate hard negative.</w:t>
      </w:r>
    </w:p>
    <w:p>
      <w:pPr>
        <w:pStyle w:val="ListBullet"/>
      </w:pPr>
      <w:r>
        <w:rPr>
          <w:rFonts w:ascii="Times New Roman" w:hAnsi="Times New Roman" w:cs="Times New Roman" w:eastAsia="Times New Roman"/>
        </w:rPr>
        <w:t>Three feature layers (invoice, behaviour, network) with 19 features per taxpayer-month.</w:t>
      </w:r>
    </w:p>
    <w:p>
      <w:pPr>
        <w:pStyle w:val="ListBullet"/>
      </w:pPr>
      <w:r>
        <w:rPr>
          <w:rFonts w:ascii="Times New Roman" w:hAnsi="Times New Roman" w:cs="Times New Roman" w:eastAsia="Times New Roman"/>
        </w:rPr>
        <w:t>A JEPA behaviour encoder trained without labels, with four mask variants.</w:t>
      </w:r>
    </w:p>
    <w:p>
      <w:pPr>
        <w:pStyle w:val="ListBullet"/>
      </w:pPr>
      <w:r>
        <w:rPr>
          <w:rFonts w:ascii="Times New Roman" w:hAnsi="Times New Roman" w:cs="Times New Roman" w:eastAsia="Times New Roman"/>
        </w:rPr>
        <w:t>Detection of circular trading (bounded cycle search with scoring), shared-identity shell clusters, abnormal ITC spikes and fake-invoice exposure.</w:t>
      </w:r>
    </w:p>
    <w:p>
      <w:pPr>
        <w:pStyle w:val="ListBullet"/>
      </w:pPr>
      <w:r>
        <w:rPr>
          <w:rFonts w:ascii="Times New Roman" w:hAnsi="Times New Roman" w:cs="Times New Roman" w:eastAsia="Times New Roman"/>
        </w:rPr>
        <w:t>Invoice-level anomaly scoring, a combined taxpayer risk and ranked invoice chains.</w:t>
      </w:r>
    </w:p>
    <w:p>
      <w:pPr>
        <w:pStyle w:val="ListBullet"/>
      </w:pPr>
      <w:r>
        <w:rPr>
          <w:rFonts w:ascii="Times New Roman" w:hAnsi="Times New Roman" w:cs="Times New Roman" w:eastAsia="Times New Roman"/>
        </w:rPr>
        <w:t>Per-taxpayer evidence lists and Gemini-written case notes with automatic grounding checks.</w:t>
      </w:r>
    </w:p>
    <w:p>
      <w:pPr>
        <w:pStyle w:val="ListBullet"/>
      </w:pPr>
      <w:r>
        <w:rPr>
          <w:rFonts w:ascii="Times New Roman" w:hAnsi="Times New Roman" w:cs="Times New Roman" w:eastAsia="Times New Roman"/>
        </w:rPr>
        <w:t>Evaluation against injected labels and a rule baseline, with ablations, per-pattern recall, ring recovery, a PaySim transfer check and a cross-seed study.</w:t>
      </w:r>
    </w:p>
    <w:p>
      <w:pPr>
        <w:pStyle w:val="ListBullet"/>
      </w:pPr>
      <w:r>
        <w:rPr>
          <w:rFonts w:ascii="Times New Roman" w:hAnsi="Times New Roman" w:cs="Times New Roman" w:eastAsia="Times New Roman"/>
        </w:rPr>
        <w:t>A secured multi-user web application with ranking, profile, graph, chain, case, performance and history screens.</w:t>
      </w:r>
    </w:p>
    <w:p>
      <w:pPr>
        <w:pStyle w:val="Heading2"/>
      </w:pPr>
      <w:r>
        <w:t>Out of Scope</w:t>
      </w:r>
    </w:p>
    <w:p>
      <w:pPr>
        <w:pStyle w:val="ListBullet"/>
      </w:pPr>
      <w:r>
        <w:rPr>
          <w:rFonts w:ascii="Times New Roman" w:hAnsi="Times New Roman" w:cs="Times New Roman" w:eastAsia="Times New Roman"/>
        </w:rPr>
        <w:t>Connection to the live GST Network, real taxpayer data or any government system.</w:t>
      </w:r>
    </w:p>
    <w:p>
      <w:pPr>
        <w:pStyle w:val="ListBullet"/>
      </w:pPr>
      <w:r>
        <w:rPr>
          <w:rFonts w:ascii="Times New Roman" w:hAnsi="Times New Roman" w:cs="Times New Roman" w:eastAsia="Times New Roman"/>
        </w:rPr>
        <w:t>Legal determination of fraud, notices, recovery or prosecution; the output is a risk indication for review.</w:t>
      </w:r>
    </w:p>
    <w:p>
      <w:pPr>
        <w:pStyle w:val="ListBullet"/>
      </w:pPr>
      <w:r>
        <w:rPr>
          <w:rFonts w:ascii="Times New Roman" w:hAnsi="Times New Roman" w:cs="Times New Roman" w:eastAsia="Times New Roman"/>
        </w:rPr>
        <w:t>Sales-tax and VAT regimes of other jurisdictions (the title mentions "Sales Tax", but only the Indian GST structure of GSTR-1, 2B and 3B is modelled).</w:t>
      </w:r>
    </w:p>
    <w:p>
      <w:pPr>
        <w:pStyle w:val="ListBullet"/>
      </w:pPr>
      <w:r>
        <w:rPr>
          <w:rFonts w:ascii="Times New Roman" w:hAnsi="Times New Roman" w:cs="Times New Roman" w:eastAsia="Times New Roman"/>
        </w:rPr>
        <w:t>Fine-tuning of language-model weights.</w:t>
      </w:r>
    </w:p>
    <w:p>
      <w:pPr>
        <w:pStyle w:val="ListBullet"/>
      </w:pPr>
      <w:r>
        <w:rPr>
          <w:rFonts w:ascii="Times New Roman" w:hAnsi="Times New Roman" w:cs="Times New Roman" w:eastAsia="Times New Roman"/>
        </w:rPr>
        <w:t>E-invoice (IRN) and e-way-bill system integration beyond the e-way-bill flag in the data; bank and payment data.</w:t>
      </w:r>
    </w:p>
    <w:p>
      <w:pPr>
        <w:pStyle w:val="ListBullet"/>
      </w:pPr>
      <w:r>
        <w:rPr>
          <w:rFonts w:ascii="Times New Roman" w:hAnsi="Times New Roman" w:cs="Times New Roman" w:eastAsia="Times New Roman"/>
        </w:rPr>
        <w:t>Real-time streaming analysis; the system analyses an ecosystem as a batch.</w:t>
      </w:r>
    </w:p>
    <w:p>
      <w:pPr>
        <w:pStyle w:val="ListBullet"/>
      </w:pPr>
      <w:r>
        <w:rPr>
          <w:rFonts w:ascii="Times New Roman" w:hAnsi="Times New Roman" w:cs="Times New Roman" w:eastAsia="Times New Roman"/>
        </w:rPr>
        <w:t>Mobile applications, role-based access control and multi-tenant administration.</w:t>
      </w:r>
    </w:p>
    <w:p>
      <w:pPr>
        <w:pStyle w:val="ListBullet"/>
      </w:pPr>
      <w:r>
        <w:rPr>
          <w:rFonts w:ascii="Times New Roman" w:hAnsi="Times New Roman" w:cs="Times New Roman" w:eastAsia="Times New Roman"/>
        </w:rPr>
        <w:t>Goods classification fraud (for example HSN misclassification) and refund fraud, which the base paper also mentions.</w:t>
      </w:r>
    </w:p>
    <w:p>
      <w:pPr>
        <w:pStyle w:val="Heading2"/>
      </w:pPr>
      <w:r>
        <w:t>Boundary Conditions of the Implementation</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Parameters that bound what the system accepts and analyses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957"/>
            <w:shd w:val="clear" w:color="auto" w:fill="DCFCE7"/>
          </w:tcPr>
          <w:p>
            <w:pPr>
              <w:keepNext/>
              <w:spacing w:line="240" w:lineRule="auto" w:after="40"/>
              <w:jc w:val="center"/>
            </w:pPr>
            <w:r/>
            <w:r>
              <w:rPr>
                <w:rFonts w:ascii="Times New Roman" w:hAnsi="Times New Roman" w:cs="Times New Roman" w:eastAsia="Times New Roman"/>
                <w:b/>
                <w:sz w:val="20"/>
              </w:rPr>
              <w:t>Parameter</w:t>
            </w:r>
          </w:p>
        </w:tc>
        <w:tc>
          <w:tcPr>
            <w:tcW w:type="dxa" w:w="3086"/>
            <w:shd w:val="clear" w:color="auto" w:fill="DCFCE7"/>
          </w:tcPr>
          <w:p>
            <w:pPr>
              <w:keepNext/>
              <w:spacing w:line="240" w:lineRule="auto" w:after="40"/>
              <w:jc w:val="center"/>
            </w:pPr>
            <w:r/>
            <w:r>
              <w:rPr>
                <w:rFonts w:ascii="Times New Roman" w:hAnsi="Times New Roman" w:cs="Times New Roman" w:eastAsia="Times New Roman"/>
                <w:b/>
                <w:sz w:val="20"/>
              </w:rPr>
              <w:t>Value</w:t>
            </w:r>
          </w:p>
        </w:tc>
        <w:tc>
          <w:tcPr>
            <w:tcW w:type="dxa" w:w="2957"/>
            <w:shd w:val="clear" w:color="auto" w:fill="DCFCE7"/>
          </w:tcPr>
          <w:p>
            <w:pPr>
              <w:keepNext/>
              <w:spacing w:line="240" w:lineRule="auto" w:after="40"/>
              <w:jc w:val="center"/>
            </w:pPr>
            <w:r/>
            <w:r>
              <w:rPr>
                <w:rFonts w:ascii="Times New Roman" w:hAnsi="Times New Roman" w:cs="Times New Roman" w:eastAsia="Times New Roman"/>
                <w:b/>
                <w:sz w:val="20"/>
              </w:rPr>
              <w:t>Where enforced</w:t>
            </w:r>
          </w:p>
        </w:tc>
      </w:tr>
      <w:tr>
        <w:trPr>
          <w:cantSplit/>
        </w:trPr>
        <w:tc>
          <w:tcPr>
            <w:tcW w:type="dxa" w:w="2957"/>
          </w:tcPr>
          <w:p>
            <w:pPr>
              <w:keepNext/>
              <w:spacing w:line="240" w:lineRule="auto" w:after="40"/>
              <w:jc w:val="left"/>
            </w:pPr>
            <w:r/>
            <w:r>
              <w:rPr>
                <w:rFonts w:ascii="Times New Roman" w:hAnsi="Times New Roman" w:cs="Times New Roman" w:eastAsia="Times New Roman"/>
                <w:sz w:val="20"/>
              </w:rPr>
              <w:t>Taxpayers per generated ecosystem</w:t>
            </w:r>
          </w:p>
        </w:tc>
        <w:tc>
          <w:tcPr>
            <w:tcW w:type="dxa" w:w="3086"/>
          </w:tcPr>
          <w:p>
            <w:pPr>
              <w:keepNext/>
              <w:spacing w:line="240" w:lineRule="auto" w:after="40"/>
              <w:jc w:val="left"/>
            </w:pPr>
            <w:r/>
            <w:r>
              <w:rPr>
                <w:rFonts w:ascii="Times New Roman" w:hAnsi="Times New Roman" w:cs="Times New Roman" w:eastAsia="Times New Roman"/>
                <w:sz w:val="20"/>
              </w:rPr>
              <w:t>150 to 1,500</w:t>
            </w:r>
          </w:p>
        </w:tc>
        <w:tc>
          <w:tcPr>
            <w:tcW w:type="dxa" w:w="2957"/>
          </w:tcPr>
          <w:p>
            <w:pPr>
              <w:keepNext/>
              <w:spacing w:line="240" w:lineRule="auto" w:after="40"/>
              <w:jc w:val="left"/>
            </w:pPr>
            <w:r/>
            <w:r>
              <w:rPr>
                <w:rFonts w:ascii="Times New Roman" w:hAnsi="Times New Roman" w:cs="Times New Roman" w:eastAsia="Times New Roman"/>
                <w:sz w:val="20"/>
              </w:rPr>
              <w:t>pydantic validation on POST /api/pipeline/run</w:t>
            </w:r>
          </w:p>
        </w:tc>
      </w:tr>
      <w:tr>
        <w:trPr>
          <w:cantSplit/>
        </w:trPr>
        <w:tc>
          <w:tcPr>
            <w:tcW w:type="dxa" w:w="2957"/>
          </w:tcPr>
          <w:p>
            <w:pPr>
              <w:spacing w:line="240" w:lineRule="auto" w:after="40"/>
              <w:jc w:val="left"/>
            </w:pPr>
            <w:r/>
            <w:r>
              <w:rPr>
                <w:rFonts w:ascii="Times New Roman" w:hAnsi="Times New Roman" w:cs="Times New Roman" w:eastAsia="Times New Roman"/>
                <w:sz w:val="20"/>
              </w:rPr>
              <w:t>Generator seed</w:t>
            </w:r>
          </w:p>
        </w:tc>
        <w:tc>
          <w:tcPr>
            <w:tcW w:type="dxa" w:w="3086"/>
          </w:tcPr>
          <w:p>
            <w:pPr>
              <w:spacing w:line="240" w:lineRule="auto" w:after="40"/>
              <w:jc w:val="left"/>
            </w:pPr>
            <w:r/>
            <w:r>
              <w:rPr>
                <w:rFonts w:ascii="Times New Roman" w:hAnsi="Times New Roman" w:cs="Times New Roman" w:eastAsia="Times New Roman"/>
                <w:sz w:val="20"/>
              </w:rPr>
              <w:t>0 to 10,000,000</w:t>
            </w:r>
          </w:p>
        </w:tc>
        <w:tc>
          <w:tcPr>
            <w:tcW w:type="dxa" w:w="2957"/>
          </w:tcPr>
          <w:p>
            <w:pPr>
              <w:spacing w:line="240" w:lineRule="auto" w:after="40"/>
              <w:jc w:val="left"/>
            </w:pPr>
            <w:r/>
            <w:r>
              <w:rPr>
                <w:rFonts w:ascii="Times New Roman" w:hAnsi="Times New Roman" w:cs="Times New Roman" w:eastAsia="Times New Roman"/>
                <w:sz w:val="20"/>
              </w:rPr>
              <w:t>same</w:t>
            </w:r>
          </w:p>
        </w:tc>
      </w:tr>
      <w:tr>
        <w:trPr>
          <w:cantSplit/>
        </w:trPr>
        <w:tc>
          <w:tcPr>
            <w:tcW w:type="dxa" w:w="2957"/>
          </w:tcPr>
          <w:p>
            <w:pPr>
              <w:spacing w:line="240" w:lineRule="auto" w:after="40"/>
              <w:jc w:val="left"/>
            </w:pPr>
            <w:r/>
            <w:r>
              <w:rPr>
                <w:rFonts w:ascii="Times New Roman" w:hAnsi="Times New Roman" w:cs="Times New Roman" w:eastAsia="Times New Roman"/>
                <w:sz w:val="20"/>
              </w:rPr>
              <w:t>Period analysed</w:t>
            </w:r>
          </w:p>
        </w:tc>
        <w:tc>
          <w:tcPr>
            <w:tcW w:type="dxa" w:w="3086"/>
          </w:tcPr>
          <w:p>
            <w:pPr>
              <w:spacing w:line="240" w:lineRule="auto" w:after="40"/>
              <w:jc w:val="left"/>
            </w:pPr>
            <w:r/>
            <w:r>
              <w:rPr>
                <w:rFonts w:ascii="Times New Roman" w:hAnsi="Times New Roman" w:cs="Times New Roman" w:eastAsia="Times New Roman"/>
                <w:sz w:val="20"/>
              </w:rPr>
              <w:t>12 months (April 2025 to March 2026 in the bundled data)</w:t>
            </w:r>
          </w:p>
        </w:tc>
        <w:tc>
          <w:tcPr>
            <w:tcW w:type="dxa" w:w="2957"/>
          </w:tcPr>
          <w:p>
            <w:pPr>
              <w:spacing w:line="240" w:lineRule="auto" w:after="40"/>
              <w:jc w:val="left"/>
            </w:pPr>
            <w:r/>
            <w:r>
              <w:rPr>
                <w:rFonts w:ascii="Times New Roman" w:hAnsi="Times New Roman" w:cs="Times New Roman" w:eastAsia="Times New Roman"/>
                <w:sz w:val="20"/>
              </w:rPr>
              <w:t>generator constant N_MONTHS</w:t>
            </w:r>
          </w:p>
        </w:tc>
      </w:tr>
      <w:tr>
        <w:trPr>
          <w:cantSplit/>
        </w:trPr>
        <w:tc>
          <w:tcPr>
            <w:tcW w:type="dxa" w:w="2957"/>
          </w:tcPr>
          <w:p>
            <w:pPr>
              <w:spacing w:line="240" w:lineRule="auto" w:after="40"/>
              <w:jc w:val="left"/>
            </w:pPr>
            <w:r/>
            <w:r>
              <w:rPr>
                <w:rFonts w:ascii="Times New Roman" w:hAnsi="Times New Roman" w:cs="Times New Roman" w:eastAsia="Times New Roman"/>
                <w:sz w:val="20"/>
              </w:rPr>
              <w:t>Context window of the JEPA</w:t>
            </w:r>
          </w:p>
        </w:tc>
        <w:tc>
          <w:tcPr>
            <w:tcW w:type="dxa" w:w="3086"/>
          </w:tcPr>
          <w:p>
            <w:pPr>
              <w:spacing w:line="240" w:lineRule="auto" w:after="40"/>
              <w:jc w:val="left"/>
            </w:pPr>
            <w:r/>
            <w:r>
              <w:rPr>
                <w:rFonts w:ascii="Times New Roman" w:hAnsi="Times New Roman" w:cs="Times New Roman" w:eastAsia="Times New Roman"/>
                <w:sz w:val="20"/>
              </w:rPr>
              <w:t>3 previous months</w:t>
            </w:r>
          </w:p>
        </w:tc>
        <w:tc>
          <w:tcPr>
            <w:tcW w:type="dxa" w:w="2957"/>
          </w:tcPr>
          <w:p>
            <w:pPr>
              <w:spacing w:line="240" w:lineRule="auto" w:after="40"/>
              <w:jc w:val="left"/>
            </w:pPr>
            <w:r/>
            <w:r>
              <w:rPr>
                <w:rFonts w:ascii="Times New Roman" w:hAnsi="Times New Roman" w:cs="Times New Roman" w:eastAsia="Times New Roman"/>
                <w:sz w:val="20"/>
              </w:rPr>
              <w:t>ml/pipeline.py WINDOW</w:t>
            </w:r>
          </w:p>
        </w:tc>
      </w:tr>
      <w:tr>
        <w:trPr>
          <w:cantSplit/>
        </w:trPr>
        <w:tc>
          <w:tcPr>
            <w:tcW w:type="dxa" w:w="2957"/>
          </w:tcPr>
          <w:p>
            <w:pPr>
              <w:spacing w:line="240" w:lineRule="auto" w:after="40"/>
              <w:jc w:val="left"/>
            </w:pPr>
            <w:r/>
            <w:r>
              <w:rPr>
                <w:rFonts w:ascii="Times New Roman" w:hAnsi="Times New Roman" w:cs="Times New Roman" w:eastAsia="Times New Roman"/>
                <w:sz w:val="20"/>
              </w:rPr>
              <w:t>Cycle length searched</w:t>
            </w:r>
          </w:p>
        </w:tc>
        <w:tc>
          <w:tcPr>
            <w:tcW w:type="dxa" w:w="3086"/>
          </w:tcPr>
          <w:p>
            <w:pPr>
              <w:spacing w:line="240" w:lineRule="auto" w:after="40"/>
              <w:jc w:val="left"/>
            </w:pPr>
            <w:r/>
            <w:r>
              <w:rPr>
                <w:rFonts w:ascii="Times New Roman" w:hAnsi="Times New Roman" w:cs="Times New Roman" w:eastAsia="Times New Roman"/>
                <w:sz w:val="20"/>
              </w:rPr>
              <w:t>at most 5 parties; at most 20,000 cycles scanned</w:t>
            </w:r>
          </w:p>
        </w:tc>
        <w:tc>
          <w:tcPr>
            <w:tcW w:type="dxa" w:w="2957"/>
          </w:tcPr>
          <w:p>
            <w:pPr>
              <w:spacing w:line="240" w:lineRule="auto" w:after="40"/>
              <w:jc w:val="left"/>
            </w:pPr>
            <w:r/>
            <w:r>
              <w:rPr>
                <w:rFonts w:ascii="Times New Roman" w:hAnsi="Times New Roman" w:cs="Times New Roman" w:eastAsia="Times New Roman"/>
                <w:sz w:val="20"/>
              </w:rPr>
              <w:t>ml/graph.py detect_cycles</w:t>
            </w:r>
          </w:p>
        </w:tc>
      </w:tr>
      <w:tr>
        <w:trPr>
          <w:cantSplit/>
        </w:trPr>
        <w:tc>
          <w:tcPr>
            <w:tcW w:type="dxa" w:w="2957"/>
          </w:tcPr>
          <w:p>
            <w:pPr>
              <w:spacing w:line="240" w:lineRule="auto" w:after="40"/>
              <w:jc w:val="left"/>
            </w:pPr>
            <w:r/>
            <w:r>
              <w:rPr>
                <w:rFonts w:ascii="Times New Roman" w:hAnsi="Times New Roman" w:cs="Times New Roman" w:eastAsia="Times New Roman"/>
                <w:sz w:val="20"/>
              </w:rPr>
              <w:t>Page size of the taxpayer list</w:t>
            </w:r>
          </w:p>
        </w:tc>
        <w:tc>
          <w:tcPr>
            <w:tcW w:type="dxa" w:w="3086"/>
          </w:tcPr>
          <w:p>
            <w:pPr>
              <w:spacing w:line="240" w:lineRule="auto" w:after="40"/>
              <w:jc w:val="left"/>
            </w:pPr>
            <w:r/>
            <w:r>
              <w:rPr>
                <w:rFonts w:ascii="Times New Roman" w:hAnsi="Times New Roman" w:cs="Times New Roman" w:eastAsia="Times New Roman"/>
                <w:sz w:val="20"/>
              </w:rPr>
              <w:t>1 to 500</w:t>
            </w:r>
          </w:p>
        </w:tc>
        <w:tc>
          <w:tcPr>
            <w:tcW w:type="dxa" w:w="2957"/>
          </w:tcPr>
          <w:p>
            <w:pPr>
              <w:spacing w:line="240" w:lineRule="auto" w:after="40"/>
              <w:jc w:val="left"/>
            </w:pPr>
            <w:r/>
            <w:r>
              <w:rPr>
                <w:rFonts w:ascii="Times New Roman" w:hAnsi="Times New Roman" w:cs="Times New Roman" w:eastAsia="Times New Roman"/>
                <w:sz w:val="20"/>
              </w:rPr>
              <w:t>query validation</w:t>
            </w:r>
          </w:p>
        </w:tc>
      </w:tr>
      <w:tr>
        <w:trPr>
          <w:cantSplit/>
        </w:trPr>
        <w:tc>
          <w:tcPr>
            <w:tcW w:type="dxa" w:w="2957"/>
          </w:tcPr>
          <w:p>
            <w:pPr>
              <w:spacing w:line="240" w:lineRule="auto" w:after="40"/>
              <w:jc w:val="left"/>
            </w:pPr>
            <w:r/>
            <w:r>
              <w:rPr>
                <w:rFonts w:ascii="Times New Roman" w:hAnsi="Times New Roman" w:cs="Times New Roman" w:eastAsia="Times New Roman"/>
                <w:sz w:val="20"/>
              </w:rPr>
              <w:t>Concurrent generations</w:t>
            </w:r>
          </w:p>
        </w:tc>
        <w:tc>
          <w:tcPr>
            <w:tcW w:type="dxa" w:w="3086"/>
          </w:tcPr>
          <w:p>
            <w:pPr>
              <w:spacing w:line="240" w:lineRule="auto" w:after="40"/>
              <w:jc w:val="center"/>
            </w:pPr>
            <w:r/>
            <w:r>
              <w:rPr>
                <w:rFonts w:ascii="Times New Roman" w:hAnsi="Times New Roman" w:cs="Times New Roman" w:eastAsia="Times New Roman"/>
                <w:sz w:val="20"/>
              </w:rPr>
              <w:t>1</w:t>
            </w:r>
          </w:p>
        </w:tc>
        <w:tc>
          <w:tcPr>
            <w:tcW w:type="dxa" w:w="2957"/>
          </w:tcPr>
          <w:p>
            <w:pPr>
              <w:spacing w:line="240" w:lineRule="auto" w:after="40"/>
              <w:jc w:val="left"/>
            </w:pPr>
            <w:r/>
            <w:r>
              <w:rPr>
                <w:rFonts w:ascii="Times New Roman" w:hAnsi="Times New Roman" w:cs="Times New Roman" w:eastAsia="Times New Roman"/>
                <w:sz w:val="20"/>
              </w:rPr>
              <w:t>Store.start_run returns 409 otherwise</w:t>
            </w:r>
          </w:p>
        </w:tc>
      </w:tr>
      <w:tr>
        <w:trPr>
          <w:cantSplit/>
        </w:trPr>
        <w:tc>
          <w:tcPr>
            <w:tcW w:type="dxa" w:w="2957"/>
          </w:tcPr>
          <w:p>
            <w:pPr>
              <w:spacing w:line="240" w:lineRule="auto" w:after="40"/>
              <w:jc w:val="left"/>
            </w:pPr>
            <w:r/>
            <w:r>
              <w:rPr>
                <w:rFonts w:ascii="Times New Roman" w:hAnsi="Times New Roman" w:cs="Times New Roman" w:eastAsia="Times New Roman"/>
                <w:sz w:val="20"/>
              </w:rPr>
              <w:t>Session lifetime</w:t>
            </w:r>
          </w:p>
        </w:tc>
        <w:tc>
          <w:tcPr>
            <w:tcW w:type="dxa" w:w="3086"/>
          </w:tcPr>
          <w:p>
            <w:pPr>
              <w:spacing w:line="240" w:lineRule="auto" w:after="40"/>
              <w:jc w:val="left"/>
            </w:pPr>
            <w:r/>
            <w:r>
              <w:rPr>
                <w:rFonts w:ascii="Times New Roman" w:hAnsi="Times New Roman" w:cs="Times New Roman" w:eastAsia="Times New Roman"/>
                <w:sz w:val="20"/>
              </w:rPr>
              <w:t>720 minutes</w:t>
            </w:r>
          </w:p>
        </w:tc>
        <w:tc>
          <w:tcPr>
            <w:tcW w:type="dxa" w:w="2957"/>
          </w:tcPr>
          <w:p>
            <w:pPr>
              <w:spacing w:line="240" w:lineRule="auto" w:after="40"/>
              <w:jc w:val="left"/>
            </w:pPr>
            <w:r/>
            <w:r>
              <w:rPr>
                <w:rFonts w:ascii="Times New Roman" w:hAnsi="Times New Roman" w:cs="Times New Roman" w:eastAsia="Times New Roman"/>
                <w:sz w:val="20"/>
              </w:rPr>
              <w:t>JWT_EXPIRE_MINUTES</w:t>
            </w:r>
          </w:p>
        </w:tc>
      </w:tr>
      <w:tr>
        <w:trPr>
          <w:cantSplit/>
        </w:trPr>
        <w:tc>
          <w:tcPr>
            <w:tcW w:type="dxa" w:w="2957"/>
          </w:tcPr>
          <w:p>
            <w:pPr>
              <w:spacing w:line="240" w:lineRule="auto" w:after="40"/>
              <w:jc w:val="left"/>
            </w:pPr>
            <w:r/>
            <w:r>
              <w:rPr>
                <w:rFonts w:ascii="Times New Roman" w:hAnsi="Times New Roman" w:cs="Times New Roman" w:eastAsia="Times New Roman"/>
                <w:sz w:val="20"/>
              </w:rPr>
              <w:t>Case-note length</w:t>
            </w:r>
          </w:p>
        </w:tc>
        <w:tc>
          <w:tcPr>
            <w:tcW w:type="dxa" w:w="3086"/>
          </w:tcPr>
          <w:p>
            <w:pPr>
              <w:spacing w:line="240" w:lineRule="auto" w:after="40"/>
              <w:jc w:val="left"/>
            </w:pPr>
            <w:r/>
            <w:r>
              <w:rPr>
                <w:rFonts w:ascii="Times New Roman" w:hAnsi="Times New Roman" w:cs="Times New Roman" w:eastAsia="Times New Roman"/>
                <w:sz w:val="20"/>
              </w:rPr>
              <w:t>under 320 words, three sections</w:t>
            </w:r>
          </w:p>
        </w:tc>
        <w:tc>
          <w:tcPr>
            <w:tcW w:type="dxa" w:w="2957"/>
          </w:tcPr>
          <w:p>
            <w:pPr>
              <w:spacing w:line="240" w:lineRule="auto" w:after="40"/>
              <w:jc w:val="left"/>
            </w:pPr>
            <w:r/>
            <w:r>
              <w:rPr>
                <w:rFonts w:ascii="Times New Roman" w:hAnsi="Times New Roman" w:cs="Times New Roman" w:eastAsia="Times New Roman"/>
                <w:sz w:val="20"/>
              </w:rPr>
              <w:t>system prompt in services/explainer.py</w:t>
            </w:r>
          </w:p>
        </w:tc>
      </w:tr>
      <w:tr>
        <w:trPr>
          <w:cantSplit/>
        </w:trPr>
        <w:tc>
          <w:tcPr>
            <w:tcW w:type="dxa" w:w="2957"/>
          </w:tcPr>
          <w:p>
            <w:pPr>
              <w:spacing w:line="240" w:lineRule="auto" w:after="40"/>
              <w:jc w:val="left"/>
            </w:pPr>
            <w:r/>
            <w:r>
              <w:rPr>
                <w:rFonts w:ascii="Times New Roman" w:hAnsi="Times New Roman" w:cs="Times New Roman" w:eastAsia="Times New Roman"/>
                <w:sz w:val="20"/>
              </w:rPr>
              <w:t>Users</w:t>
            </w:r>
          </w:p>
        </w:tc>
        <w:tc>
          <w:tcPr>
            <w:tcW w:type="dxa" w:w="3086"/>
          </w:tcPr>
          <w:p>
            <w:pPr>
              <w:spacing w:line="240" w:lineRule="auto" w:after="40"/>
              <w:jc w:val="left"/>
            </w:pPr>
            <w:r/>
            <w:r>
              <w:rPr>
                <w:rFonts w:ascii="Times New Roman" w:hAnsi="Times New Roman" w:cs="Times New Roman" w:eastAsia="Times New Roman"/>
                <w:sz w:val="20"/>
              </w:rPr>
              <w:t>Single role (analyst)</w:t>
            </w:r>
          </w:p>
        </w:tc>
        <w:tc>
          <w:tcPr>
            <w:tcW w:type="dxa" w:w="2957"/>
          </w:tcPr>
          <w:p>
            <w:pPr>
              <w:spacing w:line="240" w:lineRule="auto" w:after="40"/>
              <w:jc w:val="left"/>
            </w:pPr>
            <w:r/>
            <w:r>
              <w:rPr>
                <w:rFonts w:ascii="Times New Roman" w:hAnsi="Times New Roman" w:cs="Times New Roman" w:eastAsia="Times New Roman"/>
                <w:sz w:val="20"/>
              </w:rPr>
              <w:t>no role-based access control</w:t>
            </w:r>
          </w:p>
        </w:tc>
      </w:tr>
    </w:tbl>
    <w:p>
      <w:pPr>
        <w:spacing w:after="120" w:line="240" w:lineRule="auto"/>
      </w:pPr>
    </w:p>
    <w:p>
      <w:pPr>
        <w:pStyle w:val="Heading2"/>
      </w:pPr>
      <w:r>
        <w:t>Assumptions</w:t>
      </w:r>
    </w:p>
    <w:p>
      <w:pPr>
        <w:pStyle w:val="ListBullet"/>
      </w:pPr>
      <w:r>
        <w:rPr>
          <w:rFonts w:ascii="Times New Roman" w:hAnsi="Times New Roman" w:cs="Times New Roman" w:eastAsia="Times New Roman"/>
        </w:rPr>
        <w:t>Filing data of the three GST returns and registration data (address, contact, date) can be obtained for each taxpayer-month, and the features in Chapter 6 can be computed from them.</w:t>
      </w:r>
    </w:p>
    <w:p>
      <w:pPr>
        <w:pStyle w:val="ListBullet"/>
      </w:pPr>
      <w:r>
        <w:rPr>
          <w:rFonts w:ascii="Times New Roman" w:hAnsi="Times New Roman" w:cs="Times New Roman" w:eastAsia="Times New Roman"/>
        </w:rPr>
        <w:t>Normal behaviour is the majority behaviour in the data; fraud is a minority (13.2 % of taxpayers and 0.82 % of invoices in the bundled ecosystem).</w:t>
      </w:r>
    </w:p>
    <w:p>
      <w:pPr>
        <w:pStyle w:val="ListBullet"/>
      </w:pPr>
      <w:r>
        <w:rPr>
          <w:rFonts w:ascii="Times New Roman" w:hAnsi="Times New Roman" w:cs="Times New Roman" w:eastAsia="Times New Roman"/>
        </w:rPr>
        <w:t>The generator's hard negatives are a reasonable stand-in for legitimate irregularity; this was not validated against real data.</w:t>
      </w:r>
    </w:p>
    <w:p>
      <w:pPr>
        <w:pStyle w:val="ListBullet"/>
      </w:pPr>
      <w:r>
        <w:rPr>
          <w:rFonts w:ascii="Times New Roman" w:hAnsi="Times New Roman" w:cs="Times New Roman" w:eastAsia="Times New Roman"/>
        </w:rPr>
        <w:t>Gemini remains reachable during use of the case-note feature, and its free-tier limits are adequate for demonstrations.</w:t>
      </w:r>
    </w:p>
    <w:p>
      <w:pPr>
        <w:pStyle w:val="Heading2"/>
      </w:pPr>
      <w:r>
        <w:t>Deviations from the Approved Title and Abstract</w:t>
      </w:r>
    </w:p>
    <w:p>
      <w:pPr>
        <w:pStyle w:val="ListBullet"/>
      </w:pPr>
      <w:r>
        <w:rPr>
          <w:rFonts w:ascii="Times New Roman" w:hAnsi="Times New Roman" w:cs="Times New Roman" w:eastAsia="Times New Roman"/>
          <w:b/>
        </w:rPr>
        <w:t>"Tuned LLM".</w:t>
      </w:r>
      <w:r>
        <w:rPr>
          <w:rFonts w:ascii="Times New Roman" w:hAnsi="Times New Roman" w:cs="Times New Roman" w:eastAsia="Times New Roman"/>
        </w:rPr>
        <w:t xml:space="preserve"> The approved title and abstract speak of a tuned LLM. The system tunes the prompt and verifies the output; it does not fine-tune model weights. This is a deliberate scope decision: there is no corpus of real investigator notes to fine-tune on, and the grounding checks give a measurable quality signal without one.</w:t>
      </w:r>
    </w:p>
    <w:p>
      <w:pPr>
        <w:pStyle w:val="ListBullet"/>
      </w:pPr>
      <w:r>
        <w:rPr>
          <w:rFonts w:ascii="Times New Roman" w:hAnsi="Times New Roman" w:cs="Times New Roman" w:eastAsia="Times New Roman"/>
          <w:b/>
        </w:rPr>
        <w:t>"GST and Sales Tax".</w:t>
      </w:r>
      <w:r>
        <w:rPr>
          <w:rFonts w:ascii="Times New Roman" w:hAnsi="Times New Roman" w:cs="Times New Roman" w:eastAsia="Times New Roman"/>
        </w:rPr>
        <w:t xml:space="preserve"> Only the GST structure (GSTR-1, GSTR-2B, GSTR-3B, ITC) is modelled. The same ideas apply to other invoice-credit taxes, but no other tax regime was implemented or tested.</w:t>
      </w:r>
    </w:p>
    <w:p>
      <w:pPr>
        <w:pStyle w:val="ListBullet"/>
      </w:pPr>
      <w:r>
        <w:rPr>
          <w:rFonts w:ascii="Times New Roman" w:hAnsi="Times New Roman" w:cs="Times New Roman" w:eastAsia="Times New Roman"/>
          <w:b/>
        </w:rPr>
        <w:t>Base paper.</w:t>
      </w:r>
      <w:r>
        <w:rPr>
          <w:rFonts w:ascii="Times New Roman" w:hAnsi="Times New Roman" w:cs="Times New Roman" w:eastAsia="Times New Roman"/>
        </w:rPr>
        <w:t xml:space="preserve"> The batch's base paper is a qualitative study; the project builds the detection model that it calls for rather than reproducing a model from it.</w:t>
      </w:r>
    </w:p>
    <w:p>
      <w:pPr>
        <w:pStyle w:val="Heading2"/>
      </w:pPr>
      <w:r>
        <w:t>Limitations</w:t>
      </w:r>
    </w:p>
    <w:p>
      <w:pPr>
        <w:pStyle w:val="ListBullet"/>
      </w:pPr>
      <w:r>
        <w:rPr>
          <w:rFonts w:ascii="Times New Roman" w:hAnsi="Times New Roman" w:cs="Times New Roman" w:eastAsia="Times New Roman"/>
          <w:b/>
        </w:rPr>
        <w:t>Dataset size and realism.</w:t>
      </w:r>
      <w:r>
        <w:rPr>
          <w:rFonts w:ascii="Times New Roman" w:hAnsi="Times New Roman" w:cs="Times New Roman" w:eastAsia="Times New Roman"/>
        </w:rPr>
        <w:t xml:space="preserve"> One synthetic ecosystem of 600 taxpayers (and further generated ones of 150 to 1,500) with 12 months of filings; no real GST data. Results describe the method on this generator.</w:t>
      </w:r>
    </w:p>
    <w:p>
      <w:pPr>
        <w:pStyle w:val="ListBullet"/>
      </w:pPr>
      <w:r>
        <w:rPr>
          <w:rFonts w:ascii="Times New Roman" w:hAnsi="Times New Roman" w:cs="Times New Roman" w:eastAsia="Times New Roman"/>
          <w:b/>
        </w:rPr>
        <w:t>Cross-seed variability.</w:t>
      </w:r>
      <w:r>
        <w:rPr>
          <w:rFonts w:ascii="Times New Roman" w:hAnsi="Times New Roman" w:cs="Times New Roman" w:eastAsia="Times New Roman"/>
        </w:rPr>
        <w:t xml:space="preserve"> The weights and threshold were tuned on seed 42. On other generated ecosystems the F1 is lower and varies more (Chapter 8). The headline figures should therefore be read as the best case.</w:t>
      </w:r>
    </w:p>
    <w:p>
      <w:pPr>
        <w:pStyle w:val="ListBullet"/>
      </w:pPr>
      <w:r>
        <w:rPr>
          <w:rFonts w:ascii="Times New Roman" w:hAnsi="Times New Roman" w:cs="Times New Roman" w:eastAsia="Times New Roman"/>
          <w:b/>
        </w:rPr>
        <w:t>Hardware.</w:t>
      </w:r>
      <w:r>
        <w:rPr>
          <w:rFonts w:ascii="Times New Roman" w:hAnsi="Times New Roman" w:cs="Times New Roman" w:eastAsia="Times New Roman"/>
        </w:rPr>
        <w:t xml:space="preserve"> Everything was measured on one desktop CPU (Intel Core i5-12500, 15.7 GB RAM, no GPU), at times heavily loaded by other jobs; larger machines and larger data were not tried.</w:t>
      </w:r>
    </w:p>
    <w:p>
      <w:pPr>
        <w:pStyle w:val="ListBullet"/>
      </w:pPr>
      <w:r>
        <w:rPr>
          <w:rFonts w:ascii="Times New Roman" w:hAnsi="Times New Roman" w:cs="Times New Roman" w:eastAsia="Times New Roman"/>
          <w:b/>
        </w:rPr>
        <w:t>No held-out evaluation set.</w:t>
      </w:r>
      <w:r>
        <w:rPr>
          <w:rFonts w:ascii="Times New Roman" w:hAnsi="Times New Roman" w:cs="Times New Roman" w:eastAsia="Times New Roman"/>
        </w:rPr>
        <w:t xml:space="preserve"> The encoder is trained on all taxpayer-months of the ecosystem it later scores. This is the normal transductive setting for unsupervised anomaly detection, but it means there is no train/test split.</w:t>
      </w:r>
    </w:p>
    <w:p>
      <w:pPr>
        <w:pStyle w:val="ListBullet"/>
      </w:pPr>
      <w:r>
        <w:rPr>
          <w:rFonts w:ascii="Times New Roman" w:hAnsi="Times New Roman" w:cs="Times New Roman" w:eastAsia="Times New Roman"/>
          <w:b/>
        </w:rPr>
        <w:t>LLM.</w:t>
      </w:r>
      <w:r>
        <w:rPr>
          <w:rFonts w:ascii="Times New Roman" w:hAnsi="Times New Roman" w:cs="Times New Roman" w:eastAsia="Times New Roman"/>
        </w:rPr>
        <w:t xml:space="preserve"> Prompted, not fine-tuned. Note quality was evaluated on 6 of the 10 intended cases because the free quota ran out; the numeric-grounding score is 84 % over those notes, not 100 %.</w:t>
      </w:r>
    </w:p>
    <w:p>
      <w:pPr>
        <w:pStyle w:val="ListBullet"/>
      </w:pPr>
      <w:r>
        <w:rPr>
          <w:rFonts w:ascii="Times New Roman" w:hAnsi="Times New Roman" w:cs="Times New Roman" w:eastAsia="Times New Roman"/>
          <w:b/>
        </w:rPr>
        <w:t>Pattern coverage.</w:t>
      </w:r>
      <w:r>
        <w:rPr>
          <w:rFonts w:ascii="Times New Roman" w:hAnsi="Times New Roman" w:cs="Times New Roman" w:eastAsia="Times New Roman"/>
        </w:rPr>
        <w:t xml:space="preserve"> ITC-spike recall is 0.833, below the rule baseline's 1.00, and fake-invoice-buyer recall is 0.895.</w:t>
      </w:r>
    </w:p>
    <w:p>
      <w:pPr>
        <w:pStyle w:val="ListBullet"/>
      </w:pPr>
      <w:r>
        <w:rPr>
          <w:rFonts w:ascii="Times New Roman" w:hAnsi="Times New Roman" w:cs="Times New Roman" w:eastAsia="Times New Roman"/>
          <w:b/>
        </w:rPr>
        <w:t>Shell entities</w:t>
      </w:r>
      <w:r>
        <w:rPr>
          <w:rFonts w:ascii="Times New Roman" w:hAnsi="Times New Roman" w:cs="Times New Roman" w:eastAsia="Times New Roman"/>
        </w:rPr>
        <w:t xml:space="preserve"> look normal to the JEPA encoder (JEPA-only recall 0.203); detection depends on the network layer.</w:t>
      </w:r>
    </w:p>
    <w:p>
      <w:pPr>
        <w:pStyle w:val="ListBullet"/>
      </w:pPr>
      <w:r>
        <w:rPr>
          <w:rFonts w:ascii="Times New Roman" w:hAnsi="Times New Roman" w:cs="Times New Roman" w:eastAsia="Times New Roman"/>
          <w:b/>
        </w:rPr>
        <w:t>Testing.</w:t>
      </w:r>
      <w:r>
        <w:rPr>
          <w:rFonts w:ascii="Times New Roman" w:hAnsi="Times New Roman" w:cs="Times New Roman" w:eastAsia="Times New Roman"/>
        </w:rPr>
        <w:t xml:space="preserve"> No unit-test suite, no UI automation, no load test, no user-acceptance study.</w:t>
      </w:r>
    </w:p>
    <w:p>
      <w:pPr>
        <w:pStyle w:val="ListBullet"/>
      </w:pPr>
      <w:r>
        <w:rPr>
          <w:rFonts w:ascii="Times New Roman" w:hAnsi="Times New Roman" w:cs="Times New Roman" w:eastAsia="Times New Roman"/>
          <w:b/>
        </w:rPr>
        <w:t>Not implemented.</w:t>
      </w:r>
      <w:r>
        <w:rPr>
          <w:rFonts w:ascii="Times New Roman" w:hAnsi="Times New Roman" w:cs="Times New Roman" w:eastAsia="Times New Roman"/>
        </w:rPr>
        <w:t xml:space="preserve"> Role-based access, HTTPS, rate limiting, audit logging, case management, real-time processing.</w:t>
      </w:r>
    </w:p>
    <w:p>
      <w:pPr>
        <w:pStyle w:val="ListBullet"/>
      </w:pPr>
      <w:r>
        <w:rPr>
          <w:rFonts w:ascii="Times New Roman" w:hAnsi="Times New Roman" w:cs="Times New Roman" w:eastAsia="Times New Roman"/>
          <w:b/>
        </w:rPr>
        <w:t>Base-paper comparison.</w:t>
      </w:r>
      <w:r>
        <w:rPr>
          <w:rFonts w:ascii="Times New Roman" w:hAnsi="Times New Roman" w:cs="Times New Roman" w:eastAsia="Times New Roman"/>
        </w:rPr>
        <w:t xml:space="preserve"> The base paper has no model, so a numerical comparison with it is not possible; related supervised work (TED) used different, real data.</w:t>
      </w:r>
    </w:p>
    <w:p>
      <w:pPr>
        <w:pStyle w:val="Heading2"/>
      </w:pPr>
      <w:r>
        <w:t>1.8 Limitations and Assumptions</w:t>
      </w:r>
    </w:p>
    <w:p>
      <w:pPr>
        <w:pStyle w:val="ListBullet"/>
      </w:pPr>
      <w:r>
        <w:rPr>
          <w:rFonts w:ascii="Times New Roman" w:hAnsi="Times New Roman" w:cs="Times New Roman" w:eastAsia="Times New Roman"/>
          <w:b/>
        </w:rPr>
        <w:t>The data is synthetic.</w:t>
      </w:r>
      <w:r>
        <w:rPr>
          <w:rFonts w:ascii="Times New Roman" w:hAnsi="Times New Roman" w:cs="Times New Roman" w:eastAsia="Times New Roman"/>
        </w:rPr>
        <w:t xml:space="preserve"> Real GST returns were not available. The generator injects fraud with known labels and also injects legitimate hard negatives (festival seasonality, one-off capital purchases, new registrations, group companies sharing an address, late filers). All accuracy figures are measured against these injected labels and describe the method on this generator; they are not an estimate of performance on real filings.</w:t>
      </w:r>
    </w:p>
    <w:p>
      <w:pPr>
        <w:pStyle w:val="ListBullet"/>
      </w:pPr>
      <w:r>
        <w:rPr>
          <w:rFonts w:ascii="Times New Roman" w:hAnsi="Times New Roman" w:cs="Times New Roman" w:eastAsia="Times New Roman"/>
          <w:b/>
        </w:rPr>
        <w:t>Weights and thresholds were set on this generator.</w:t>
      </w:r>
      <w:r>
        <w:rPr>
          <w:rFonts w:ascii="Times New Roman" w:hAnsi="Times New Roman" w:cs="Times New Roman" w:eastAsia="Times New Roman"/>
        </w:rPr>
        <w:t xml:space="preserve"> The risk weights (0.75, 0.6, 0.7, 0.6) and thresholds (0.5) were chosen on the seed-42 ecosystem. A five-seed study (Section 8.2) shows how stable they are across other generated ecosystems; a real deployment would need recalibration on real returns.</w:t>
      </w:r>
    </w:p>
    <w:p>
      <w:pPr>
        <w:pStyle w:val="ListBullet"/>
      </w:pPr>
      <w:r>
        <w:rPr>
          <w:rFonts w:ascii="Times New Roman" w:hAnsi="Times New Roman" w:cs="Times New Roman" w:eastAsia="Times New Roman"/>
          <w:b/>
        </w:rPr>
        <w:t>The LLM is prompted, not fine-tuned.</w:t>
      </w:r>
      <w:r>
        <w:rPr>
          <w:rFonts w:ascii="Times New Roman" w:hAnsi="Times New Roman" w:cs="Times New Roman" w:eastAsia="Times New Roman"/>
        </w:rPr>
        <w:t xml:space="preserve"> Explanation quality was evaluated on 6 of the 10 planned cases because the free Gemini quota was exhausted for the other four.</w:t>
      </w:r>
    </w:p>
    <w:p>
      <w:pPr>
        <w:pStyle w:val="ListBullet"/>
      </w:pPr>
      <w:r>
        <w:rPr>
          <w:rFonts w:ascii="Times New Roman" w:hAnsi="Times New Roman" w:cs="Times New Roman" w:eastAsia="Times New Roman"/>
          <w:b/>
        </w:rPr>
        <w:t>No unit-test suite.</w:t>
      </w:r>
      <w:r>
        <w:rPr>
          <w:rFonts w:ascii="Times New Roman" w:hAnsi="Times New Roman" w:cs="Times New Roman" w:eastAsia="Times New Roman"/>
        </w:rPr>
        <w:t xml:space="preserve"> Testing consists of a 20-check end-to-end smoke test, 41 black-box edge and security checks and the evaluation harness (Chapter 7). There is no coverage figure and no user-acceptance study.</w:t>
      </w:r>
    </w:p>
    <w:p>
      <w:pPr>
        <w:pStyle w:val="ListBullet"/>
      </w:pPr>
      <w:r>
        <w:rPr>
          <w:rFonts w:ascii="Times New Roman" w:hAnsi="Times New Roman" w:cs="Times New Roman" w:eastAsia="Times New Roman"/>
          <w:b/>
        </w:rPr>
        <w:t>Shell entities look normal to JEPA.</w:t>
      </w:r>
      <w:r>
        <w:rPr>
          <w:rFonts w:ascii="Times New Roman" w:hAnsi="Times New Roman" w:cs="Times New Roman" w:eastAsia="Times New Roman"/>
        </w:rPr>
        <w:t xml:space="preserve"> Twenty-seven similar firms form their own "normal"; JEPA-only recall of shell entities is low and the network layer is what finds them.</w:t>
      </w:r>
    </w:p>
    <w:p>
      <w:pPr>
        <w:pStyle w:val="ListBullet"/>
      </w:pPr>
      <w:r>
        <w:rPr>
          <w:rFonts w:ascii="Times New Roman" w:hAnsi="Times New Roman" w:cs="Times New Roman" w:eastAsia="Times New Roman"/>
          <w:b/>
        </w:rPr>
        <w:t>Assumption.</w:t>
      </w:r>
      <w:r>
        <w:rPr>
          <w:rFonts w:ascii="Times New Roman" w:hAnsi="Times New Roman" w:cs="Times New Roman" w:eastAsia="Times New Roman"/>
        </w:rPr>
        <w:t xml:space="preserve"> The six feature layers described in Chapter 6 are assumed to be derivable from a state's GSTR-1, GSTR-2B and GSTR-3B data and taxpayer registration data; this is plausible but was not verified against real data schemas.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