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cs="Times New Roman" w:eastAsia="Times New Roman"/>
          <w:b/>
          <w:i w:val="0"/>
          <w:sz w:val="24"/>
        </w:rPr>
        <w:t>Department of Computer Science and Engineering (Data Science)</w:t>
      </w:r>
    </w:p>
    <w:p>
      <w:pPr>
        <w:spacing w:before="0" w:after="160" w:line="276" w:lineRule="auto"/>
        <w:jc w:val="center"/>
      </w:pPr>
      <w:r>
        <w:rPr>
          <w:rFonts w:ascii="Times New Roman" w:hAnsi="Times New Roman" w:cs="Times New Roman" w:eastAsia="Times New Roman"/>
          <w:b w:val="0"/>
          <w:i w:val="0"/>
          <w:sz w:val="24"/>
        </w:rPr>
        <w:t>CSDS-A  |  Batch A5</w:t>
      </w:r>
    </w:p>
    <w:p>
      <w:pPr>
        <w:spacing w:before="0" w:after="120" w:line="276" w:lineRule="auto"/>
        <w:jc w:val="center"/>
      </w:pPr>
      <w:r>
        <w:rPr>
          <w:rFonts w:ascii="Times New Roman" w:hAnsi="Times New Roman" w:cs="Times New Roman" w:eastAsia="Times New Roman"/>
          <w:b/>
          <w:i w:val="0"/>
          <w:sz w:val="28"/>
        </w:rPr>
        <w:t>JEPA-LLM Tuning Framework for Combating GST and Sales Tax Input Tax Credit Fraud Pattern Detection</w:t>
      </w:r>
    </w:p>
    <w:p>
      <w:pPr>
        <w:spacing w:before="0" w:after="160" w:line="276" w:lineRule="auto"/>
        <w:jc w:val="center"/>
      </w:pPr>
      <w:r>
        <w:rPr>
          <w:rFonts w:ascii="Times New Roman" w:hAnsi="Times New Roman" w:cs="Times New Roman" w:eastAsia="Times New Roman"/>
          <w:b/>
          <w:i w:val="0"/>
          <w:sz w:val="28"/>
        </w:rPr>
        <w:t>RESULTS</w:t>
      </w:r>
    </w:p>
    <w:tbl>
      <w:tblPr>
        <w:tblStyle w:val="TableGrid"/>
        <w:tblW w:type="auto" w:w="0"/>
        <w:jc w:val="center"/>
        <w:tblLook w:firstColumn="1" w:firstRow="1" w:lastColumn="0" w:lastRow="0" w:noHBand="0" w:noVBand="1" w:val="04A0"/>
      </w:tblPr>
      <w:tblGrid>
        <w:gridCol w:w="3010"/>
        <w:gridCol w:w="3010"/>
        <w:gridCol w:w="3010"/>
      </w:tblGrid>
      <w:tr>
        <w:tc>
          <w:tcPr>
            <w:tcW w:type="dxa" w:w="1152"/>
            <w:shd w:val="clear" w:color="auto" w:fill="DCFCE7"/>
          </w:tcPr>
          <w:p>
            <w:pPr>
              <w:spacing w:line="240" w:lineRule="auto"/>
              <w:jc w:val="center"/>
            </w:pPr>
            <w:r/>
            <w:r>
              <w:rPr>
                <w:rFonts w:ascii="Times New Roman" w:hAnsi="Times New Roman" w:cs="Times New Roman" w:eastAsia="Times New Roman"/>
                <w:b/>
                <w:sz w:val="22"/>
              </w:rPr>
              <w:t>S.No.</w:t>
            </w:r>
          </w:p>
        </w:tc>
        <w:tc>
          <w:tcPr>
            <w:tcW w:type="dxa" w:w="4320"/>
            <w:shd w:val="clear" w:color="auto" w:fill="DCFCE7"/>
          </w:tcPr>
          <w:p>
            <w:pPr>
              <w:spacing w:line="240" w:lineRule="auto"/>
              <w:jc w:val="center"/>
            </w:pPr>
            <w:r/>
            <w:r>
              <w:rPr>
                <w:rFonts w:ascii="Times New Roman" w:hAnsi="Times New Roman" w:cs="Times New Roman" w:eastAsia="Times New Roman"/>
                <w:b/>
                <w:sz w:val="22"/>
              </w:rPr>
              <w:t>Name of the student</w:t>
            </w:r>
          </w:p>
        </w:tc>
        <w:tc>
          <w:tcPr>
            <w:tcW w:type="dxa" w:w="2592"/>
            <w:shd w:val="clear" w:color="auto" w:fill="DCFCE7"/>
          </w:tcPr>
          <w:p>
            <w:pPr>
              <w:spacing w:line="240" w:lineRule="auto"/>
              <w:jc w:val="center"/>
            </w:pPr>
            <w:r/>
            <w:r>
              <w:rPr>
                <w:rFonts w:ascii="Times New Roman" w:hAnsi="Times New Roman" w:cs="Times New Roman" w:eastAsia="Times New Roman"/>
                <w:b/>
                <w:sz w:val="22"/>
              </w:rPr>
              <w:t>Hall ticket no.</w:t>
            </w:r>
          </w:p>
        </w:tc>
      </w:tr>
      <w:tr>
        <w:tc>
          <w:tcPr>
            <w:tcW w:type="dxa" w:w="1152"/>
          </w:tcPr>
          <w:p>
            <w:pPr>
              <w:spacing w:line="240" w:lineRule="auto"/>
              <w:jc w:val="center"/>
            </w:pPr>
            <w:r/>
            <w:r>
              <w:rPr>
                <w:rFonts w:ascii="Times New Roman" w:hAnsi="Times New Roman" w:cs="Times New Roman" w:eastAsia="Times New Roman"/>
                <w:sz w:val="22"/>
              </w:rPr>
              <w:t>1</w:t>
            </w:r>
          </w:p>
        </w:tc>
        <w:tc>
          <w:tcPr>
            <w:tcW w:type="dxa" w:w="4320"/>
          </w:tcPr>
          <w:p>
            <w:pPr>
              <w:spacing w:line="240" w:lineRule="auto"/>
              <w:jc w:val="center"/>
            </w:pPr>
            <w:r/>
            <w:r>
              <w:rPr>
                <w:rFonts w:ascii="Times New Roman" w:hAnsi="Times New Roman" w:cs="Times New Roman" w:eastAsia="Times New Roman"/>
                <w:sz w:val="22"/>
              </w:rPr>
              <w:t>B.ASHRITHA</w:t>
            </w:r>
          </w:p>
        </w:tc>
        <w:tc>
          <w:tcPr>
            <w:tcW w:type="dxa" w:w="2592"/>
          </w:tcPr>
          <w:p>
            <w:pPr>
              <w:spacing w:line="240" w:lineRule="auto"/>
              <w:jc w:val="center"/>
            </w:pPr>
            <w:r/>
            <w:r>
              <w:rPr>
                <w:rFonts w:ascii="Times New Roman" w:hAnsi="Times New Roman" w:cs="Times New Roman" w:eastAsia="Times New Roman"/>
                <w:sz w:val="22"/>
              </w:rPr>
              <w:t>23K91A6732</w:t>
            </w:r>
          </w:p>
        </w:tc>
      </w:tr>
      <w:tr>
        <w:tc>
          <w:tcPr>
            <w:tcW w:type="dxa" w:w="1152"/>
          </w:tcPr>
          <w:p>
            <w:pPr>
              <w:spacing w:line="240" w:lineRule="auto"/>
              <w:jc w:val="center"/>
            </w:pPr>
            <w:r/>
            <w:r>
              <w:rPr>
                <w:rFonts w:ascii="Times New Roman" w:hAnsi="Times New Roman" w:cs="Times New Roman" w:eastAsia="Times New Roman"/>
                <w:sz w:val="22"/>
              </w:rPr>
              <w:t>2</w:t>
            </w:r>
          </w:p>
        </w:tc>
        <w:tc>
          <w:tcPr>
            <w:tcW w:type="dxa" w:w="4320"/>
          </w:tcPr>
          <w:p>
            <w:pPr>
              <w:spacing w:line="240" w:lineRule="auto"/>
              <w:jc w:val="center"/>
            </w:pPr>
            <w:r/>
            <w:r>
              <w:rPr>
                <w:rFonts w:ascii="Times New Roman" w:hAnsi="Times New Roman" w:cs="Times New Roman" w:eastAsia="Times New Roman"/>
                <w:sz w:val="22"/>
              </w:rPr>
              <w:t>B.DIVYA</w:t>
            </w:r>
          </w:p>
        </w:tc>
        <w:tc>
          <w:tcPr>
            <w:tcW w:type="dxa" w:w="2592"/>
          </w:tcPr>
          <w:p>
            <w:pPr>
              <w:spacing w:line="240" w:lineRule="auto"/>
              <w:jc w:val="center"/>
            </w:pPr>
            <w:r/>
            <w:r>
              <w:rPr>
                <w:rFonts w:ascii="Times New Roman" w:hAnsi="Times New Roman" w:cs="Times New Roman" w:eastAsia="Times New Roman"/>
                <w:sz w:val="22"/>
              </w:rPr>
              <w:t>23K91A6739</w:t>
            </w:r>
          </w:p>
        </w:tc>
      </w:tr>
      <w:tr>
        <w:tc>
          <w:tcPr>
            <w:tcW w:type="dxa" w:w="1152"/>
          </w:tcPr>
          <w:p>
            <w:pPr>
              <w:spacing w:line="240" w:lineRule="auto"/>
              <w:jc w:val="center"/>
            </w:pPr>
            <w:r/>
            <w:r>
              <w:rPr>
                <w:rFonts w:ascii="Times New Roman" w:hAnsi="Times New Roman" w:cs="Times New Roman" w:eastAsia="Times New Roman"/>
                <w:sz w:val="22"/>
              </w:rPr>
              <w:t>3</w:t>
            </w:r>
          </w:p>
        </w:tc>
        <w:tc>
          <w:tcPr>
            <w:tcW w:type="dxa" w:w="4320"/>
          </w:tcPr>
          <w:p>
            <w:pPr>
              <w:spacing w:line="240" w:lineRule="auto"/>
              <w:jc w:val="center"/>
            </w:pPr>
            <w:r/>
            <w:r>
              <w:rPr>
                <w:rFonts w:ascii="Times New Roman" w:hAnsi="Times New Roman" w:cs="Times New Roman" w:eastAsia="Times New Roman"/>
                <w:sz w:val="22"/>
              </w:rPr>
              <w:t>A.KISHORE</w:t>
            </w:r>
          </w:p>
        </w:tc>
        <w:tc>
          <w:tcPr>
            <w:tcW w:type="dxa" w:w="2592"/>
          </w:tcPr>
          <w:p>
            <w:pPr>
              <w:spacing w:line="240" w:lineRule="auto"/>
              <w:jc w:val="center"/>
            </w:pPr>
            <w:r/>
            <w:r>
              <w:rPr>
                <w:rFonts w:ascii="Times New Roman" w:hAnsi="Times New Roman" w:cs="Times New Roman" w:eastAsia="Times New Roman"/>
                <w:sz w:val="22"/>
              </w:rPr>
              <w:t>23K91A6716</w:t>
            </w:r>
          </w:p>
        </w:tc>
      </w:tr>
      <w:tr>
        <w:tc>
          <w:tcPr>
            <w:tcW w:type="dxa" w:w="1152"/>
          </w:tcPr>
          <w:p>
            <w:pPr>
              <w:spacing w:line="240" w:lineRule="auto"/>
              <w:jc w:val="center"/>
            </w:pPr>
            <w:r/>
            <w:r>
              <w:rPr>
                <w:rFonts w:ascii="Times New Roman" w:hAnsi="Times New Roman" w:cs="Times New Roman" w:eastAsia="Times New Roman"/>
                <w:sz w:val="22"/>
              </w:rPr>
              <w:t>4</w:t>
            </w:r>
          </w:p>
        </w:tc>
        <w:tc>
          <w:tcPr>
            <w:tcW w:type="dxa" w:w="4320"/>
          </w:tcPr>
          <w:p>
            <w:pPr>
              <w:spacing w:line="240" w:lineRule="auto"/>
              <w:jc w:val="center"/>
            </w:pPr>
            <w:r/>
            <w:r>
              <w:rPr>
                <w:rFonts w:ascii="Times New Roman" w:hAnsi="Times New Roman" w:cs="Times New Roman" w:eastAsia="Times New Roman"/>
                <w:sz w:val="22"/>
              </w:rPr>
              <w:t>A.YAGNESH</w:t>
            </w:r>
          </w:p>
        </w:tc>
        <w:tc>
          <w:tcPr>
            <w:tcW w:type="dxa" w:w="2592"/>
          </w:tcPr>
          <w:p>
            <w:pPr>
              <w:spacing w:line="240" w:lineRule="auto"/>
              <w:jc w:val="center"/>
            </w:pPr>
            <w:r/>
            <w:r>
              <w:rPr>
                <w:rFonts w:ascii="Times New Roman" w:hAnsi="Times New Roman" w:cs="Times New Roman" w:eastAsia="Times New Roman"/>
                <w:sz w:val="22"/>
              </w:rPr>
              <w:t>23K91A6711</w:t>
            </w:r>
          </w:p>
        </w:tc>
      </w:tr>
    </w:tbl>
    <w:p>
      <w:pPr>
        <w:spacing w:before="120" w:after="40" w:line="276" w:lineRule="auto"/>
        <w:jc w:val="center"/>
      </w:pPr>
      <w:r>
        <w:rPr>
          <w:rFonts w:ascii="Times New Roman" w:hAnsi="Times New Roman" w:cs="Times New Roman" w:eastAsia="Times New Roman"/>
          <w:b w:val="0"/>
          <w:i w:val="0"/>
          <w:sz w:val="24"/>
        </w:rPr>
        <w:t>Project guide: Dr. N. Ch. Ravi, Professor in CSE (Data Science)</w:t>
      </w:r>
    </w:p>
    <w:p>
      <w:pPr>
        <w:spacing w:before="0" w:after="200" w:line="276" w:lineRule="auto"/>
        <w:jc w:val="center"/>
      </w:pPr>
      <w:r>
        <w:rPr>
          <w:rFonts w:ascii="Times New Roman" w:hAnsi="Times New Roman" w:cs="Times New Roman" w:eastAsia="Times New Roman"/>
          <w:b w:val="0"/>
          <w:i w:val="0"/>
          <w:sz w:val="22"/>
        </w:rPr>
        <w:t>TKR College of Engineering and Technology (Autonomous)  |  A.Y. 2026-27</w:t>
      </w:r>
    </w:p>
    <w:p>
      <w:pPr>
        <w:spacing w:line="276" w:lineRule="auto"/>
      </w:pPr>
      <w:r>
        <w:rPr>
          <w:rFonts w:ascii="Times New Roman" w:hAnsi="Times New Roman" w:cs="Times New Roman" w:eastAsia="Times New Roman"/>
          <w:i/>
          <w:sz w:val="21"/>
        </w:rPr>
        <w:t>This document presents the measured results of the project: model performance with tables and charts, every output screen of the application with a caption, success and failure cases, a comparison with the base paper and the objectives measured against the outcomes. All numbers come from the project's own experiment files.</w:t>
      </w:r>
    </w:p>
    <w:p>
      <w:pPr>
        <w:spacing w:line="276" w:lineRule="auto"/>
      </w:pPr>
      <w:r>
        <w:rPr>
          <w:rFonts w:ascii="Times New Roman" w:hAnsi="Times New Roman" w:cs="Times New Roman" w:eastAsia="Times New Roman"/>
          <w:i/>
          <w:sz w:val="21"/>
        </w:rPr>
        <w:t>Section, table and figure numbers in this document follow the Final Document (17.Final Document.docx) where a section is cited; tables and figures are numbered within this document.</w:t>
      </w:r>
    </w:p>
    <w:p>
      <w:pPr>
        <w:pStyle w:val="Heading2"/>
      </w:pPr>
      <w:r>
        <w:t>8.1 Output Screens</w:t>
      </w:r>
    </w:p>
    <w:p>
      <w:r>
        <w:rPr>
          <w:rFonts w:ascii="Times New Roman" w:hAnsi="Times New Roman" w:cs="Times New Roman" w:eastAsia="Times New Roman"/>
        </w:rPr>
        <w:t>All screens below were captured from the running application at 1440 x 900 with the bundled ecosystem (seed 42, 600 taxpayers) generated through the interface. None is a mock-up. They are described in the order of the analyst's workflow; the remaining screens are in Appendix C.</w:t>
      </w:r>
    </w:p>
    <w:p>
      <w:r>
        <w:rPr>
          <w:rFonts w:ascii="Times New Roman" w:hAnsi="Times New Roman" w:cs="Times New Roman" w:eastAsia="Times New Roman"/>
        </w:rPr>
        <w:t xml:space="preserve">The Overview during a run. Pressing </w:t>
      </w:r>
      <w:r>
        <w:rPr>
          <w:rFonts w:ascii="Times New Roman" w:hAnsi="Times New Roman" w:cs="Times New Roman" w:eastAsia="Times New Roman"/>
          <w:i/>
        </w:rPr>
        <w:t>Generate &amp; analyse</w:t>
      </w:r>
      <w:r>
        <w:rPr>
          <w:rFonts w:ascii="Times New Roman" w:hAnsi="Times New Roman" w:cs="Times New Roman" w:eastAsia="Times New Roman"/>
        </w:rPr>
        <w:t xml:space="preserve"> starts the background generation; the stepper marks generate and features as done and JEPA training as active, with the epoch and loss (epoch 10 of 100, loss 0.2571, 25 %), and the activity log streams every pipeline message. This is the screen that makes the long-running stage visible instead of leaving the user with a spinner.</w:t>
      </w:r>
    </w:p>
    <w:p>
      <w:pPr>
        <w:keepNext/>
        <w:spacing w:line="240" w:lineRule="auto"/>
        <w:jc w:val="center"/>
      </w:pPr>
      <w:r>
        <w:drawing>
          <wp:inline xmlns:a="http://schemas.openxmlformats.org/drawingml/2006/main" xmlns:pic="http://schemas.openxmlformats.org/drawingml/2006/picture">
            <wp:extent cx="4297680" cy="2686050"/>
            <wp:docPr id="1" name="Picture 1"/>
            <wp:cNvGraphicFramePr>
              <a:graphicFrameLocks noChangeAspect="1"/>
            </wp:cNvGraphicFramePr>
            <a:graphic>
              <a:graphicData uri="http://schemas.openxmlformats.org/drawingml/2006/picture">
                <pic:pic>
                  <pic:nvPicPr>
                    <pic:cNvPr id="0" name="05_overview_generating.png"/>
                    <pic:cNvPicPr/>
                  </pic:nvPicPr>
                  <pic:blipFill>
                    <a:blip r:embed="rId10"/>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w:t>
      </w:r>
      <w:r>
        <w:rPr>
          <w:rFonts w:ascii="Times New Roman" w:hAnsi="Times New Roman" w:cs="Times New Roman" w:eastAsia="Times New Roman"/>
          <w:b/>
        </w:rPr>
        <w:fldChar w:fldCharType="end"/>
      </w:r>
      <w:r>
        <w:rPr>
          <w:rFonts w:ascii="Times New Roman" w:hAnsi="Times New Roman" w:cs="Times New Roman" w:eastAsia="Times New Roman"/>
          <w:b/>
          <w:sz w:val="22"/>
        </w:rPr>
        <w:t>: Overview while a run is in progress: the stage stepper shows JEPA training at epoch 10 of 100 (25 %) and the activity log streams the pipeline messages.</w:t>
      </w:r>
    </w:p>
    <w:p>
      <w:r>
        <w:rPr>
          <w:rFonts w:ascii="Times New Roman" w:hAnsi="Times New Roman" w:cs="Times New Roman" w:eastAsia="Times New Roman"/>
        </w:rPr>
        <w:t>The Overview after the run. The headline cards show 600 taxpayers with 6,977 monthly returns, 64,474 invoices of which 581 are anomalous, 78 flagged taxpayers (13.0 % of the ecosystem) and Rs 25.62 Cr of ITC attached to flagged taxpayers out of Rs 187.59 Cr claimed. The detection card shows precision@79 of 95 % for the model against 62 % for the rule baseline.</w:t>
      </w:r>
    </w:p>
    <w:p>
      <w:pPr>
        <w:keepNext/>
        <w:spacing w:line="240" w:lineRule="auto"/>
        <w:jc w:val="center"/>
      </w:pPr>
      <w:r>
        <w:drawing>
          <wp:inline xmlns:a="http://schemas.openxmlformats.org/drawingml/2006/main" xmlns:pic="http://schemas.openxmlformats.org/drawingml/2006/picture">
            <wp:extent cx="4297680" cy="2686050"/>
            <wp:docPr id="2" name="Picture 2"/>
            <wp:cNvGraphicFramePr>
              <a:graphicFrameLocks noChangeAspect="1"/>
            </wp:cNvGraphicFramePr>
            <a:graphic>
              <a:graphicData uri="http://schemas.openxmlformats.org/drawingml/2006/picture">
                <pic:pic>
                  <pic:nvPicPr>
                    <pic:cNvPr id="0" name="06_overview_results.png"/>
                    <pic:cNvPicPr/>
                  </pic:nvPicPr>
                  <pic:blipFill>
                    <a:blip r:embed="rId11"/>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w:t>
      </w:r>
      <w:r>
        <w:rPr>
          <w:rFonts w:ascii="Times New Roman" w:hAnsi="Times New Roman" w:cs="Times New Roman" w:eastAsia="Times New Roman"/>
          <w:b/>
        </w:rPr>
        <w:fldChar w:fldCharType="end"/>
      </w:r>
      <w:r>
        <w:rPr>
          <w:rFonts w:ascii="Times New Roman" w:hAnsi="Times New Roman" w:cs="Times New Roman" w:eastAsia="Times New Roman"/>
          <w:b/>
          <w:sz w:val="22"/>
        </w:rPr>
        <w:t>: Overview after the run completes (seed 42, 600 taxpayers): 64,474 invoices, 78 flagged taxpayers, ITC at risk of Rs 25.62 Cr of Rs 187.59 Cr claimed, and precision@79 of 95 % against 62 % for the rule baseline.</w:t>
      </w:r>
    </w:p>
    <w:p>
      <w:r>
        <w:rPr>
          <w:rFonts w:ascii="Times New Roman" w:hAnsi="Times New Roman" w:cs="Times New Roman" w:eastAsia="Times New Roman"/>
        </w:rPr>
        <w:t>The ranked list. The first rows are circular-trading and shell-entity taxpayers with risks of 0.91 to 0.97 and the layer scores in separate columns. Search, pattern, sector and flag filters and the sort order are kept in the URL so that a view can be shared.</w:t>
      </w:r>
    </w:p>
    <w:p>
      <w:pPr>
        <w:keepNext/>
        <w:spacing w:line="240" w:lineRule="auto"/>
        <w:jc w:val="center"/>
      </w:pPr>
      <w:r>
        <w:drawing>
          <wp:inline xmlns:a="http://schemas.openxmlformats.org/drawingml/2006/main" xmlns:pic="http://schemas.openxmlformats.org/drawingml/2006/picture">
            <wp:extent cx="4297680" cy="2686050"/>
            <wp:docPr id="3" name="Picture 3"/>
            <wp:cNvGraphicFramePr>
              <a:graphicFrameLocks noChangeAspect="1"/>
            </wp:cNvGraphicFramePr>
            <a:graphic>
              <a:graphicData uri="http://schemas.openxmlformats.org/drawingml/2006/picture">
                <pic:pic>
                  <pic:nvPicPr>
                    <pic:cNvPr id="0" name="07_taxpayers_ranking.png"/>
                    <pic:cNvPicPr/>
                  </pic:nvPicPr>
                  <pic:blipFill>
                    <a:blip r:embed="rId12"/>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3</w:t>
      </w:r>
      <w:r>
        <w:rPr>
          <w:rFonts w:ascii="Times New Roman" w:hAnsi="Times New Roman" w:cs="Times New Roman" w:eastAsia="Times New Roman"/>
          <w:b/>
        </w:rPr>
        <w:fldChar w:fldCharType="end"/>
      </w:r>
      <w:r>
        <w:rPr>
          <w:rFonts w:ascii="Times New Roman" w:hAnsi="Times New Roman" w:cs="Times New Roman" w:eastAsia="Times New Roman"/>
          <w:b/>
          <w:sz w:val="22"/>
        </w:rPr>
        <w:t>: Taxpayer risk ranking with search, pattern, sector and flag filters and sort order; the top rows are circular-trading and shell-entity taxpayers.</w:t>
      </w:r>
    </w:p>
    <w:p>
      <w:r>
        <w:rPr>
          <w:rFonts w:ascii="Times New Roman" w:hAnsi="Times New Roman" w:cs="Times New Roman" w:eastAsia="Times New Roman"/>
        </w:rPr>
        <w:t>The profile of the top-ranked taxpayer, Lotus Manufacturing Pvt Ltd (risk 0.97, rank 1, circular trading). The Signals tab shows the four layer scores (JEPA 0.93, behaviour 0.61, network 0.78, invoice 1.00), the rule triggered (R4) and the monthly chart of ITC available in GSTR-2B against ITC claimed in GSTR-3B, with the JEPA deviation line peaking at 25.0 times a typical taxpayer-month in March 2026.</w:t>
      </w:r>
    </w:p>
    <w:p>
      <w:pPr>
        <w:keepNext/>
        <w:spacing w:line="240" w:lineRule="auto"/>
        <w:jc w:val="center"/>
      </w:pPr>
      <w:r>
        <w:drawing>
          <wp:inline xmlns:a="http://schemas.openxmlformats.org/drawingml/2006/main" xmlns:pic="http://schemas.openxmlformats.org/drawingml/2006/picture">
            <wp:extent cx="4297680" cy="2686050"/>
            <wp:docPr id="4" name="Picture 4"/>
            <wp:cNvGraphicFramePr>
              <a:graphicFrameLocks noChangeAspect="1"/>
            </wp:cNvGraphicFramePr>
            <a:graphic>
              <a:graphicData uri="http://schemas.openxmlformats.org/drawingml/2006/picture">
                <pic:pic>
                  <pic:nvPicPr>
                    <pic:cNvPr id="0" name="08_profile_signals.png"/>
                    <pic:cNvPicPr/>
                  </pic:nvPicPr>
                  <pic:blipFill>
                    <a:blip r:embed="rId13"/>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4</w:t>
      </w:r>
      <w:r>
        <w:rPr>
          <w:rFonts w:ascii="Times New Roman" w:hAnsi="Times New Roman" w:cs="Times New Roman" w:eastAsia="Times New Roman"/>
          <w:b/>
        </w:rPr>
        <w:fldChar w:fldCharType="end"/>
      </w:r>
      <w:r>
        <w:rPr>
          <w:rFonts w:ascii="Times New Roman" w:hAnsi="Times New Roman" w:cs="Times New Roman" w:eastAsia="Times New Roman"/>
          <w:b/>
          <w:sz w:val="22"/>
        </w:rPr>
        <w:t>: Taxpayer profile, Signals tab (Lotus Manufacturing Pvt Ltd, rank 1, risk 0.97): the four risk layers, the rules triggered and monthly ITC available (GSTR-2B) against ITC claimed (GSTR-3B) with the JEPA deviation line.</w:t>
      </w:r>
    </w:p>
    <w:p>
      <w:r>
        <w:rPr>
          <w:rFonts w:ascii="Times New Roman" w:hAnsi="Times New Roman" w:cs="Times New Roman" w:eastAsia="Times New Roman"/>
        </w:rPr>
        <w:t>The Evidence tab. Five numbered items, ordered by severity, each with layer, severity and the concrete figures: JEPA deviation, suspicious purchase invoices (11 invoices worth Rs 8.94 Cr carrying Rs 1.61 Cr of ITC), suspicious sales invoices issued (12 worth Rs 9.15 Cr), membership of ring R01 with the loop path, and almost no tax paid in cash (16.6 % of Rs 2.03 Cr).</w:t>
      </w:r>
    </w:p>
    <w:p>
      <w:pPr>
        <w:keepNext/>
        <w:spacing w:line="240" w:lineRule="auto"/>
        <w:jc w:val="center"/>
      </w:pPr>
      <w:r>
        <w:drawing>
          <wp:inline xmlns:a="http://schemas.openxmlformats.org/drawingml/2006/main" xmlns:pic="http://schemas.openxmlformats.org/drawingml/2006/picture">
            <wp:extent cx="4297680" cy="3047174"/>
            <wp:docPr id="5" name="Picture 5"/>
            <wp:cNvGraphicFramePr>
              <a:graphicFrameLocks noChangeAspect="1"/>
            </wp:cNvGraphicFramePr>
            <a:graphic>
              <a:graphicData uri="http://schemas.openxmlformats.org/drawingml/2006/picture">
                <pic:pic>
                  <pic:nvPicPr>
                    <pic:cNvPr id="0" name="09_profile_evidence.png"/>
                    <pic:cNvPicPr/>
                  </pic:nvPicPr>
                  <pic:blipFill>
                    <a:blip r:embed="rId14"/>
                    <a:stretch>
                      <a:fillRect/>
                    </a:stretch>
                  </pic:blipFill>
                  <pic:spPr>
                    <a:xfrm>
                      <a:off x="0" y="0"/>
                      <a:ext cx="4297680" cy="304717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5</w:t>
      </w:r>
      <w:r>
        <w:rPr>
          <w:rFonts w:ascii="Times New Roman" w:hAnsi="Times New Roman" w:cs="Times New Roman" w:eastAsia="Times New Roman"/>
          <w:b/>
        </w:rPr>
        <w:fldChar w:fldCharType="end"/>
      </w:r>
      <w:r>
        <w:rPr>
          <w:rFonts w:ascii="Times New Roman" w:hAnsi="Times New Roman" w:cs="Times New Roman" w:eastAsia="Times New Roman"/>
          <w:b/>
          <w:sz w:val="22"/>
        </w:rPr>
        <w:t>: Taxpayer profile, Evidence tab: the numbered evidence list (E1 to E5) with layer, severity and concrete figures.</w:t>
      </w:r>
    </w:p>
    <w:p>
      <w:r>
        <w:rPr>
          <w:rFonts w:ascii="Times New Roman" w:hAnsi="Times New Roman" w:cs="Times New Roman" w:eastAsia="Times New Roman"/>
        </w:rPr>
        <w:t>The Network tab. The local trading network of the taxpayer is drawn with the circular-trading loop in red and a table of the main trading partners with the value bought from and sold to each and their own risk; the partners in the loop have risks of 0.86 to 0.94.</w:t>
      </w:r>
    </w:p>
    <w:p>
      <w:pPr>
        <w:keepNext/>
        <w:spacing w:line="240" w:lineRule="auto"/>
        <w:jc w:val="center"/>
      </w:pPr>
      <w:r>
        <w:drawing>
          <wp:inline xmlns:a="http://schemas.openxmlformats.org/drawingml/2006/main" xmlns:pic="http://schemas.openxmlformats.org/drawingml/2006/picture">
            <wp:extent cx="4297680" cy="2686050"/>
            <wp:docPr id="6" name="Picture 6"/>
            <wp:cNvGraphicFramePr>
              <a:graphicFrameLocks noChangeAspect="1"/>
            </wp:cNvGraphicFramePr>
            <a:graphic>
              <a:graphicData uri="http://schemas.openxmlformats.org/drawingml/2006/picture">
                <pic:pic>
                  <pic:nvPicPr>
                    <pic:cNvPr id="0" name="10_profile_network_ring.png"/>
                    <pic:cNvPicPr/>
                  </pic:nvPicPr>
                  <pic:blipFill>
                    <a:blip r:embed="rId15"/>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6</w:t>
      </w:r>
      <w:r>
        <w:rPr>
          <w:rFonts w:ascii="Times New Roman" w:hAnsi="Times New Roman" w:cs="Times New Roman" w:eastAsia="Times New Roman"/>
          <w:b/>
        </w:rPr>
        <w:fldChar w:fldCharType="end"/>
      </w:r>
      <w:r>
        <w:rPr>
          <w:rFonts w:ascii="Times New Roman" w:hAnsi="Times New Roman" w:cs="Times New Roman" w:eastAsia="Times New Roman"/>
          <w:b/>
          <w:sz w:val="22"/>
        </w:rPr>
        <w:t>: Taxpayer profile, Network tab: the local trading network with the circular-trading loop in red and the main trading partners.</w:t>
      </w:r>
    </w:p>
    <w:p>
      <w:r>
        <w:rPr>
          <w:rFonts w:ascii="Times New Roman" w:hAnsi="Times New Roman" w:cs="Times New Roman" w:eastAsia="Times New Roman"/>
        </w:rPr>
        <w:t>A different pattern: Ganga Wholesale, flagged as a shell entity with an ITC spike. The monthly chart shows the GSTR-3B claim rising far above the credit available in GSTR-2B in two months while the JEPA deviation line peaks, which is how the spike is seen.</w:t>
      </w:r>
    </w:p>
    <w:p>
      <w:pPr>
        <w:keepNext/>
        <w:spacing w:line="240" w:lineRule="auto"/>
        <w:jc w:val="center"/>
      </w:pPr>
      <w:r>
        <w:drawing>
          <wp:inline xmlns:a="http://schemas.openxmlformats.org/drawingml/2006/main" xmlns:pic="http://schemas.openxmlformats.org/drawingml/2006/picture">
            <wp:extent cx="4297680" cy="2686050"/>
            <wp:docPr id="7" name="Picture 7"/>
            <wp:cNvGraphicFramePr>
              <a:graphicFrameLocks noChangeAspect="1"/>
            </wp:cNvGraphicFramePr>
            <a:graphic>
              <a:graphicData uri="http://schemas.openxmlformats.org/drawingml/2006/picture">
                <pic:pic>
                  <pic:nvPicPr>
                    <pic:cNvPr id="0" name="12_profile_itc_spike.png"/>
                    <pic:cNvPicPr/>
                  </pic:nvPicPr>
                  <pic:blipFill>
                    <a:blip r:embed="rId16"/>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7</w:t>
      </w:r>
      <w:r>
        <w:rPr>
          <w:rFonts w:ascii="Times New Roman" w:hAnsi="Times New Roman" w:cs="Times New Roman" w:eastAsia="Times New Roman"/>
          <w:b/>
        </w:rPr>
        <w:fldChar w:fldCharType="end"/>
      </w:r>
      <w:r>
        <w:rPr>
          <w:rFonts w:ascii="Times New Roman" w:hAnsi="Times New Roman" w:cs="Times New Roman" w:eastAsia="Times New Roman"/>
          <w:b/>
          <w:sz w:val="22"/>
        </w:rPr>
        <w:t>: Profile of an ITC-spike and shell-entity taxpayer (Ganga Wholesale): the monthly chart shows the claim far above the credit available in GSTR-2B.</w:t>
      </w:r>
    </w:p>
    <w:p>
      <w:r>
        <w:rPr>
          <w:rFonts w:ascii="Times New Roman" w:hAnsi="Times New Roman" w:cs="Times New Roman" w:eastAsia="Times New Roman"/>
        </w:rPr>
        <w:t>The whole fraud network. Loop edges are red, high-risk taxpayers red, watch-list taxpayers amber, shared-identity members are ringed. The cluster of connected red nodes in the middle is the set of five injected rings and their neighbours.</w:t>
      </w:r>
    </w:p>
    <w:p>
      <w:pPr>
        <w:keepNext/>
        <w:spacing w:line="240" w:lineRule="auto"/>
        <w:jc w:val="center"/>
      </w:pPr>
      <w:r>
        <w:drawing>
          <wp:inline xmlns:a="http://schemas.openxmlformats.org/drawingml/2006/main" xmlns:pic="http://schemas.openxmlformats.org/drawingml/2006/picture">
            <wp:extent cx="4297680" cy="2686050"/>
            <wp:docPr id="8" name="Picture 8"/>
            <wp:cNvGraphicFramePr>
              <a:graphicFrameLocks noChangeAspect="1"/>
            </wp:cNvGraphicFramePr>
            <a:graphic>
              <a:graphicData uri="http://schemas.openxmlformats.org/drawingml/2006/picture">
                <pic:pic>
                  <pic:nvPicPr>
                    <pic:cNvPr id="0" name="14_fraud_graph.png"/>
                    <pic:cNvPicPr/>
                  </pic:nvPicPr>
                  <pic:blipFill>
                    <a:blip r:embed="rId17"/>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8</w:t>
      </w:r>
      <w:r>
        <w:rPr>
          <w:rFonts w:ascii="Times New Roman" w:hAnsi="Times New Roman" w:cs="Times New Roman" w:eastAsia="Times New Roman"/>
          <w:b/>
        </w:rPr>
        <w:fldChar w:fldCharType="end"/>
      </w:r>
      <w:r>
        <w:rPr>
          <w:rFonts w:ascii="Times New Roman" w:hAnsi="Times New Roman" w:cs="Times New Roman" w:eastAsia="Times New Roman"/>
          <w:b/>
          <w:sz w:val="22"/>
        </w:rPr>
        <w:t>: Fraud rings: the whole buyer-seller network with loop edges in red and shared-identity members ringed.</w:t>
      </w:r>
    </w:p>
    <w:p>
      <w:r>
        <w:rPr>
          <w:rFonts w:ascii="Times New Roman" w:hAnsi="Times New Roman" w:cs="Times New Roman" w:eastAsia="Times New Roman"/>
        </w:rPr>
        <w:t>Invoice chain CH-R01, the top-ranked chain: a five-party loop (Maa Industries LLP to Surya Enterprises to Lotus Manufacturing to Krishna Traders to Royal Textiles and back) with 98 invoices worth Rs 44.65 Cr passing Rs 9.78 Cr of ITC; 63 % of its invoices are injected fraud in the sample labels.</w:t>
      </w:r>
    </w:p>
    <w:p>
      <w:pPr>
        <w:keepNext/>
        <w:spacing w:line="240" w:lineRule="auto"/>
        <w:jc w:val="center"/>
      </w:pPr>
      <w:r>
        <w:drawing>
          <wp:inline xmlns:a="http://schemas.openxmlformats.org/drawingml/2006/main" xmlns:pic="http://schemas.openxmlformats.org/drawingml/2006/picture">
            <wp:extent cx="4297680" cy="2686050"/>
            <wp:docPr id="9" name="Picture 9"/>
            <wp:cNvGraphicFramePr>
              <a:graphicFrameLocks noChangeAspect="1"/>
            </wp:cNvGraphicFramePr>
            <a:graphic>
              <a:graphicData uri="http://schemas.openxmlformats.org/drawingml/2006/picture">
                <pic:pic>
                  <pic:nvPicPr>
                    <pic:cNvPr id="0" name="16_chain_circular.png"/>
                    <pic:cNvPicPr/>
                  </pic:nvPicPr>
                  <pic:blipFill>
                    <a:blip r:embed="rId18"/>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9</w:t>
      </w:r>
      <w:r>
        <w:rPr>
          <w:rFonts w:ascii="Times New Roman" w:hAnsi="Times New Roman" w:cs="Times New Roman" w:eastAsia="Times New Roman"/>
          <w:b/>
        </w:rPr>
        <w:fldChar w:fldCharType="end"/>
      </w:r>
      <w:r>
        <w:rPr>
          <w:rFonts w:ascii="Times New Roman" w:hAnsi="Times New Roman" w:cs="Times New Roman" w:eastAsia="Times New Roman"/>
          <w:b/>
          <w:sz w:val="22"/>
        </w:rPr>
        <w:t>: Invoice chain CH-R01: a five-party circular-trading loop of 98 invoices worth Rs 44.65 Cr passing Rs 9.78 Cr of ITC.</w:t>
      </w:r>
    </w:p>
    <w:p>
      <w:r>
        <w:rPr>
          <w:rFonts w:ascii="Times New Roman" w:hAnsi="Times New Roman" w:cs="Times New Roman" w:eastAsia="Times New Roman"/>
        </w:rPr>
        <w:t>Invoice chain CH-S37, a shell-supply chain: three linked registrations that bill several buyers, with 100 % of the chain's invoice value anomalous.</w:t>
      </w:r>
    </w:p>
    <w:p>
      <w:pPr>
        <w:keepNext/>
        <w:spacing w:line="240" w:lineRule="auto"/>
        <w:jc w:val="center"/>
      </w:pPr>
      <w:r>
        <w:drawing>
          <wp:inline xmlns:a="http://schemas.openxmlformats.org/drawingml/2006/main" xmlns:pic="http://schemas.openxmlformats.org/drawingml/2006/picture">
            <wp:extent cx="4297680" cy="2686050"/>
            <wp:docPr id="10" name="Picture 10"/>
            <wp:cNvGraphicFramePr>
              <a:graphicFrameLocks noChangeAspect="1"/>
            </wp:cNvGraphicFramePr>
            <a:graphic>
              <a:graphicData uri="http://schemas.openxmlformats.org/drawingml/2006/picture">
                <pic:pic>
                  <pic:nvPicPr>
                    <pic:cNvPr id="0" name="17_chain_shell.png"/>
                    <pic:cNvPicPr/>
                  </pic:nvPicPr>
                  <pic:blipFill>
                    <a:blip r:embed="rId19"/>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10</w:t>
      </w:r>
      <w:r>
        <w:rPr>
          <w:rFonts w:ascii="Times New Roman" w:hAnsi="Times New Roman" w:cs="Times New Roman" w:eastAsia="Times New Roman"/>
          <w:b/>
        </w:rPr>
        <w:fldChar w:fldCharType="end"/>
      </w:r>
      <w:r>
        <w:rPr>
          <w:rFonts w:ascii="Times New Roman" w:hAnsi="Times New Roman" w:cs="Times New Roman" w:eastAsia="Times New Roman"/>
          <w:b/>
          <w:sz w:val="22"/>
        </w:rPr>
        <w:t>: Invoice chain CH-S37: a shell-supply chain of three linked registrations billing three buyers.</w:t>
      </w:r>
    </w:p>
    <w:p>
      <w:r>
        <w:rPr>
          <w:rFonts w:ascii="Times New Roman" w:hAnsi="Times New Roman" w:cs="Times New Roman" w:eastAsia="Times New Roman"/>
        </w:rPr>
        <w:t xml:space="preserve">The case page with the Gemini note. The summary names the taxpayer, its risk and the main pattern; each bullet of </w:t>
      </w:r>
      <w:r>
        <w:rPr>
          <w:rFonts w:ascii="Times New Roman" w:hAnsi="Times New Roman" w:cs="Times New Roman" w:eastAsia="Times New Roman"/>
          <w:i/>
        </w:rPr>
        <w:t>Why it was flagged</w:t>
      </w:r>
      <w:r>
        <w:rPr>
          <w:rFonts w:ascii="Times New Roman" w:hAnsi="Times New Roman" w:cs="Times New Roman" w:eastAsia="Times New Roman"/>
        </w:rPr>
        <w:t xml:space="preserve"> ends in citation chips such as E2 or E4 that scroll to and highlight the evidence item; the evidence list sits beside the note.</w:t>
      </w:r>
    </w:p>
    <w:p>
      <w:pPr>
        <w:keepNext/>
        <w:spacing w:line="240" w:lineRule="auto"/>
        <w:jc w:val="center"/>
      </w:pPr>
      <w:r>
        <w:drawing>
          <wp:inline xmlns:a="http://schemas.openxmlformats.org/drawingml/2006/main" xmlns:pic="http://schemas.openxmlformats.org/drawingml/2006/picture">
            <wp:extent cx="4297680" cy="2686050"/>
            <wp:docPr id="11" name="Picture 11"/>
            <wp:cNvGraphicFramePr>
              <a:graphicFrameLocks noChangeAspect="1"/>
            </wp:cNvGraphicFramePr>
            <a:graphic>
              <a:graphicData uri="http://schemas.openxmlformats.org/drawingml/2006/picture">
                <pic:pic>
                  <pic:nvPicPr>
                    <pic:cNvPr id="0" name="19_case_explanation.png"/>
                    <pic:cNvPicPr/>
                  </pic:nvPicPr>
                  <pic:blipFill>
                    <a:blip r:embed="rId20"/>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11</w:t>
      </w:r>
      <w:r>
        <w:rPr>
          <w:rFonts w:ascii="Times New Roman" w:hAnsi="Times New Roman" w:cs="Times New Roman" w:eastAsia="Times New Roman"/>
          <w:b/>
        </w:rPr>
        <w:fldChar w:fldCharType="end"/>
      </w:r>
      <w:r>
        <w:rPr>
          <w:rFonts w:ascii="Times New Roman" w:hAnsi="Times New Roman" w:cs="Times New Roman" w:eastAsia="Times New Roman"/>
          <w:b/>
          <w:sz w:val="22"/>
        </w:rPr>
        <w:t>: Case page with the Gemini case note: every claim ends in an [E#] citation chip that links to its evidence item.</w:t>
      </w:r>
    </w:p>
    <w:p>
      <w:r>
        <w:rPr>
          <w:rFonts w:ascii="Times New Roman" w:hAnsi="Times New Roman" w:cs="Times New Roman" w:eastAsia="Times New Roman"/>
        </w:rPr>
        <w:t>Model performance for the loaded ecosystem: precision@79 94.9 %, recall@79 94.9 %, F1 at the flag threshold 0.955 against 0.432 for the rule baseline, and the JEPA final loss 0.1115 with the loss curve. Below are the precision@k and recall@k charts for the model and the baseline and the taxpayer-level table with the ablations.</w:t>
      </w:r>
    </w:p>
    <w:p>
      <w:pPr>
        <w:keepNext/>
        <w:spacing w:line="240" w:lineRule="auto"/>
        <w:jc w:val="center"/>
      </w:pPr>
      <w:r>
        <w:drawing>
          <wp:inline xmlns:a="http://schemas.openxmlformats.org/drawingml/2006/main" xmlns:pic="http://schemas.openxmlformats.org/drawingml/2006/picture">
            <wp:extent cx="4297680" cy="2686050"/>
            <wp:docPr id="12" name="Picture 12"/>
            <wp:cNvGraphicFramePr>
              <a:graphicFrameLocks noChangeAspect="1"/>
            </wp:cNvGraphicFramePr>
            <a:graphic>
              <a:graphicData uri="http://schemas.openxmlformats.org/drawingml/2006/picture">
                <pic:pic>
                  <pic:nvPicPr>
                    <pic:cNvPr id="0" name="20_performance.png"/>
                    <pic:cNvPicPr/>
                  </pic:nvPicPr>
                  <pic:blipFill>
                    <a:blip r:embed="rId21"/>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12</w:t>
      </w:r>
      <w:r>
        <w:rPr>
          <w:rFonts w:ascii="Times New Roman" w:hAnsi="Times New Roman" w:cs="Times New Roman" w:eastAsia="Times New Roman"/>
          <w:b/>
        </w:rPr>
        <w:fldChar w:fldCharType="end"/>
      </w:r>
      <w:r>
        <w:rPr>
          <w:rFonts w:ascii="Times New Roman" w:hAnsi="Times New Roman" w:cs="Times New Roman" w:eastAsia="Times New Roman"/>
          <w:b/>
          <w:sz w:val="22"/>
        </w:rPr>
        <w:t>: Model performance: precision@k, recall@k, F1, ROC-AUC and the JEPA training loss for the current ecosystem.</w:t>
      </w:r>
    </w:p>
    <w:p>
      <w:r>
        <w:rPr>
          <w:rFonts w:ascii="Times New Roman" w:hAnsi="Times New Roman" w:cs="Times New Roman" w:eastAsia="Times New Roman"/>
        </w:rPr>
        <w:t>Run history. The last ten generations with status, seed, taxpayer count, flagged taxpayers and duration, and the ecosystem currently loaded. Every row is a real run made while building and testing this report.</w:t>
      </w:r>
    </w:p>
    <w:p>
      <w:pPr>
        <w:keepNext/>
        <w:spacing w:line="240" w:lineRule="auto"/>
        <w:jc w:val="center"/>
      </w:pPr>
      <w:r>
        <w:drawing>
          <wp:inline xmlns:a="http://schemas.openxmlformats.org/drawingml/2006/main" xmlns:pic="http://schemas.openxmlformats.org/drawingml/2006/picture">
            <wp:extent cx="4297680" cy="2686050"/>
            <wp:docPr id="13" name="Picture 13"/>
            <wp:cNvGraphicFramePr>
              <a:graphicFrameLocks noChangeAspect="1"/>
            </wp:cNvGraphicFramePr>
            <a:graphic>
              <a:graphicData uri="http://schemas.openxmlformats.org/drawingml/2006/picture">
                <pic:pic>
                  <pic:nvPicPr>
                    <pic:cNvPr id="0" name="21_run_history.png"/>
                    <pic:cNvPicPr/>
                  </pic:nvPicPr>
                  <pic:blipFill>
                    <a:blip r:embed="rId22"/>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13</w:t>
      </w:r>
      <w:r>
        <w:rPr>
          <w:rFonts w:ascii="Times New Roman" w:hAnsi="Times New Roman" w:cs="Times New Roman" w:eastAsia="Times New Roman"/>
          <w:b/>
        </w:rPr>
        <w:fldChar w:fldCharType="end"/>
      </w:r>
      <w:r>
        <w:rPr>
          <w:rFonts w:ascii="Times New Roman" w:hAnsi="Times New Roman" w:cs="Times New Roman" w:eastAsia="Times New Roman"/>
          <w:b/>
          <w:sz w:val="22"/>
        </w:rPr>
        <w:t>: Run history: the last ten generations with status, seed, taxpayers, flagged count and duration, and the ecosystem currently loaded.</w:t>
      </w:r>
    </w:p>
    <w:p>
      <w:pPr>
        <w:pStyle w:val="Heading2"/>
      </w:pPr>
      <w:r>
        <w:t>8.2 Model Performance</w:t>
      </w:r>
    </w:p>
    <w:p>
      <w:r>
        <w:rPr>
          <w:rFonts w:ascii="Times New Roman" w:hAnsi="Times New Roman" w:cs="Times New Roman" w:eastAsia="Times New Roman"/>
        </w:rPr>
        <w:t xml:space="preserve">All figures below are on the bundled ecosystem (seed 42): 600 taxpayers, 79 of them injected fraud, 64,474 invoices, of which 530 are fraud. The scores are computed without labels and then compared with the injected labels. </w:t>
      </w:r>
      <w:r>
        <w:rPr>
          <w:rFonts w:ascii="Times New Roman" w:hAnsi="Times New Roman" w:cs="Times New Roman" w:eastAsia="Times New Roman"/>
          <w:b/>
        </w:rPr>
        <w:t>Because the weights and threshold were chosen on this ecosystem, these are best-case figures</w:t>
      </w:r>
      <w:r>
        <w:rPr>
          <w:rFonts w:ascii="Times New Roman" w:hAnsi="Times New Roman" w:cs="Times New Roman" w:eastAsia="Times New Roman"/>
        </w:rPr>
        <w:t>; the cross-seed study in Section 8.2.6 shows how they change on other generated ecosystems.</w:t>
      </w:r>
    </w:p>
    <w:p>
      <w:pPr>
        <w:pStyle w:val="Heading3"/>
      </w:pPr>
      <w:r>
        <w:t>8.2.1 Taxpayer-level detection and ablations</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w:t>
      </w:r>
      <w:r>
        <w:rPr>
          <w:rFonts w:ascii="Times New Roman" w:hAnsi="Times New Roman" w:cs="Times New Roman" w:eastAsia="Times New Roman"/>
          <w:b/>
        </w:rPr>
        <w:fldChar w:fldCharType="end"/>
      </w:r>
      <w:r>
        <w:rPr>
          <w:rFonts w:ascii="Times New Roman" w:hAnsi="Times New Roman" w:cs="Times New Roman" w:eastAsia="Times New Roman"/>
          <w:b/>
          <w:sz w:val="22"/>
        </w:rPr>
        <w:t>: Taxpayer-level results (seed 42)</w:t>
      </w:r>
    </w:p>
    <w:tbl>
      <w:tblPr>
        <w:tblStyle w:val="TableGrid"/>
        <w:tblW w:type="auto" w:w="0"/>
        <w:jc w:val="center"/>
        <w:tblLayout w:type="fixed"/>
        <w:tblLook w:firstColumn="1" w:firstRow="1" w:lastColumn="0" w:lastRow="0" w:noHBand="0" w:noVBand="1" w:val="04A0"/>
      </w:tblPr>
      <w:tblGrid>
        <w:gridCol w:w="1003"/>
        <w:gridCol w:w="1003"/>
        <w:gridCol w:w="1003"/>
        <w:gridCol w:w="1003"/>
        <w:gridCol w:w="1003"/>
        <w:gridCol w:w="1003"/>
        <w:gridCol w:w="1003"/>
        <w:gridCol w:w="1003"/>
        <w:gridCol w:w="1003"/>
      </w:tblGrid>
      <w:tr>
        <w:trPr>
          <w:tblHeader w:val="true"/>
        </w:trPr>
        <w:tc>
          <w:tcPr>
            <w:tcW w:type="dxa" w:w="1872"/>
            <w:shd w:val="clear" w:color="auto" w:fill="DCFCE7"/>
          </w:tcPr>
          <w:p>
            <w:pPr>
              <w:keepNext/>
              <w:spacing w:line="240" w:lineRule="auto" w:after="40"/>
              <w:jc w:val="center"/>
            </w:pPr>
            <w:r/>
            <w:r>
              <w:rPr>
                <w:rFonts w:ascii="Times New Roman" w:hAnsi="Times New Roman" w:cs="Times New Roman" w:eastAsia="Times New Roman"/>
                <w:b/>
                <w:sz w:val="20"/>
              </w:rPr>
              <w:t>Method</w:t>
            </w:r>
          </w:p>
        </w:tc>
        <w:tc>
          <w:tcPr>
            <w:tcW w:type="dxa" w:w="835"/>
            <w:shd w:val="clear" w:color="auto" w:fill="DCFCE7"/>
          </w:tcPr>
          <w:p>
            <w:pPr>
              <w:keepNext/>
              <w:spacing w:line="240" w:lineRule="auto" w:after="40"/>
              <w:jc w:val="center"/>
            </w:pPr>
            <w:r/>
            <w:r>
              <w:rPr>
                <w:rFonts w:ascii="Times New Roman" w:hAnsi="Times New Roman" w:cs="Times New Roman" w:eastAsia="Times New Roman"/>
                <w:b/>
                <w:sz w:val="20"/>
              </w:rPr>
              <w:t>P@10</w:t>
            </w:r>
          </w:p>
        </w:tc>
        <w:tc>
          <w:tcPr>
            <w:tcW w:type="dxa" w:w="835"/>
            <w:shd w:val="clear" w:color="auto" w:fill="DCFCE7"/>
          </w:tcPr>
          <w:p>
            <w:pPr>
              <w:keepNext/>
              <w:spacing w:line="240" w:lineRule="auto" w:after="40"/>
              <w:jc w:val="center"/>
            </w:pPr>
            <w:r/>
            <w:r>
              <w:rPr>
                <w:rFonts w:ascii="Times New Roman" w:hAnsi="Times New Roman" w:cs="Times New Roman" w:eastAsia="Times New Roman"/>
                <w:b/>
                <w:sz w:val="20"/>
              </w:rPr>
              <w:t>P@25</w:t>
            </w:r>
          </w:p>
        </w:tc>
        <w:tc>
          <w:tcPr>
            <w:tcW w:type="dxa" w:w="835"/>
            <w:shd w:val="clear" w:color="auto" w:fill="DCFCE7"/>
          </w:tcPr>
          <w:p>
            <w:pPr>
              <w:keepNext/>
              <w:spacing w:line="240" w:lineRule="auto" w:after="40"/>
              <w:jc w:val="center"/>
            </w:pPr>
            <w:r/>
            <w:r>
              <w:rPr>
                <w:rFonts w:ascii="Times New Roman" w:hAnsi="Times New Roman" w:cs="Times New Roman" w:eastAsia="Times New Roman"/>
                <w:b/>
                <w:sz w:val="20"/>
              </w:rPr>
              <w:t>P@50</w:t>
            </w:r>
          </w:p>
        </w:tc>
        <w:tc>
          <w:tcPr>
            <w:tcW w:type="dxa" w:w="893"/>
            <w:shd w:val="clear" w:color="auto" w:fill="DCFCE7"/>
          </w:tcPr>
          <w:p>
            <w:pPr>
              <w:keepNext/>
              <w:spacing w:line="240" w:lineRule="auto" w:after="40"/>
              <w:jc w:val="center"/>
            </w:pPr>
            <w:r/>
            <w:r>
              <w:rPr>
                <w:rFonts w:ascii="Times New Roman" w:hAnsi="Times New Roman" w:cs="Times New Roman" w:eastAsia="Times New Roman"/>
                <w:b/>
                <w:sz w:val="20"/>
              </w:rPr>
              <w:t>P@79</w:t>
            </w:r>
          </w:p>
        </w:tc>
        <w:tc>
          <w:tcPr>
            <w:tcW w:type="dxa" w:w="979"/>
            <w:shd w:val="clear" w:color="auto" w:fill="DCFCE7"/>
          </w:tcPr>
          <w:p>
            <w:pPr>
              <w:keepNext/>
              <w:spacing w:line="240" w:lineRule="auto" w:after="40"/>
              <w:jc w:val="center"/>
            </w:pPr>
            <w:r/>
            <w:r>
              <w:rPr>
                <w:rFonts w:ascii="Times New Roman" w:hAnsi="Times New Roman" w:cs="Times New Roman" w:eastAsia="Times New Roman"/>
                <w:b/>
                <w:sz w:val="20"/>
              </w:rPr>
              <w:t>Prec.</w:t>
            </w:r>
          </w:p>
        </w:tc>
        <w:tc>
          <w:tcPr>
            <w:tcW w:type="dxa" w:w="835"/>
            <w:shd w:val="clear" w:color="auto" w:fill="DCFCE7"/>
          </w:tcPr>
          <w:p>
            <w:pPr>
              <w:keepNext/>
              <w:spacing w:line="240" w:lineRule="auto" w:after="40"/>
              <w:jc w:val="center"/>
            </w:pPr>
            <w:r/>
            <w:r>
              <w:rPr>
                <w:rFonts w:ascii="Times New Roman" w:hAnsi="Times New Roman" w:cs="Times New Roman" w:eastAsia="Times New Roman"/>
                <w:b/>
                <w:sz w:val="20"/>
              </w:rPr>
              <w:t>Recall</w:t>
            </w:r>
          </w:p>
        </w:tc>
        <w:tc>
          <w:tcPr>
            <w:tcW w:type="dxa" w:w="720"/>
            <w:shd w:val="clear" w:color="auto" w:fill="DCFCE7"/>
          </w:tcPr>
          <w:p>
            <w:pPr>
              <w:keepNext/>
              <w:spacing w:line="240" w:lineRule="auto" w:after="40"/>
              <w:jc w:val="center"/>
            </w:pPr>
            <w:r/>
            <w:r>
              <w:rPr>
                <w:rFonts w:ascii="Times New Roman" w:hAnsi="Times New Roman" w:cs="Times New Roman" w:eastAsia="Times New Roman"/>
                <w:b/>
                <w:sz w:val="20"/>
              </w:rPr>
              <w:t>F1</w:t>
            </w:r>
          </w:p>
        </w:tc>
        <w:tc>
          <w:tcPr>
            <w:tcW w:type="dxa" w:w="950"/>
            <w:shd w:val="clear" w:color="auto" w:fill="DCFCE7"/>
          </w:tcPr>
          <w:p>
            <w:pPr>
              <w:keepNext/>
              <w:spacing w:line="240" w:lineRule="auto" w:after="40"/>
              <w:jc w:val="center"/>
            </w:pPr>
            <w:r/>
            <w:r>
              <w:rPr>
                <w:rFonts w:ascii="Times New Roman" w:hAnsi="Times New Roman" w:cs="Times New Roman" w:eastAsia="Times New Roman"/>
                <w:b/>
                <w:sz w:val="20"/>
              </w:rPr>
              <w:t>ROC-AUC</w:t>
            </w:r>
          </w:p>
        </w:tc>
      </w:tr>
      <w:tr>
        <w:trPr>
          <w:cantSplit/>
        </w:trPr>
        <w:tc>
          <w:tcPr>
            <w:tcW w:type="dxa" w:w="1872"/>
          </w:tcPr>
          <w:p>
            <w:pPr>
              <w:keepNext/>
              <w:spacing w:line="240" w:lineRule="auto" w:after="40"/>
              <w:jc w:val="left"/>
            </w:pPr>
            <w:r/>
            <w:r>
              <w:rPr>
                <w:rFonts w:ascii="Times New Roman" w:hAnsi="Times New Roman" w:cs="Times New Roman" w:eastAsia="Times New Roman"/>
                <w:b/>
                <w:sz w:val="20"/>
              </w:rPr>
              <w:t>TaxSentinel (all layers)</w:t>
            </w:r>
          </w:p>
        </w:tc>
        <w:tc>
          <w:tcPr>
            <w:tcW w:type="dxa" w:w="835"/>
          </w:tcPr>
          <w:p>
            <w:pPr>
              <w:keepNext/>
              <w:spacing w:line="240" w:lineRule="auto" w:after="40"/>
              <w:jc w:val="center"/>
            </w:pPr>
            <w:r/>
            <w:r>
              <w:rPr>
                <w:rFonts w:ascii="Times New Roman" w:hAnsi="Times New Roman" w:cs="Times New Roman" w:eastAsia="Times New Roman"/>
                <w:sz w:val="20"/>
              </w:rPr>
              <w:t>1.00</w:t>
            </w:r>
          </w:p>
        </w:tc>
        <w:tc>
          <w:tcPr>
            <w:tcW w:type="dxa" w:w="835"/>
          </w:tcPr>
          <w:p>
            <w:pPr>
              <w:keepNext/>
              <w:spacing w:line="240" w:lineRule="auto" w:after="40"/>
              <w:jc w:val="center"/>
            </w:pPr>
            <w:r/>
            <w:r>
              <w:rPr>
                <w:rFonts w:ascii="Times New Roman" w:hAnsi="Times New Roman" w:cs="Times New Roman" w:eastAsia="Times New Roman"/>
                <w:sz w:val="20"/>
              </w:rPr>
              <w:t>1.00</w:t>
            </w:r>
          </w:p>
        </w:tc>
        <w:tc>
          <w:tcPr>
            <w:tcW w:type="dxa" w:w="835"/>
          </w:tcPr>
          <w:p>
            <w:pPr>
              <w:keepNext/>
              <w:spacing w:line="240" w:lineRule="auto" w:after="40"/>
              <w:jc w:val="center"/>
            </w:pPr>
            <w:r/>
            <w:r>
              <w:rPr>
                <w:rFonts w:ascii="Times New Roman" w:hAnsi="Times New Roman" w:cs="Times New Roman" w:eastAsia="Times New Roman"/>
                <w:sz w:val="20"/>
              </w:rPr>
              <w:t>1.00</w:t>
            </w:r>
          </w:p>
        </w:tc>
        <w:tc>
          <w:tcPr>
            <w:tcW w:type="dxa" w:w="893"/>
          </w:tcPr>
          <w:p>
            <w:pPr>
              <w:keepNext/>
              <w:spacing w:line="240" w:lineRule="auto" w:after="40"/>
              <w:jc w:val="center"/>
            </w:pPr>
            <w:r/>
            <w:r>
              <w:rPr>
                <w:rFonts w:ascii="Times New Roman" w:hAnsi="Times New Roman" w:cs="Times New Roman" w:eastAsia="Times New Roman"/>
                <w:sz w:val="20"/>
              </w:rPr>
              <w:t>0.949</w:t>
            </w:r>
          </w:p>
        </w:tc>
        <w:tc>
          <w:tcPr>
            <w:tcW w:type="dxa" w:w="979"/>
          </w:tcPr>
          <w:p>
            <w:pPr>
              <w:keepNext/>
              <w:spacing w:line="240" w:lineRule="auto" w:after="40"/>
              <w:jc w:val="center"/>
            </w:pPr>
            <w:r/>
            <w:r>
              <w:rPr>
                <w:rFonts w:ascii="Times New Roman" w:hAnsi="Times New Roman" w:cs="Times New Roman" w:eastAsia="Times New Roman"/>
                <w:sz w:val="20"/>
              </w:rPr>
              <w:t>0.962</w:t>
            </w:r>
          </w:p>
        </w:tc>
        <w:tc>
          <w:tcPr>
            <w:tcW w:type="dxa" w:w="835"/>
          </w:tcPr>
          <w:p>
            <w:pPr>
              <w:keepNext/>
              <w:spacing w:line="240" w:lineRule="auto" w:after="40"/>
              <w:jc w:val="center"/>
            </w:pPr>
            <w:r/>
            <w:r>
              <w:rPr>
                <w:rFonts w:ascii="Times New Roman" w:hAnsi="Times New Roman" w:cs="Times New Roman" w:eastAsia="Times New Roman"/>
                <w:sz w:val="20"/>
              </w:rPr>
              <w:t>0.949</w:t>
            </w:r>
          </w:p>
        </w:tc>
        <w:tc>
          <w:tcPr>
            <w:tcW w:type="dxa" w:w="720"/>
          </w:tcPr>
          <w:p>
            <w:pPr>
              <w:keepNext/>
              <w:spacing w:line="240" w:lineRule="auto" w:after="40"/>
              <w:jc w:val="center"/>
            </w:pPr>
            <w:r/>
            <w:r>
              <w:rPr>
                <w:rFonts w:ascii="Times New Roman" w:hAnsi="Times New Roman" w:cs="Times New Roman" w:eastAsia="Times New Roman"/>
                <w:sz w:val="20"/>
              </w:rPr>
              <w:t>0.955</w:t>
            </w:r>
          </w:p>
        </w:tc>
        <w:tc>
          <w:tcPr>
            <w:tcW w:type="dxa" w:w="950"/>
          </w:tcPr>
          <w:p>
            <w:pPr>
              <w:keepNext/>
              <w:spacing w:line="240" w:lineRule="auto" w:after="40"/>
              <w:jc w:val="center"/>
            </w:pPr>
            <w:r/>
            <w:r>
              <w:rPr>
                <w:rFonts w:ascii="Times New Roman" w:hAnsi="Times New Roman" w:cs="Times New Roman" w:eastAsia="Times New Roman"/>
                <w:sz w:val="20"/>
              </w:rPr>
              <w:t>0.997</w:t>
            </w:r>
          </w:p>
        </w:tc>
      </w:tr>
      <w:tr>
        <w:trPr>
          <w:cantSplit/>
        </w:trPr>
        <w:tc>
          <w:tcPr>
            <w:tcW w:type="dxa" w:w="1872"/>
          </w:tcPr>
          <w:p>
            <w:pPr>
              <w:spacing w:line="240" w:lineRule="auto" w:after="40"/>
              <w:jc w:val="left"/>
            </w:pPr>
            <w:r/>
            <w:r>
              <w:rPr>
                <w:rFonts w:ascii="Times New Roman" w:hAnsi="Times New Roman" w:cs="Times New Roman" w:eastAsia="Times New Roman"/>
                <w:sz w:val="20"/>
              </w:rPr>
              <w:t>Rule baseline R1-R5</w:t>
            </w:r>
          </w:p>
        </w:tc>
        <w:tc>
          <w:tcPr>
            <w:tcW w:type="dxa" w:w="835"/>
          </w:tcPr>
          <w:p>
            <w:pPr>
              <w:spacing w:line="240" w:lineRule="auto" w:after="40"/>
              <w:jc w:val="center"/>
            </w:pPr>
            <w:r/>
            <w:r>
              <w:rPr>
                <w:rFonts w:ascii="Times New Roman" w:hAnsi="Times New Roman" w:cs="Times New Roman" w:eastAsia="Times New Roman"/>
                <w:sz w:val="20"/>
              </w:rPr>
              <w:t>1.00</w:t>
            </w:r>
          </w:p>
        </w:tc>
        <w:tc>
          <w:tcPr>
            <w:tcW w:type="dxa" w:w="835"/>
          </w:tcPr>
          <w:p>
            <w:pPr>
              <w:spacing w:line="240" w:lineRule="auto" w:after="40"/>
              <w:jc w:val="center"/>
            </w:pPr>
            <w:r/>
            <w:r>
              <w:rPr>
                <w:rFonts w:ascii="Times New Roman" w:hAnsi="Times New Roman" w:cs="Times New Roman" w:eastAsia="Times New Roman"/>
                <w:sz w:val="20"/>
              </w:rPr>
              <w:t>0.88</w:t>
            </w:r>
          </w:p>
        </w:tc>
        <w:tc>
          <w:tcPr>
            <w:tcW w:type="dxa" w:w="835"/>
          </w:tcPr>
          <w:p>
            <w:pPr>
              <w:spacing w:line="240" w:lineRule="auto" w:after="40"/>
              <w:jc w:val="center"/>
            </w:pPr>
            <w:r/>
            <w:r>
              <w:rPr>
                <w:rFonts w:ascii="Times New Roman" w:hAnsi="Times New Roman" w:cs="Times New Roman" w:eastAsia="Times New Roman"/>
                <w:sz w:val="20"/>
              </w:rPr>
              <w:t>0.84</w:t>
            </w:r>
          </w:p>
        </w:tc>
        <w:tc>
          <w:tcPr>
            <w:tcW w:type="dxa" w:w="893"/>
          </w:tcPr>
          <w:p>
            <w:pPr>
              <w:spacing w:line="240" w:lineRule="auto" w:after="40"/>
              <w:jc w:val="center"/>
            </w:pPr>
            <w:r/>
            <w:r>
              <w:rPr>
                <w:rFonts w:ascii="Times New Roman" w:hAnsi="Times New Roman" w:cs="Times New Roman" w:eastAsia="Times New Roman"/>
                <w:sz w:val="20"/>
              </w:rPr>
              <w:t>0.620</w:t>
            </w:r>
          </w:p>
        </w:tc>
        <w:tc>
          <w:tcPr>
            <w:tcW w:type="dxa" w:w="979"/>
          </w:tcPr>
          <w:p>
            <w:pPr>
              <w:spacing w:line="240" w:lineRule="auto" w:after="40"/>
              <w:jc w:val="center"/>
            </w:pPr>
            <w:r/>
            <w:r>
              <w:rPr>
                <w:rFonts w:ascii="Times New Roman" w:hAnsi="Times New Roman" w:cs="Times New Roman" w:eastAsia="Times New Roman"/>
                <w:sz w:val="20"/>
              </w:rPr>
              <w:t>0.288</w:t>
            </w:r>
          </w:p>
        </w:tc>
        <w:tc>
          <w:tcPr>
            <w:tcW w:type="dxa" w:w="835"/>
          </w:tcPr>
          <w:p>
            <w:pPr>
              <w:spacing w:line="240" w:lineRule="auto" w:after="40"/>
              <w:jc w:val="center"/>
            </w:pPr>
            <w:r/>
            <w:r>
              <w:rPr>
                <w:rFonts w:ascii="Times New Roman" w:hAnsi="Times New Roman" w:cs="Times New Roman" w:eastAsia="Times New Roman"/>
                <w:sz w:val="20"/>
              </w:rPr>
              <w:t>0.861</w:t>
            </w:r>
          </w:p>
        </w:tc>
        <w:tc>
          <w:tcPr>
            <w:tcW w:type="dxa" w:w="720"/>
          </w:tcPr>
          <w:p>
            <w:pPr>
              <w:spacing w:line="240" w:lineRule="auto" w:after="40"/>
              <w:jc w:val="center"/>
            </w:pPr>
            <w:r/>
            <w:r>
              <w:rPr>
                <w:rFonts w:ascii="Times New Roman" w:hAnsi="Times New Roman" w:cs="Times New Roman" w:eastAsia="Times New Roman"/>
                <w:sz w:val="20"/>
              </w:rPr>
              <w:t>0.432</w:t>
            </w:r>
          </w:p>
        </w:tc>
        <w:tc>
          <w:tcPr>
            <w:tcW w:type="dxa" w:w="950"/>
          </w:tcPr>
          <w:p>
            <w:pPr>
              <w:spacing w:line="240" w:lineRule="auto" w:after="40"/>
              <w:jc w:val="center"/>
            </w:pPr>
            <w:r/>
            <w:r>
              <w:rPr>
                <w:rFonts w:ascii="Times New Roman" w:hAnsi="Times New Roman" w:cs="Times New Roman" w:eastAsia="Times New Roman"/>
                <w:sz w:val="20"/>
              </w:rPr>
              <w:t>0.876</w:t>
            </w:r>
          </w:p>
        </w:tc>
      </w:tr>
      <w:tr>
        <w:trPr>
          <w:cantSplit/>
        </w:trPr>
        <w:tc>
          <w:tcPr>
            <w:tcW w:type="dxa" w:w="1872"/>
          </w:tcPr>
          <w:p>
            <w:pPr>
              <w:spacing w:line="240" w:lineRule="auto" w:after="40"/>
              <w:jc w:val="left"/>
            </w:pPr>
            <w:r/>
            <w:r>
              <w:rPr>
                <w:rFonts w:ascii="Times New Roman" w:hAnsi="Times New Roman" w:cs="Times New Roman" w:eastAsia="Times New Roman"/>
                <w:sz w:val="20"/>
              </w:rPr>
              <w:t>JEPA + behaviour only</w:t>
            </w:r>
          </w:p>
        </w:tc>
        <w:tc>
          <w:tcPr>
            <w:tcW w:type="dxa" w:w="835"/>
          </w:tcPr>
          <w:p>
            <w:pPr>
              <w:spacing w:line="240" w:lineRule="auto" w:after="40"/>
              <w:jc w:val="center"/>
            </w:pPr>
            <w:r/>
            <w:r>
              <w:rPr>
                <w:rFonts w:ascii="Times New Roman" w:hAnsi="Times New Roman" w:cs="Times New Roman" w:eastAsia="Times New Roman"/>
                <w:sz w:val="20"/>
              </w:rPr>
              <w:t>0.80</w:t>
            </w:r>
          </w:p>
        </w:tc>
        <w:tc>
          <w:tcPr>
            <w:tcW w:type="dxa" w:w="835"/>
          </w:tcPr>
          <w:p>
            <w:pPr>
              <w:spacing w:line="240" w:lineRule="auto" w:after="40"/>
              <w:jc w:val="center"/>
            </w:pPr>
            <w:r/>
            <w:r>
              <w:rPr>
                <w:rFonts w:ascii="Times New Roman" w:hAnsi="Times New Roman" w:cs="Times New Roman" w:eastAsia="Times New Roman"/>
                <w:sz w:val="20"/>
              </w:rPr>
              <w:t>0.84</w:t>
            </w:r>
          </w:p>
        </w:tc>
        <w:tc>
          <w:tcPr>
            <w:tcW w:type="dxa" w:w="835"/>
          </w:tcPr>
          <w:p>
            <w:pPr>
              <w:spacing w:line="240" w:lineRule="auto" w:after="40"/>
              <w:jc w:val="center"/>
            </w:pPr>
            <w:r/>
            <w:r>
              <w:rPr>
                <w:rFonts w:ascii="Times New Roman" w:hAnsi="Times New Roman" w:cs="Times New Roman" w:eastAsia="Times New Roman"/>
                <w:sz w:val="20"/>
              </w:rPr>
              <w:t>0.58</w:t>
            </w:r>
          </w:p>
        </w:tc>
        <w:tc>
          <w:tcPr>
            <w:tcW w:type="dxa" w:w="893"/>
          </w:tcPr>
          <w:p>
            <w:pPr>
              <w:spacing w:line="240" w:lineRule="auto" w:after="40"/>
              <w:jc w:val="center"/>
            </w:pPr>
            <w:r/>
            <w:r>
              <w:rPr>
                <w:rFonts w:ascii="Times New Roman" w:hAnsi="Times New Roman" w:cs="Times New Roman" w:eastAsia="Times New Roman"/>
                <w:sz w:val="20"/>
              </w:rPr>
              <w:t>0.481</w:t>
            </w:r>
          </w:p>
        </w:tc>
        <w:tc>
          <w:tcPr>
            <w:tcW w:type="dxa" w:w="979"/>
          </w:tcPr>
          <w:p>
            <w:pPr>
              <w:spacing w:line="240" w:lineRule="auto" w:after="40"/>
              <w:jc w:val="center"/>
            </w:pPr>
            <w:r/>
            <w:r>
              <w:rPr>
                <w:rFonts w:ascii="Times New Roman" w:hAnsi="Times New Roman" w:cs="Times New Roman" w:eastAsia="Times New Roman"/>
                <w:sz w:val="20"/>
              </w:rPr>
              <w:t>0.842</w:t>
            </w:r>
          </w:p>
        </w:tc>
        <w:tc>
          <w:tcPr>
            <w:tcW w:type="dxa" w:w="835"/>
          </w:tcPr>
          <w:p>
            <w:pPr>
              <w:spacing w:line="240" w:lineRule="auto" w:after="40"/>
              <w:jc w:val="center"/>
            </w:pPr>
            <w:r/>
            <w:r>
              <w:rPr>
                <w:rFonts w:ascii="Times New Roman" w:hAnsi="Times New Roman" w:cs="Times New Roman" w:eastAsia="Times New Roman"/>
                <w:sz w:val="20"/>
              </w:rPr>
              <w:t>0.203</w:t>
            </w:r>
          </w:p>
        </w:tc>
        <w:tc>
          <w:tcPr>
            <w:tcW w:type="dxa" w:w="720"/>
          </w:tcPr>
          <w:p>
            <w:pPr>
              <w:spacing w:line="240" w:lineRule="auto" w:after="40"/>
              <w:jc w:val="center"/>
            </w:pPr>
            <w:r/>
            <w:r>
              <w:rPr>
                <w:rFonts w:ascii="Times New Roman" w:hAnsi="Times New Roman" w:cs="Times New Roman" w:eastAsia="Times New Roman"/>
                <w:sz w:val="20"/>
              </w:rPr>
              <w:t>0.327</w:t>
            </w:r>
          </w:p>
        </w:tc>
        <w:tc>
          <w:tcPr>
            <w:tcW w:type="dxa" w:w="950"/>
          </w:tcPr>
          <w:p>
            <w:pPr>
              <w:spacing w:line="240" w:lineRule="auto" w:after="40"/>
              <w:jc w:val="center"/>
            </w:pPr>
            <w:r/>
            <w:r>
              <w:rPr>
                <w:rFonts w:ascii="Times New Roman" w:hAnsi="Times New Roman" w:cs="Times New Roman" w:eastAsia="Times New Roman"/>
                <w:sz w:val="20"/>
              </w:rPr>
              <w:t>0.843</w:t>
            </w:r>
          </w:p>
        </w:tc>
      </w:tr>
      <w:tr>
        <w:trPr>
          <w:cantSplit/>
        </w:trPr>
        <w:tc>
          <w:tcPr>
            <w:tcW w:type="dxa" w:w="1872"/>
          </w:tcPr>
          <w:p>
            <w:pPr>
              <w:spacing w:line="240" w:lineRule="auto" w:after="40"/>
              <w:jc w:val="left"/>
            </w:pPr>
            <w:r/>
            <w:r>
              <w:rPr>
                <w:rFonts w:ascii="Times New Roman" w:hAnsi="Times New Roman" w:cs="Times New Roman" w:eastAsia="Times New Roman"/>
                <w:sz w:val="20"/>
              </w:rPr>
              <w:t>Graph + invoice only</w:t>
            </w:r>
          </w:p>
        </w:tc>
        <w:tc>
          <w:tcPr>
            <w:tcW w:type="dxa" w:w="835"/>
          </w:tcPr>
          <w:p>
            <w:pPr>
              <w:spacing w:line="240" w:lineRule="auto" w:after="40"/>
              <w:jc w:val="center"/>
            </w:pPr>
            <w:r/>
            <w:r>
              <w:rPr>
                <w:rFonts w:ascii="Times New Roman" w:hAnsi="Times New Roman" w:cs="Times New Roman" w:eastAsia="Times New Roman"/>
                <w:sz w:val="20"/>
              </w:rPr>
              <w:t>1.00</w:t>
            </w:r>
          </w:p>
        </w:tc>
        <w:tc>
          <w:tcPr>
            <w:tcW w:type="dxa" w:w="835"/>
          </w:tcPr>
          <w:p>
            <w:pPr>
              <w:spacing w:line="240" w:lineRule="auto" w:after="40"/>
              <w:jc w:val="center"/>
            </w:pPr>
            <w:r/>
            <w:r>
              <w:rPr>
                <w:rFonts w:ascii="Times New Roman" w:hAnsi="Times New Roman" w:cs="Times New Roman" w:eastAsia="Times New Roman"/>
                <w:sz w:val="20"/>
              </w:rPr>
              <w:t>1.00</w:t>
            </w:r>
          </w:p>
        </w:tc>
        <w:tc>
          <w:tcPr>
            <w:tcW w:type="dxa" w:w="835"/>
          </w:tcPr>
          <w:p>
            <w:pPr>
              <w:spacing w:line="240" w:lineRule="auto" w:after="40"/>
              <w:jc w:val="center"/>
            </w:pPr>
            <w:r/>
            <w:r>
              <w:rPr>
                <w:rFonts w:ascii="Times New Roman" w:hAnsi="Times New Roman" w:cs="Times New Roman" w:eastAsia="Times New Roman"/>
                <w:sz w:val="20"/>
              </w:rPr>
              <w:t>1.00</w:t>
            </w:r>
          </w:p>
        </w:tc>
        <w:tc>
          <w:tcPr>
            <w:tcW w:type="dxa" w:w="893"/>
          </w:tcPr>
          <w:p>
            <w:pPr>
              <w:spacing w:line="240" w:lineRule="auto" w:after="40"/>
              <w:jc w:val="center"/>
            </w:pPr>
            <w:r/>
            <w:r>
              <w:rPr>
                <w:rFonts w:ascii="Times New Roman" w:hAnsi="Times New Roman" w:cs="Times New Roman" w:eastAsia="Times New Roman"/>
                <w:sz w:val="20"/>
              </w:rPr>
              <w:t>0.848</w:t>
            </w:r>
          </w:p>
        </w:tc>
        <w:tc>
          <w:tcPr>
            <w:tcW w:type="dxa" w:w="979"/>
          </w:tcPr>
          <w:p>
            <w:pPr>
              <w:spacing w:line="240" w:lineRule="auto" w:after="40"/>
              <w:jc w:val="center"/>
            </w:pPr>
            <w:r/>
            <w:r>
              <w:rPr>
                <w:rFonts w:ascii="Times New Roman" w:hAnsi="Times New Roman" w:cs="Times New Roman" w:eastAsia="Times New Roman"/>
                <w:sz w:val="20"/>
              </w:rPr>
              <w:t>1.000</w:t>
            </w:r>
          </w:p>
        </w:tc>
        <w:tc>
          <w:tcPr>
            <w:tcW w:type="dxa" w:w="835"/>
          </w:tcPr>
          <w:p>
            <w:pPr>
              <w:spacing w:line="240" w:lineRule="auto" w:after="40"/>
              <w:jc w:val="center"/>
            </w:pPr>
            <w:r/>
            <w:r>
              <w:rPr>
                <w:rFonts w:ascii="Times New Roman" w:hAnsi="Times New Roman" w:cs="Times New Roman" w:eastAsia="Times New Roman"/>
                <w:sz w:val="20"/>
              </w:rPr>
              <w:t>0.798</w:t>
            </w:r>
          </w:p>
        </w:tc>
        <w:tc>
          <w:tcPr>
            <w:tcW w:type="dxa" w:w="720"/>
          </w:tcPr>
          <w:p>
            <w:pPr>
              <w:spacing w:line="240" w:lineRule="auto" w:after="40"/>
              <w:jc w:val="center"/>
            </w:pPr>
            <w:r/>
            <w:r>
              <w:rPr>
                <w:rFonts w:ascii="Times New Roman" w:hAnsi="Times New Roman" w:cs="Times New Roman" w:eastAsia="Times New Roman"/>
                <w:sz w:val="20"/>
              </w:rPr>
              <w:t>0.887</w:t>
            </w:r>
          </w:p>
        </w:tc>
        <w:tc>
          <w:tcPr>
            <w:tcW w:type="dxa" w:w="950"/>
          </w:tcPr>
          <w:p>
            <w:pPr>
              <w:spacing w:line="240" w:lineRule="auto" w:after="40"/>
              <w:jc w:val="center"/>
            </w:pPr>
            <w:r/>
            <w:r>
              <w:rPr>
                <w:rFonts w:ascii="Times New Roman" w:hAnsi="Times New Roman" w:cs="Times New Roman" w:eastAsia="Times New Roman"/>
                <w:sz w:val="20"/>
              </w:rPr>
              <w:t>0.940</w:t>
            </w:r>
          </w:p>
        </w:tc>
      </w:tr>
      <w:tr>
        <w:trPr>
          <w:cantSplit/>
        </w:trPr>
        <w:tc>
          <w:tcPr>
            <w:tcW w:type="dxa" w:w="1872"/>
          </w:tcPr>
          <w:p>
            <w:pPr>
              <w:spacing w:line="240" w:lineRule="auto" w:after="40"/>
              <w:jc w:val="left"/>
            </w:pPr>
            <w:r/>
            <w:r>
              <w:rPr>
                <w:rFonts w:ascii="Times New Roman" w:hAnsi="Times New Roman" w:cs="Times New Roman" w:eastAsia="Times New Roman"/>
                <w:sz w:val="20"/>
              </w:rPr>
              <w:t>Without invoice layer</w:t>
            </w:r>
          </w:p>
        </w:tc>
        <w:tc>
          <w:tcPr>
            <w:tcW w:type="dxa" w:w="835"/>
          </w:tcPr>
          <w:p>
            <w:pPr>
              <w:spacing w:line="240" w:lineRule="auto" w:after="40"/>
              <w:jc w:val="center"/>
            </w:pPr>
            <w:r/>
            <w:r>
              <w:rPr>
                <w:rFonts w:ascii="Times New Roman" w:hAnsi="Times New Roman" w:cs="Times New Roman" w:eastAsia="Times New Roman"/>
                <w:sz w:val="20"/>
              </w:rPr>
              <w:t>1.00</w:t>
            </w:r>
          </w:p>
        </w:tc>
        <w:tc>
          <w:tcPr>
            <w:tcW w:type="dxa" w:w="835"/>
          </w:tcPr>
          <w:p>
            <w:pPr>
              <w:spacing w:line="240" w:lineRule="auto" w:after="40"/>
              <w:jc w:val="center"/>
            </w:pPr>
            <w:r/>
            <w:r>
              <w:rPr>
                <w:rFonts w:ascii="Times New Roman" w:hAnsi="Times New Roman" w:cs="Times New Roman" w:eastAsia="Times New Roman"/>
                <w:sz w:val="20"/>
              </w:rPr>
              <w:t>1.00</w:t>
            </w:r>
          </w:p>
        </w:tc>
        <w:tc>
          <w:tcPr>
            <w:tcW w:type="dxa" w:w="835"/>
          </w:tcPr>
          <w:p>
            <w:pPr>
              <w:spacing w:line="240" w:lineRule="auto" w:after="40"/>
              <w:jc w:val="center"/>
            </w:pPr>
            <w:r/>
            <w:r>
              <w:rPr>
                <w:rFonts w:ascii="Times New Roman" w:hAnsi="Times New Roman" w:cs="Times New Roman" w:eastAsia="Times New Roman"/>
                <w:sz w:val="20"/>
              </w:rPr>
              <w:t>0.98</w:t>
            </w:r>
          </w:p>
        </w:tc>
        <w:tc>
          <w:tcPr>
            <w:tcW w:type="dxa" w:w="893"/>
          </w:tcPr>
          <w:p>
            <w:pPr>
              <w:spacing w:line="240" w:lineRule="auto" w:after="40"/>
              <w:jc w:val="center"/>
            </w:pPr>
            <w:r/>
            <w:r>
              <w:rPr>
                <w:rFonts w:ascii="Times New Roman" w:hAnsi="Times New Roman" w:cs="Times New Roman" w:eastAsia="Times New Roman"/>
                <w:sz w:val="20"/>
              </w:rPr>
              <w:t>0.949</w:t>
            </w:r>
          </w:p>
        </w:tc>
        <w:tc>
          <w:tcPr>
            <w:tcW w:type="dxa" w:w="979"/>
          </w:tcPr>
          <w:p>
            <w:pPr>
              <w:spacing w:line="240" w:lineRule="auto" w:after="40"/>
              <w:jc w:val="center"/>
            </w:pPr>
            <w:r/>
            <w:r>
              <w:rPr>
                <w:rFonts w:ascii="Times New Roman" w:hAnsi="Times New Roman" w:cs="Times New Roman" w:eastAsia="Times New Roman"/>
                <w:sz w:val="20"/>
              </w:rPr>
              <w:t>-</w:t>
            </w:r>
          </w:p>
        </w:tc>
        <w:tc>
          <w:tcPr>
            <w:tcW w:type="dxa" w:w="835"/>
          </w:tcPr>
          <w:p>
            <w:pPr>
              <w:spacing w:line="240" w:lineRule="auto" w:after="40"/>
              <w:jc w:val="center"/>
            </w:pPr>
            <w:r/>
            <w:r>
              <w:rPr>
                <w:rFonts w:ascii="Times New Roman" w:hAnsi="Times New Roman" w:cs="Times New Roman" w:eastAsia="Times New Roman"/>
                <w:sz w:val="20"/>
              </w:rPr>
              <w:t>-</w:t>
            </w:r>
          </w:p>
        </w:tc>
        <w:tc>
          <w:tcPr>
            <w:tcW w:type="dxa" w:w="720"/>
          </w:tcPr>
          <w:p>
            <w:pPr>
              <w:spacing w:line="240" w:lineRule="auto" w:after="40"/>
              <w:jc w:val="center"/>
            </w:pPr>
            <w:r/>
            <w:r>
              <w:rPr>
                <w:rFonts w:ascii="Times New Roman" w:hAnsi="Times New Roman" w:cs="Times New Roman" w:eastAsia="Times New Roman"/>
                <w:sz w:val="20"/>
              </w:rPr>
              <w:t>-</w:t>
            </w:r>
          </w:p>
        </w:tc>
        <w:tc>
          <w:tcPr>
            <w:tcW w:type="dxa" w:w="950"/>
          </w:tcPr>
          <w:p>
            <w:pPr>
              <w:spacing w:line="240" w:lineRule="auto" w:after="40"/>
              <w:jc w:val="center"/>
            </w:pPr>
            <w:r/>
            <w:r>
              <w:rPr>
                <w:rFonts w:ascii="Times New Roman" w:hAnsi="Times New Roman" w:cs="Times New Roman" w:eastAsia="Times New Roman"/>
                <w:sz w:val="20"/>
              </w:rPr>
              <w:t>0.996</w:t>
            </w:r>
          </w:p>
        </w:tc>
      </w:tr>
    </w:tbl>
    <w:p>
      <w:pPr>
        <w:spacing w:after="120" w:line="240" w:lineRule="auto"/>
      </w:pPr>
    </w:p>
    <w:p>
      <w:r>
        <w:rPr>
          <w:rFonts w:ascii="Times New Roman" w:hAnsi="Times New Roman" w:cs="Times New Roman" w:eastAsia="Times New Roman"/>
        </w:rPr>
        <w:t>TaxSentinel flags 78 taxpayers: 75 are injected fraud and 3 are false alarms, and 4 of the 79 are missed (F1 0.955). The rule baseline flags 236, of which 68 are fraud and 168 are false alarms (F1 0.432). Ranking by risk is clean at the top: the first 50 taxpayers contain no false alarms. Fig. 14 and Fig. 15 show the same comparison graphically.</w:t>
      </w:r>
    </w:p>
    <w:p>
      <w:pPr>
        <w:keepNext/>
        <w:spacing w:line="240" w:lineRule="auto"/>
        <w:jc w:val="center"/>
      </w:pPr>
      <w:r>
        <w:drawing>
          <wp:inline xmlns:a="http://schemas.openxmlformats.org/drawingml/2006/main" xmlns:pic="http://schemas.openxmlformats.org/drawingml/2006/picture">
            <wp:extent cx="5120640" cy="2984568"/>
            <wp:docPr id="14" name="Picture 14"/>
            <wp:cNvGraphicFramePr>
              <a:graphicFrameLocks noChangeAspect="1"/>
            </wp:cNvGraphicFramePr>
            <a:graphic>
              <a:graphicData uri="http://schemas.openxmlformats.org/drawingml/2006/picture">
                <pic:pic>
                  <pic:nvPicPr>
                    <pic:cNvPr id="0" name="c01_precision_at_k.png"/>
                    <pic:cNvPicPr/>
                  </pic:nvPicPr>
                  <pic:blipFill>
                    <a:blip r:embed="rId23"/>
                    <a:stretch>
                      <a:fillRect/>
                    </a:stretch>
                  </pic:blipFill>
                  <pic:spPr>
                    <a:xfrm>
                      <a:off x="0" y="0"/>
                      <a:ext cx="5120640" cy="2984568"/>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14</w:t>
      </w:r>
      <w:r>
        <w:rPr>
          <w:rFonts w:ascii="Times New Roman" w:hAnsi="Times New Roman" w:cs="Times New Roman" w:eastAsia="Times New Roman"/>
          <w:b/>
        </w:rPr>
        <w:fldChar w:fldCharType="end"/>
      </w:r>
      <w:r>
        <w:rPr>
          <w:rFonts w:ascii="Times New Roman" w:hAnsi="Times New Roman" w:cs="Times New Roman" w:eastAsia="Times New Roman"/>
          <w:b/>
          <w:sz w:val="22"/>
        </w:rPr>
        <w:t>: Precision@k for the full model, the ablations and the rule baseline (seed 42)</w:t>
      </w:r>
    </w:p>
    <w:p>
      <w:pPr>
        <w:keepNext/>
        <w:spacing w:line="240" w:lineRule="auto"/>
        <w:jc w:val="center"/>
      </w:pPr>
      <w:r>
        <w:drawing>
          <wp:inline xmlns:a="http://schemas.openxmlformats.org/drawingml/2006/main" xmlns:pic="http://schemas.openxmlformats.org/drawingml/2006/picture">
            <wp:extent cx="5120640" cy="3144675"/>
            <wp:docPr id="15" name="Picture 15"/>
            <wp:cNvGraphicFramePr>
              <a:graphicFrameLocks noChangeAspect="1"/>
            </wp:cNvGraphicFramePr>
            <a:graphic>
              <a:graphicData uri="http://schemas.openxmlformats.org/drawingml/2006/picture">
                <pic:pic>
                  <pic:nvPicPr>
                    <pic:cNvPr id="0" name="c02_method_comparison.png"/>
                    <pic:cNvPicPr/>
                  </pic:nvPicPr>
                  <pic:blipFill>
                    <a:blip r:embed="rId24"/>
                    <a:stretch>
                      <a:fillRect/>
                    </a:stretch>
                  </pic:blipFill>
                  <pic:spPr>
                    <a:xfrm>
                      <a:off x="0" y="0"/>
                      <a:ext cx="5120640" cy="3144675"/>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15</w:t>
      </w:r>
      <w:r>
        <w:rPr>
          <w:rFonts w:ascii="Times New Roman" w:hAnsi="Times New Roman" w:cs="Times New Roman" w:eastAsia="Times New Roman"/>
          <w:b/>
        </w:rPr>
        <w:fldChar w:fldCharType="end"/>
      </w:r>
      <w:r>
        <w:rPr>
          <w:rFonts w:ascii="Times New Roman" w:hAnsi="Times New Roman" w:cs="Times New Roman" w:eastAsia="Times New Roman"/>
          <w:b/>
          <w:sz w:val="22"/>
        </w:rPr>
        <w:t>: F1, ROC-AUC and average precision by method (seed 42)</w:t>
      </w:r>
    </w:p>
    <w:p>
      <w:r>
        <w:rPr>
          <w:rFonts w:ascii="Times New Roman" w:hAnsi="Times New Roman" w:cs="Times New Roman" w:eastAsia="Times New Roman"/>
        </w:rPr>
        <w:t>The ablations are the most informative result. The JEPA with the behaviour variant alone reaches an F1 of only 0.327 (precision 0.842 but recall 0.203): when it flags a taxpayer it is usually right, but it finds one fraud taxpayer in five at the 0.5 threshold. Graph plus invoice evidence alone gives F1 0.887 and precision 1.00, with 16 misses. Combining all layers improves recall to 0.949 at precision 0.962. Removing the invoice layer barely changes P@79 (0.949) and slightly lowers ROC-AUC (0.996 against 0.997): the invoice layer mainly sharpens the middle of the ranking, and the layers overlap. The honest reading is that the JEPA is a useful component but not the whole answer; most of the detection power comes from the network and invoice layers, and the JEPA adds recall on top of them.</w:t>
      </w:r>
    </w:p>
    <w:p>
      <w:pPr>
        <w:pStyle w:val="Heading3"/>
      </w:pPr>
      <w:r>
        <w:t>8.2.2 Confusion matrices and recall by pattern</w:t>
      </w:r>
    </w:p>
    <w:p>
      <w:pPr>
        <w:keepNext/>
        <w:spacing w:line="240" w:lineRule="auto"/>
        <w:jc w:val="center"/>
      </w:pPr>
      <w:r>
        <w:drawing>
          <wp:inline xmlns:a="http://schemas.openxmlformats.org/drawingml/2006/main" xmlns:pic="http://schemas.openxmlformats.org/drawingml/2006/picture">
            <wp:extent cx="5303520" cy="2894960"/>
            <wp:docPr id="16" name="Picture 16"/>
            <wp:cNvGraphicFramePr>
              <a:graphicFrameLocks noChangeAspect="1"/>
            </wp:cNvGraphicFramePr>
            <a:graphic>
              <a:graphicData uri="http://schemas.openxmlformats.org/drawingml/2006/picture">
                <pic:pic>
                  <pic:nvPicPr>
                    <pic:cNvPr id="0" name="c08_confusion_matrices.png"/>
                    <pic:cNvPicPr/>
                  </pic:nvPicPr>
                  <pic:blipFill>
                    <a:blip r:embed="rId25"/>
                    <a:stretch>
                      <a:fillRect/>
                    </a:stretch>
                  </pic:blipFill>
                  <pic:spPr>
                    <a:xfrm>
                      <a:off x="0" y="0"/>
                      <a:ext cx="5303520" cy="289496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16</w:t>
      </w:r>
      <w:r>
        <w:rPr>
          <w:rFonts w:ascii="Times New Roman" w:hAnsi="Times New Roman" w:cs="Times New Roman" w:eastAsia="Times New Roman"/>
          <w:b/>
        </w:rPr>
        <w:fldChar w:fldCharType="end"/>
      </w:r>
      <w:r>
        <w:rPr>
          <w:rFonts w:ascii="Times New Roman" w:hAnsi="Times New Roman" w:cs="Times New Roman" w:eastAsia="Times New Roman"/>
          <w:b/>
          <w:sz w:val="22"/>
        </w:rPr>
        <w:t>: Taxpayer-level confusion matrices at the flag threshold (seed 42)</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w:t>
      </w:r>
      <w:r>
        <w:rPr>
          <w:rFonts w:ascii="Times New Roman" w:hAnsi="Times New Roman" w:cs="Times New Roman" w:eastAsia="Times New Roman"/>
          <w:b/>
        </w:rPr>
        <w:fldChar w:fldCharType="end"/>
      </w:r>
      <w:r>
        <w:rPr>
          <w:rFonts w:ascii="Times New Roman" w:hAnsi="Times New Roman" w:cs="Times New Roman" w:eastAsia="Times New Roman"/>
          <w:b/>
          <w:sz w:val="22"/>
        </w:rPr>
        <w:t>: Recall by injected pattern at the flag threshold (seed 42)</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tblHeader w:val="true"/>
        </w:trPr>
        <w:tc>
          <w:tcPr>
            <w:tcW w:type="dxa" w:w="2314"/>
            <w:shd w:val="clear" w:color="auto" w:fill="DCFCE7"/>
          </w:tcPr>
          <w:p>
            <w:pPr>
              <w:keepNext/>
              <w:spacing w:line="240" w:lineRule="auto" w:after="40"/>
              <w:jc w:val="center"/>
            </w:pPr>
            <w:r/>
            <w:r>
              <w:rPr>
                <w:rFonts w:ascii="Times New Roman" w:hAnsi="Times New Roman" w:cs="Times New Roman" w:eastAsia="Times New Roman"/>
                <w:b/>
                <w:sz w:val="20"/>
              </w:rPr>
              <w:t>Pattern</w:t>
            </w:r>
          </w:p>
        </w:tc>
        <w:tc>
          <w:tcPr>
            <w:tcW w:type="dxa" w:w="1029"/>
            <w:shd w:val="clear" w:color="auto" w:fill="DCFCE7"/>
          </w:tcPr>
          <w:p>
            <w:pPr>
              <w:keepNext/>
              <w:spacing w:line="240" w:lineRule="auto" w:after="40"/>
              <w:jc w:val="center"/>
            </w:pPr>
            <w:r/>
            <w:r>
              <w:rPr>
                <w:rFonts w:ascii="Times New Roman" w:hAnsi="Times New Roman" w:cs="Times New Roman" w:eastAsia="Times New Roman"/>
                <w:b/>
                <w:sz w:val="20"/>
              </w:rPr>
              <w:t>Count</w:t>
            </w:r>
          </w:p>
        </w:tc>
        <w:tc>
          <w:tcPr>
            <w:tcW w:type="dxa" w:w="1543"/>
            <w:shd w:val="clear" w:color="auto" w:fill="DCFCE7"/>
          </w:tcPr>
          <w:p>
            <w:pPr>
              <w:keepNext/>
              <w:spacing w:line="240" w:lineRule="auto" w:after="40"/>
              <w:jc w:val="center"/>
            </w:pPr>
            <w:r/>
            <w:r>
              <w:rPr>
                <w:rFonts w:ascii="Times New Roman" w:hAnsi="Times New Roman" w:cs="Times New Roman" w:eastAsia="Times New Roman"/>
                <w:b/>
                <w:sz w:val="20"/>
              </w:rPr>
              <w:t>TaxSentinel</w:t>
            </w:r>
          </w:p>
        </w:tc>
        <w:tc>
          <w:tcPr>
            <w:tcW w:type="dxa" w:w="1671"/>
            <w:shd w:val="clear" w:color="auto" w:fill="DCFCE7"/>
          </w:tcPr>
          <w:p>
            <w:pPr>
              <w:keepNext/>
              <w:spacing w:line="240" w:lineRule="auto" w:after="40"/>
              <w:jc w:val="center"/>
            </w:pPr>
            <w:r/>
            <w:r>
              <w:rPr>
                <w:rFonts w:ascii="Times New Roman" w:hAnsi="Times New Roman" w:cs="Times New Roman" w:eastAsia="Times New Roman"/>
                <w:b/>
                <w:sz w:val="20"/>
              </w:rPr>
              <w:t>Rule baseline</w:t>
            </w:r>
          </w:p>
        </w:tc>
        <w:tc>
          <w:tcPr>
            <w:tcW w:type="dxa" w:w="2443"/>
            <w:shd w:val="clear" w:color="auto" w:fill="DCFCE7"/>
          </w:tcPr>
          <w:p>
            <w:pPr>
              <w:keepNext/>
              <w:spacing w:line="240" w:lineRule="auto" w:after="40"/>
              <w:jc w:val="center"/>
            </w:pPr>
            <w:r/>
            <w:r>
              <w:rPr>
                <w:rFonts w:ascii="Times New Roman" w:hAnsi="Times New Roman" w:cs="Times New Roman" w:eastAsia="Times New Roman"/>
                <w:b/>
                <w:sz w:val="20"/>
              </w:rPr>
              <w:t>Pattern correctly named</w:t>
            </w:r>
          </w:p>
        </w:tc>
      </w:tr>
      <w:tr>
        <w:trPr>
          <w:cantSplit/>
        </w:trPr>
        <w:tc>
          <w:tcPr>
            <w:tcW w:type="dxa" w:w="2314"/>
          </w:tcPr>
          <w:p>
            <w:pPr>
              <w:keepNext/>
              <w:spacing w:line="240" w:lineRule="auto" w:after="40"/>
              <w:jc w:val="left"/>
            </w:pPr>
            <w:r/>
            <w:r>
              <w:rPr>
                <w:rFonts w:ascii="Times New Roman" w:hAnsi="Times New Roman" w:cs="Times New Roman" w:eastAsia="Times New Roman"/>
                <w:sz w:val="20"/>
              </w:rPr>
              <w:t>Circular trading</w:t>
            </w:r>
          </w:p>
        </w:tc>
        <w:tc>
          <w:tcPr>
            <w:tcW w:type="dxa" w:w="1029"/>
          </w:tcPr>
          <w:p>
            <w:pPr>
              <w:keepNext/>
              <w:spacing w:line="240" w:lineRule="auto" w:after="40"/>
              <w:jc w:val="center"/>
            </w:pPr>
            <w:r/>
            <w:r>
              <w:rPr>
                <w:rFonts w:ascii="Times New Roman" w:hAnsi="Times New Roman" w:cs="Times New Roman" w:eastAsia="Times New Roman"/>
                <w:sz w:val="20"/>
              </w:rPr>
              <w:t>21</w:t>
            </w:r>
          </w:p>
        </w:tc>
        <w:tc>
          <w:tcPr>
            <w:tcW w:type="dxa" w:w="1543"/>
          </w:tcPr>
          <w:p>
            <w:pPr>
              <w:keepNext/>
              <w:spacing w:line="240" w:lineRule="auto" w:after="40"/>
              <w:jc w:val="center"/>
            </w:pPr>
            <w:r/>
            <w:r>
              <w:rPr>
                <w:rFonts w:ascii="Times New Roman" w:hAnsi="Times New Roman" w:cs="Times New Roman" w:eastAsia="Times New Roman"/>
                <w:sz w:val="20"/>
              </w:rPr>
              <w:t>1.00</w:t>
            </w:r>
          </w:p>
        </w:tc>
        <w:tc>
          <w:tcPr>
            <w:tcW w:type="dxa" w:w="1671"/>
          </w:tcPr>
          <w:p>
            <w:pPr>
              <w:keepNext/>
              <w:spacing w:line="240" w:lineRule="auto" w:after="40"/>
              <w:jc w:val="center"/>
            </w:pPr>
            <w:r/>
            <w:r>
              <w:rPr>
                <w:rFonts w:ascii="Times New Roman" w:hAnsi="Times New Roman" w:cs="Times New Roman" w:eastAsia="Times New Roman"/>
                <w:sz w:val="20"/>
              </w:rPr>
              <w:t>0.86</w:t>
            </w:r>
          </w:p>
        </w:tc>
        <w:tc>
          <w:tcPr>
            <w:tcW w:type="dxa" w:w="2443"/>
          </w:tcPr>
          <w:p>
            <w:pPr>
              <w:keepNext/>
              <w:spacing w:line="240" w:lineRule="auto" w:after="40"/>
              <w:jc w:val="center"/>
            </w:pPr>
            <w:r/>
            <w:r>
              <w:rPr>
                <w:rFonts w:ascii="Times New Roman" w:hAnsi="Times New Roman" w:cs="Times New Roman" w:eastAsia="Times New Roman"/>
                <w:sz w:val="20"/>
              </w:rPr>
              <w:t>1.00</w:t>
            </w:r>
          </w:p>
        </w:tc>
      </w:tr>
      <w:tr>
        <w:trPr>
          <w:cantSplit/>
        </w:trPr>
        <w:tc>
          <w:tcPr>
            <w:tcW w:type="dxa" w:w="2314"/>
          </w:tcPr>
          <w:p>
            <w:pPr>
              <w:spacing w:line="240" w:lineRule="auto" w:after="40"/>
              <w:jc w:val="left"/>
            </w:pPr>
            <w:r/>
            <w:r>
              <w:rPr>
                <w:rFonts w:ascii="Times New Roman" w:hAnsi="Times New Roman" w:cs="Times New Roman" w:eastAsia="Times New Roman"/>
                <w:sz w:val="20"/>
              </w:rPr>
              <w:t>Shell entity</w:t>
            </w:r>
          </w:p>
        </w:tc>
        <w:tc>
          <w:tcPr>
            <w:tcW w:type="dxa" w:w="1029"/>
          </w:tcPr>
          <w:p>
            <w:pPr>
              <w:spacing w:line="240" w:lineRule="auto" w:after="40"/>
              <w:jc w:val="center"/>
            </w:pPr>
            <w:r/>
            <w:r>
              <w:rPr>
                <w:rFonts w:ascii="Times New Roman" w:hAnsi="Times New Roman" w:cs="Times New Roman" w:eastAsia="Times New Roman"/>
                <w:sz w:val="20"/>
              </w:rPr>
              <w:t>27</w:t>
            </w:r>
          </w:p>
        </w:tc>
        <w:tc>
          <w:tcPr>
            <w:tcW w:type="dxa" w:w="1543"/>
          </w:tcPr>
          <w:p>
            <w:pPr>
              <w:spacing w:line="240" w:lineRule="auto" w:after="40"/>
              <w:jc w:val="center"/>
            </w:pPr>
            <w:r/>
            <w:r>
              <w:rPr>
                <w:rFonts w:ascii="Times New Roman" w:hAnsi="Times New Roman" w:cs="Times New Roman" w:eastAsia="Times New Roman"/>
                <w:sz w:val="20"/>
              </w:rPr>
              <w:t>1.00</w:t>
            </w:r>
          </w:p>
        </w:tc>
        <w:tc>
          <w:tcPr>
            <w:tcW w:type="dxa" w:w="1671"/>
          </w:tcPr>
          <w:p>
            <w:pPr>
              <w:spacing w:line="240" w:lineRule="auto" w:after="40"/>
              <w:jc w:val="center"/>
            </w:pPr>
            <w:r/>
            <w:r>
              <w:rPr>
                <w:rFonts w:ascii="Times New Roman" w:hAnsi="Times New Roman" w:cs="Times New Roman" w:eastAsia="Times New Roman"/>
                <w:sz w:val="20"/>
              </w:rPr>
              <w:t>1.00</w:t>
            </w:r>
          </w:p>
        </w:tc>
        <w:tc>
          <w:tcPr>
            <w:tcW w:type="dxa" w:w="2443"/>
          </w:tcPr>
          <w:p>
            <w:pPr>
              <w:spacing w:line="240" w:lineRule="auto" w:after="40"/>
              <w:jc w:val="center"/>
            </w:pPr>
            <w:r/>
            <w:r>
              <w:rPr>
                <w:rFonts w:ascii="Times New Roman" w:hAnsi="Times New Roman" w:cs="Times New Roman" w:eastAsia="Times New Roman"/>
                <w:sz w:val="20"/>
              </w:rPr>
              <w:t>1.00</w:t>
            </w:r>
          </w:p>
        </w:tc>
      </w:tr>
      <w:tr>
        <w:trPr>
          <w:cantSplit/>
        </w:trPr>
        <w:tc>
          <w:tcPr>
            <w:tcW w:type="dxa" w:w="2314"/>
          </w:tcPr>
          <w:p>
            <w:pPr>
              <w:spacing w:line="240" w:lineRule="auto" w:after="40"/>
              <w:jc w:val="left"/>
            </w:pPr>
            <w:r/>
            <w:r>
              <w:rPr>
                <w:rFonts w:ascii="Times New Roman" w:hAnsi="Times New Roman" w:cs="Times New Roman" w:eastAsia="Times New Roman"/>
                <w:sz w:val="20"/>
              </w:rPr>
              <w:t>Fake-invoice buyer</w:t>
            </w:r>
          </w:p>
        </w:tc>
        <w:tc>
          <w:tcPr>
            <w:tcW w:type="dxa" w:w="1029"/>
          </w:tcPr>
          <w:p>
            <w:pPr>
              <w:spacing w:line="240" w:lineRule="auto" w:after="40"/>
              <w:jc w:val="center"/>
            </w:pPr>
            <w:r/>
            <w:r>
              <w:rPr>
                <w:rFonts w:ascii="Times New Roman" w:hAnsi="Times New Roman" w:cs="Times New Roman" w:eastAsia="Times New Roman"/>
                <w:sz w:val="20"/>
              </w:rPr>
              <w:t>19</w:t>
            </w:r>
          </w:p>
        </w:tc>
        <w:tc>
          <w:tcPr>
            <w:tcW w:type="dxa" w:w="1543"/>
          </w:tcPr>
          <w:p>
            <w:pPr>
              <w:spacing w:line="240" w:lineRule="auto" w:after="40"/>
              <w:jc w:val="center"/>
            </w:pPr>
            <w:r/>
            <w:r>
              <w:rPr>
                <w:rFonts w:ascii="Times New Roman" w:hAnsi="Times New Roman" w:cs="Times New Roman" w:eastAsia="Times New Roman"/>
                <w:sz w:val="20"/>
              </w:rPr>
              <w:t>0.89</w:t>
            </w:r>
          </w:p>
        </w:tc>
        <w:tc>
          <w:tcPr>
            <w:tcW w:type="dxa" w:w="1671"/>
          </w:tcPr>
          <w:p>
            <w:pPr>
              <w:spacing w:line="240" w:lineRule="auto" w:after="40"/>
              <w:jc w:val="center"/>
            </w:pPr>
            <w:r/>
            <w:r>
              <w:rPr>
                <w:rFonts w:ascii="Times New Roman" w:hAnsi="Times New Roman" w:cs="Times New Roman" w:eastAsia="Times New Roman"/>
                <w:sz w:val="20"/>
              </w:rPr>
              <w:t>0.58</w:t>
            </w:r>
          </w:p>
        </w:tc>
        <w:tc>
          <w:tcPr>
            <w:tcW w:type="dxa" w:w="2443"/>
          </w:tcPr>
          <w:p>
            <w:pPr>
              <w:spacing w:line="240" w:lineRule="auto" w:after="40"/>
              <w:jc w:val="center"/>
            </w:pPr>
            <w:r/>
            <w:r>
              <w:rPr>
                <w:rFonts w:ascii="Times New Roman" w:hAnsi="Times New Roman" w:cs="Times New Roman" w:eastAsia="Times New Roman"/>
                <w:sz w:val="20"/>
              </w:rPr>
              <w:t>1.00</w:t>
            </w:r>
          </w:p>
        </w:tc>
      </w:tr>
      <w:tr>
        <w:trPr>
          <w:cantSplit/>
        </w:trPr>
        <w:tc>
          <w:tcPr>
            <w:tcW w:type="dxa" w:w="2314"/>
          </w:tcPr>
          <w:p>
            <w:pPr>
              <w:spacing w:line="240" w:lineRule="auto" w:after="40"/>
              <w:jc w:val="left"/>
            </w:pPr>
            <w:r/>
            <w:r>
              <w:rPr>
                <w:rFonts w:ascii="Times New Roman" w:hAnsi="Times New Roman" w:cs="Times New Roman" w:eastAsia="Times New Roman"/>
                <w:sz w:val="20"/>
              </w:rPr>
              <w:t>ITC spike</w:t>
            </w:r>
          </w:p>
        </w:tc>
        <w:tc>
          <w:tcPr>
            <w:tcW w:type="dxa" w:w="1029"/>
          </w:tcPr>
          <w:p>
            <w:pPr>
              <w:spacing w:line="240" w:lineRule="auto" w:after="40"/>
              <w:jc w:val="center"/>
            </w:pPr>
            <w:r/>
            <w:r>
              <w:rPr>
                <w:rFonts w:ascii="Times New Roman" w:hAnsi="Times New Roman" w:cs="Times New Roman" w:eastAsia="Times New Roman"/>
                <w:sz w:val="20"/>
              </w:rPr>
              <w:t>12</w:t>
            </w:r>
          </w:p>
        </w:tc>
        <w:tc>
          <w:tcPr>
            <w:tcW w:type="dxa" w:w="1543"/>
          </w:tcPr>
          <w:p>
            <w:pPr>
              <w:spacing w:line="240" w:lineRule="auto" w:after="40"/>
              <w:jc w:val="center"/>
            </w:pPr>
            <w:r/>
            <w:r>
              <w:rPr>
                <w:rFonts w:ascii="Times New Roman" w:hAnsi="Times New Roman" w:cs="Times New Roman" w:eastAsia="Times New Roman"/>
                <w:sz w:val="20"/>
              </w:rPr>
              <w:t>0.83</w:t>
            </w:r>
          </w:p>
        </w:tc>
        <w:tc>
          <w:tcPr>
            <w:tcW w:type="dxa" w:w="1671"/>
          </w:tcPr>
          <w:p>
            <w:pPr>
              <w:spacing w:line="240" w:lineRule="auto" w:after="40"/>
              <w:jc w:val="center"/>
            </w:pPr>
            <w:r/>
            <w:r>
              <w:rPr>
                <w:rFonts w:ascii="Times New Roman" w:hAnsi="Times New Roman" w:cs="Times New Roman" w:eastAsia="Times New Roman"/>
                <w:sz w:val="20"/>
              </w:rPr>
              <w:t>1.00</w:t>
            </w:r>
          </w:p>
        </w:tc>
        <w:tc>
          <w:tcPr>
            <w:tcW w:type="dxa" w:w="2443"/>
          </w:tcPr>
          <w:p>
            <w:pPr>
              <w:spacing w:line="240" w:lineRule="auto" w:after="40"/>
              <w:jc w:val="center"/>
            </w:pPr>
            <w:r/>
            <w:r>
              <w:rPr>
                <w:rFonts w:ascii="Times New Roman" w:hAnsi="Times New Roman" w:cs="Times New Roman" w:eastAsia="Times New Roman"/>
                <w:sz w:val="20"/>
              </w:rPr>
              <w:t>1.00</w:t>
            </w:r>
          </w:p>
        </w:tc>
      </w:tr>
    </w:tbl>
    <w:p>
      <w:pPr>
        <w:spacing w:after="120" w:line="240" w:lineRule="auto"/>
      </w:pPr>
    </w:p>
    <w:p>
      <w:r>
        <w:rPr>
          <w:rFonts w:ascii="Times New Roman" w:hAnsi="Times New Roman" w:cs="Times New Roman" w:eastAsia="Times New Roman"/>
        </w:rPr>
        <w:t xml:space="preserve">Recall is 1.00 for circular trading (baseline 0.86) and for shell entities (baseline 1.00), 0.89 for fake-invoice buyers (baseline 0.58) and 0.83 for ITC spikes, where the </w:t>
      </w:r>
      <w:r>
        <w:rPr>
          <w:rFonts w:ascii="Times New Roman" w:hAnsi="Times New Roman" w:cs="Times New Roman" w:eastAsia="Times New Roman"/>
          <w:b/>
        </w:rPr>
        <w:t>rule baseline is better</w:t>
      </w:r>
      <w:r>
        <w:rPr>
          <w:rFonts w:ascii="Times New Roman" w:hAnsi="Times New Roman" w:cs="Times New Roman" w:eastAsia="Times New Roman"/>
        </w:rPr>
        <w:t xml:space="preserve"> (1.00): a one-month claim above 3 times the previous month is exactly what rule R4 tests, while the model's score for a single month is diluted by the taxpayer's other months. In every case where a flagged taxpayer was one of these patterns, the pattern was named correctly.</w:t>
      </w:r>
    </w:p>
    <w:p>
      <w:pPr>
        <w:keepNext/>
        <w:spacing w:line="240" w:lineRule="auto"/>
        <w:jc w:val="center"/>
      </w:pPr>
      <w:r>
        <w:drawing>
          <wp:inline xmlns:a="http://schemas.openxmlformats.org/drawingml/2006/main" xmlns:pic="http://schemas.openxmlformats.org/drawingml/2006/picture">
            <wp:extent cx="4754880" cy="2836146"/>
            <wp:docPr id="17" name="Picture 17"/>
            <wp:cNvGraphicFramePr>
              <a:graphicFrameLocks noChangeAspect="1"/>
            </wp:cNvGraphicFramePr>
            <a:graphic>
              <a:graphicData uri="http://schemas.openxmlformats.org/drawingml/2006/picture">
                <pic:pic>
                  <pic:nvPicPr>
                    <pic:cNvPr id="0" name="c03_recall_by_pattern.png"/>
                    <pic:cNvPicPr/>
                  </pic:nvPicPr>
                  <pic:blipFill>
                    <a:blip r:embed="rId26"/>
                    <a:stretch>
                      <a:fillRect/>
                    </a:stretch>
                  </pic:blipFill>
                  <pic:spPr>
                    <a:xfrm>
                      <a:off x="0" y="0"/>
                      <a:ext cx="4754880" cy="2836146"/>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17</w:t>
      </w:r>
      <w:r>
        <w:rPr>
          <w:rFonts w:ascii="Times New Roman" w:hAnsi="Times New Roman" w:cs="Times New Roman" w:eastAsia="Times New Roman"/>
          <w:b/>
        </w:rPr>
        <w:fldChar w:fldCharType="end"/>
      </w:r>
      <w:r>
        <w:rPr>
          <w:rFonts w:ascii="Times New Roman" w:hAnsi="Times New Roman" w:cs="Times New Roman" w:eastAsia="Times New Roman"/>
          <w:b/>
          <w:sz w:val="22"/>
        </w:rPr>
        <w:t>: Recall by injected fraud pattern, model against rule baseline (seed 42)</w:t>
      </w:r>
    </w:p>
    <w:p>
      <w:pPr>
        <w:pStyle w:val="Heading3"/>
      </w:pPr>
      <w:r>
        <w:t>8.2.3 Invoice-level detection, rings and chains</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3</w:t>
      </w:r>
      <w:r>
        <w:rPr>
          <w:rFonts w:ascii="Times New Roman" w:hAnsi="Times New Roman" w:cs="Times New Roman" w:eastAsia="Times New Roman"/>
          <w:b/>
        </w:rPr>
        <w:fldChar w:fldCharType="end"/>
      </w:r>
      <w:r>
        <w:rPr>
          <w:rFonts w:ascii="Times New Roman" w:hAnsi="Times New Roman" w:cs="Times New Roman" w:eastAsia="Times New Roman"/>
          <w:b/>
          <w:sz w:val="22"/>
        </w:rPr>
        <w:t>: Invoice-level, ring and chain results (seed 42)</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600"/>
            <w:shd w:val="clear" w:color="auto" w:fill="DCFCE7"/>
          </w:tcPr>
          <w:p>
            <w:pPr>
              <w:keepNext/>
              <w:spacing w:line="240" w:lineRule="auto" w:after="40"/>
              <w:jc w:val="center"/>
            </w:pPr>
            <w:r/>
            <w:r>
              <w:rPr>
                <w:rFonts w:ascii="Times New Roman" w:hAnsi="Times New Roman" w:cs="Times New Roman" w:eastAsia="Times New Roman"/>
                <w:b/>
                <w:sz w:val="20"/>
              </w:rPr>
              <w:t>Measure</w:t>
            </w:r>
          </w:p>
        </w:tc>
        <w:tc>
          <w:tcPr>
            <w:tcW w:type="dxa" w:w="5400"/>
            <w:shd w:val="clear" w:color="auto" w:fill="DCFCE7"/>
          </w:tcPr>
          <w:p>
            <w:pPr>
              <w:keepNext/>
              <w:spacing w:line="240" w:lineRule="auto" w:after="40"/>
              <w:jc w:val="center"/>
            </w:pPr>
            <w:r/>
            <w:r>
              <w:rPr>
                <w:rFonts w:ascii="Times New Roman" w:hAnsi="Times New Roman" w:cs="Times New Roman" w:eastAsia="Times New Roman"/>
                <w:b/>
                <w:sz w:val="20"/>
              </w:rPr>
              <w:t>Value</w:t>
            </w:r>
          </w:p>
        </w:tc>
      </w:tr>
      <w:tr>
        <w:trPr>
          <w:cantSplit/>
        </w:trPr>
        <w:tc>
          <w:tcPr>
            <w:tcW w:type="dxa" w:w="3600"/>
          </w:tcPr>
          <w:p>
            <w:pPr>
              <w:keepNext/>
              <w:spacing w:line="240" w:lineRule="auto" w:after="40"/>
              <w:jc w:val="left"/>
            </w:pPr>
            <w:r/>
            <w:r>
              <w:rPr>
                <w:rFonts w:ascii="Times New Roman" w:hAnsi="Times New Roman" w:cs="Times New Roman" w:eastAsia="Times New Roman"/>
                <w:sz w:val="20"/>
              </w:rPr>
              <w:t>Anomalous-invoice flags (score &gt;= 0.5)</w:t>
            </w:r>
          </w:p>
        </w:tc>
        <w:tc>
          <w:tcPr>
            <w:tcW w:type="dxa" w:w="5400"/>
          </w:tcPr>
          <w:p>
            <w:pPr>
              <w:keepNext/>
              <w:spacing w:line="240" w:lineRule="auto" w:after="40"/>
              <w:jc w:val="left"/>
            </w:pPr>
            <w:r/>
            <w:r>
              <w:rPr>
                <w:rFonts w:ascii="Times New Roman" w:hAnsi="Times New Roman" w:cs="Times New Roman" w:eastAsia="Times New Roman"/>
                <w:sz w:val="20"/>
              </w:rPr>
              <w:t>581 flagged; precision 0.883, recall 0.968, F1 0.924</w:t>
            </w:r>
          </w:p>
        </w:tc>
      </w:tr>
      <w:tr>
        <w:trPr>
          <w:cantSplit/>
        </w:trPr>
        <w:tc>
          <w:tcPr>
            <w:tcW w:type="dxa" w:w="3600"/>
          </w:tcPr>
          <w:p>
            <w:pPr>
              <w:spacing w:line="240" w:lineRule="auto" w:after="40"/>
              <w:jc w:val="left"/>
            </w:pPr>
            <w:r/>
            <w:r>
              <w:rPr>
                <w:rFonts w:ascii="Times New Roman" w:hAnsi="Times New Roman" w:cs="Times New Roman" w:eastAsia="Times New Roman"/>
                <w:sz w:val="20"/>
              </w:rPr>
              <w:t>Invoice ranking</w:t>
            </w:r>
          </w:p>
        </w:tc>
        <w:tc>
          <w:tcPr>
            <w:tcW w:type="dxa" w:w="5400"/>
          </w:tcPr>
          <w:p>
            <w:pPr>
              <w:spacing w:line="240" w:lineRule="auto" w:after="40"/>
              <w:jc w:val="left"/>
            </w:pPr>
            <w:r/>
            <w:r>
              <w:rPr>
                <w:rFonts w:ascii="Times New Roman" w:hAnsi="Times New Roman" w:cs="Times New Roman" w:eastAsia="Times New Roman"/>
                <w:sz w:val="20"/>
              </w:rPr>
              <w:t>ROC-AUC 1.000; precision@100 1.00, @500 0.936, @530 0.930</w:t>
            </w:r>
          </w:p>
        </w:tc>
      </w:tr>
      <w:tr>
        <w:trPr>
          <w:cantSplit/>
        </w:trPr>
        <w:tc>
          <w:tcPr>
            <w:tcW w:type="dxa" w:w="3600"/>
          </w:tcPr>
          <w:p>
            <w:pPr>
              <w:spacing w:line="240" w:lineRule="auto" w:after="40"/>
              <w:jc w:val="left"/>
            </w:pPr>
            <w:r/>
            <w:r>
              <w:rPr>
                <w:rFonts w:ascii="Times New Roman" w:hAnsi="Times New Roman" w:cs="Times New Roman" w:eastAsia="Times New Roman"/>
                <w:sz w:val="20"/>
              </w:rPr>
              <w:t>Baseline: not reported in supplier's GSTR-1</w:t>
            </w:r>
          </w:p>
        </w:tc>
        <w:tc>
          <w:tcPr>
            <w:tcW w:type="dxa" w:w="5400"/>
          </w:tcPr>
          <w:p>
            <w:pPr>
              <w:spacing w:line="240" w:lineRule="auto" w:after="40"/>
              <w:jc w:val="left"/>
            </w:pPr>
            <w:r/>
            <w:r>
              <w:rPr>
                <w:rFonts w:ascii="Times New Roman" w:hAnsi="Times New Roman" w:cs="Times New Roman" w:eastAsia="Times New Roman"/>
                <w:sz w:val="20"/>
              </w:rPr>
              <w:t>1071 flagged; precision 0.120, recall 0.242, F1 0.160</w:t>
            </w:r>
          </w:p>
        </w:tc>
      </w:tr>
      <w:tr>
        <w:trPr>
          <w:cantSplit/>
        </w:trPr>
        <w:tc>
          <w:tcPr>
            <w:tcW w:type="dxa" w:w="3600"/>
          </w:tcPr>
          <w:p>
            <w:pPr>
              <w:spacing w:line="240" w:lineRule="auto" w:after="40"/>
              <w:jc w:val="left"/>
            </w:pPr>
            <w:r/>
            <w:r>
              <w:rPr>
                <w:rFonts w:ascii="Times New Roman" w:hAnsi="Times New Roman" w:cs="Times New Roman" w:eastAsia="Times New Roman"/>
                <w:sz w:val="20"/>
              </w:rPr>
              <w:t>Injected circular-trading rings recovered</w:t>
            </w:r>
          </w:p>
        </w:tc>
        <w:tc>
          <w:tcPr>
            <w:tcW w:type="dxa" w:w="5400"/>
          </w:tcPr>
          <w:p>
            <w:pPr>
              <w:spacing w:line="240" w:lineRule="auto" w:after="40"/>
              <w:jc w:val="left"/>
            </w:pPr>
            <w:r/>
            <w:r>
              <w:rPr>
                <w:rFonts w:ascii="Times New Roman" w:hAnsi="Times New Roman" w:cs="Times New Roman" w:eastAsia="Times New Roman"/>
                <w:sz w:val="20"/>
              </w:rPr>
              <w:t>5 of 5 (at least 80 % of members in one detected ring)</w:t>
            </w:r>
          </w:p>
        </w:tc>
      </w:tr>
      <w:tr>
        <w:trPr>
          <w:cantSplit/>
        </w:trPr>
        <w:tc>
          <w:tcPr>
            <w:tcW w:type="dxa" w:w="3600"/>
          </w:tcPr>
          <w:p>
            <w:pPr>
              <w:spacing w:line="240" w:lineRule="auto" w:after="40"/>
              <w:jc w:val="left"/>
            </w:pPr>
            <w:r/>
            <w:r>
              <w:rPr>
                <w:rFonts w:ascii="Times New Roman" w:hAnsi="Times New Roman" w:cs="Times New Roman" w:eastAsia="Times New Roman"/>
                <w:sz w:val="20"/>
              </w:rPr>
              <w:t>Rings detected</w:t>
            </w:r>
          </w:p>
        </w:tc>
        <w:tc>
          <w:tcPr>
            <w:tcW w:type="dxa" w:w="5400"/>
          </w:tcPr>
          <w:p>
            <w:pPr>
              <w:spacing w:line="240" w:lineRule="auto" w:after="40"/>
              <w:jc w:val="left"/>
            </w:pPr>
            <w:r/>
            <w:r>
              <w:rPr>
                <w:rFonts w:ascii="Times New Roman" w:hAnsi="Times New Roman" w:cs="Times New Roman" w:eastAsia="Times New Roman"/>
                <w:sz w:val="20"/>
              </w:rPr>
              <w:t>9 (7 with injected-fraud members, 2 without)</w:t>
            </w:r>
          </w:p>
        </w:tc>
      </w:tr>
      <w:tr>
        <w:trPr>
          <w:cantSplit/>
        </w:trPr>
        <w:tc>
          <w:tcPr>
            <w:tcW w:type="dxa" w:w="3600"/>
          </w:tcPr>
          <w:p>
            <w:pPr>
              <w:spacing w:line="240" w:lineRule="auto" w:after="40"/>
              <w:jc w:val="left"/>
            </w:pPr>
            <w:r/>
            <w:r>
              <w:rPr>
                <w:rFonts w:ascii="Times New Roman" w:hAnsi="Times New Roman" w:cs="Times New Roman" w:eastAsia="Times New Roman"/>
                <w:sz w:val="20"/>
              </w:rPr>
              <w:t>Invoice chains</w:t>
            </w:r>
          </w:p>
        </w:tc>
        <w:tc>
          <w:tcPr>
            <w:tcW w:type="dxa" w:w="5400"/>
          </w:tcPr>
          <w:p>
            <w:pPr>
              <w:spacing w:line="240" w:lineRule="auto" w:after="40"/>
              <w:jc w:val="left"/>
            </w:pPr>
            <w:r/>
            <w:r>
              <w:rPr>
                <w:rFonts w:ascii="Times New Roman" w:hAnsi="Times New Roman" w:cs="Times New Roman" w:eastAsia="Times New Roman"/>
                <w:sz w:val="20"/>
              </w:rPr>
              <w:t>16 chains; share of the top 10 that are fraud: 1.00</w:t>
            </w:r>
          </w:p>
        </w:tc>
      </w:tr>
    </w:tbl>
    <w:p>
      <w:pPr>
        <w:spacing w:after="120" w:line="240" w:lineRule="auto"/>
      </w:pPr>
    </w:p>
    <w:p>
      <w:pPr>
        <w:keepNext/>
        <w:spacing w:line="240" w:lineRule="auto"/>
        <w:jc w:val="center"/>
      </w:pPr>
      <w:r>
        <w:drawing>
          <wp:inline xmlns:a="http://schemas.openxmlformats.org/drawingml/2006/main" xmlns:pic="http://schemas.openxmlformats.org/drawingml/2006/picture">
            <wp:extent cx="4754880" cy="2779954"/>
            <wp:docPr id="18" name="Picture 18"/>
            <wp:cNvGraphicFramePr>
              <a:graphicFrameLocks noChangeAspect="1"/>
            </wp:cNvGraphicFramePr>
            <a:graphic>
              <a:graphicData uri="http://schemas.openxmlformats.org/drawingml/2006/picture">
                <pic:pic>
                  <pic:nvPicPr>
                    <pic:cNvPr id="0" name="c07_invoice_level.png"/>
                    <pic:cNvPicPr/>
                  </pic:nvPicPr>
                  <pic:blipFill>
                    <a:blip r:embed="rId27"/>
                    <a:stretch>
                      <a:fillRect/>
                    </a:stretch>
                  </pic:blipFill>
                  <pic:spPr>
                    <a:xfrm>
                      <a:off x="0" y="0"/>
                      <a:ext cx="4754880" cy="277995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18</w:t>
      </w:r>
      <w:r>
        <w:rPr>
          <w:rFonts w:ascii="Times New Roman" w:hAnsi="Times New Roman" w:cs="Times New Roman" w:eastAsia="Times New Roman"/>
          <w:b/>
        </w:rPr>
        <w:fldChar w:fldCharType="end"/>
      </w:r>
      <w:r>
        <w:rPr>
          <w:rFonts w:ascii="Times New Roman" w:hAnsi="Times New Roman" w:cs="Times New Roman" w:eastAsia="Times New Roman"/>
          <w:b/>
          <w:sz w:val="22"/>
        </w:rPr>
        <w:t>: Invoice-level precision, recall and F1: invoice score against the GSTR-1 mismatch check (seed 42)</w:t>
      </w:r>
    </w:p>
    <w:p>
      <w:r>
        <w:rPr>
          <w:rFonts w:ascii="Times New Roman" w:hAnsi="Times New Roman" w:cs="Times New Roman" w:eastAsia="Times New Roman"/>
        </w:rPr>
        <w:t>The invoice score has F1 0.924 against 0.160 for the classic mismatch check, which flags 1,071 invoices and finds only 24 % of the fraud. Every injected ring was recovered, but two of the nine detected rings contain no injected-fraud taxpayer: these are legitimate reciprocal trade loops that look like circular trading, and they are discussed in Section 8.5.</w:t>
      </w:r>
    </w:p>
    <w:p>
      <w:pPr>
        <w:pStyle w:val="Heading3"/>
      </w:pPr>
      <w:r>
        <w:t>8.2.4 Threshold analysis</w:t>
      </w:r>
    </w:p>
    <w:p>
      <w:r>
        <w:rPr>
          <w:rFonts w:ascii="Times New Roman" w:hAnsi="Times New Roman" w:cs="Times New Roman" w:eastAsia="Times New Roman"/>
        </w:rPr>
        <w:t>The flag threshold was fixed at 0.5. Table 4 and Fig. 19 show what other thresholds would have done on the same scores. F1 is highest between 0.4 and 0.6 and falls on either side: a lower threshold adds false alarms (at 0.2 there are 95), a higher one misses fraud (at 0.8 only 47 of 79 are found). The distribution of the scores (Fig. 20) explains the stability near 0.5: legitimate taxpayers pile up at low risk and injected fraud at high risk, with a thin overlap.</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4</w:t>
      </w:r>
      <w:r>
        <w:rPr>
          <w:rFonts w:ascii="Times New Roman" w:hAnsi="Times New Roman" w:cs="Times New Roman" w:eastAsia="Times New Roman"/>
          <w:b/>
        </w:rPr>
        <w:fldChar w:fldCharType="end"/>
      </w:r>
      <w:r>
        <w:rPr>
          <w:rFonts w:ascii="Times New Roman" w:hAnsi="Times New Roman" w:cs="Times New Roman" w:eastAsia="Times New Roman"/>
          <w:b/>
          <w:sz w:val="22"/>
        </w:rPr>
        <w:t>: Flag threshold sweep on the seed-42 scores</w:t>
      </w:r>
    </w:p>
    <w:tbl>
      <w:tblPr>
        <w:tblStyle w:val="TableGrid"/>
        <w:tblW w:type="auto" w:w="0"/>
        <w:jc w:val="center"/>
        <w:tblLayout w:type="fixed"/>
        <w:tblLook w:firstColumn="1" w:firstRow="1" w:lastColumn="0" w:lastRow="0" w:noHBand="0" w:noVBand="1" w:val="04A0"/>
      </w:tblPr>
      <w:tblGrid>
        <w:gridCol w:w="1129"/>
        <w:gridCol w:w="1129"/>
        <w:gridCol w:w="1129"/>
        <w:gridCol w:w="1129"/>
        <w:gridCol w:w="1129"/>
        <w:gridCol w:w="1129"/>
        <w:gridCol w:w="1129"/>
        <w:gridCol w:w="1129"/>
      </w:tblGrid>
      <w:tr>
        <w:trPr>
          <w:tblHeader w:val="true"/>
        </w:trPr>
        <w:tc>
          <w:tcPr>
            <w:tcW w:type="dxa" w:w="1324"/>
            <w:shd w:val="clear" w:color="auto" w:fill="DCFCE7"/>
          </w:tcPr>
          <w:p>
            <w:pPr>
              <w:keepNext/>
              <w:spacing w:line="240" w:lineRule="auto" w:after="40"/>
              <w:jc w:val="center"/>
            </w:pPr>
            <w:r/>
            <w:r>
              <w:rPr>
                <w:rFonts w:ascii="Times New Roman" w:hAnsi="Times New Roman" w:cs="Times New Roman" w:eastAsia="Times New Roman"/>
                <w:b/>
                <w:sz w:val="20"/>
              </w:rPr>
              <w:t>Threshold</w:t>
            </w:r>
          </w:p>
        </w:tc>
        <w:tc>
          <w:tcPr>
            <w:tcW w:type="dxa" w:w="1191"/>
            <w:shd w:val="clear" w:color="auto" w:fill="DCFCE7"/>
          </w:tcPr>
          <w:p>
            <w:pPr>
              <w:keepNext/>
              <w:spacing w:line="240" w:lineRule="auto" w:after="40"/>
              <w:jc w:val="center"/>
            </w:pPr>
            <w:r/>
            <w:r>
              <w:rPr>
                <w:rFonts w:ascii="Times New Roman" w:hAnsi="Times New Roman" w:cs="Times New Roman" w:eastAsia="Times New Roman"/>
                <w:b/>
                <w:sz w:val="20"/>
              </w:rPr>
              <w:t>Flagged</w:t>
            </w:r>
          </w:p>
        </w:tc>
        <w:tc>
          <w:tcPr>
            <w:tcW w:type="dxa" w:w="926"/>
            <w:shd w:val="clear" w:color="auto" w:fill="DCFCE7"/>
          </w:tcPr>
          <w:p>
            <w:pPr>
              <w:keepNext/>
              <w:spacing w:line="240" w:lineRule="auto" w:after="40"/>
              <w:jc w:val="center"/>
            </w:pPr>
            <w:r/>
            <w:r>
              <w:rPr>
                <w:rFonts w:ascii="Times New Roman" w:hAnsi="Times New Roman" w:cs="Times New Roman" w:eastAsia="Times New Roman"/>
                <w:b/>
                <w:sz w:val="20"/>
              </w:rPr>
              <w:t>TP</w:t>
            </w:r>
          </w:p>
        </w:tc>
        <w:tc>
          <w:tcPr>
            <w:tcW w:type="dxa" w:w="926"/>
            <w:shd w:val="clear" w:color="auto" w:fill="DCFCE7"/>
          </w:tcPr>
          <w:p>
            <w:pPr>
              <w:keepNext/>
              <w:spacing w:line="240" w:lineRule="auto" w:after="40"/>
              <w:jc w:val="center"/>
            </w:pPr>
            <w:r/>
            <w:r>
              <w:rPr>
                <w:rFonts w:ascii="Times New Roman" w:hAnsi="Times New Roman" w:cs="Times New Roman" w:eastAsia="Times New Roman"/>
                <w:b/>
                <w:sz w:val="20"/>
              </w:rPr>
              <w:t>FP</w:t>
            </w:r>
          </w:p>
        </w:tc>
        <w:tc>
          <w:tcPr>
            <w:tcW w:type="dxa" w:w="926"/>
            <w:shd w:val="clear" w:color="auto" w:fill="DCFCE7"/>
          </w:tcPr>
          <w:p>
            <w:pPr>
              <w:keepNext/>
              <w:spacing w:line="240" w:lineRule="auto" w:after="40"/>
              <w:jc w:val="center"/>
            </w:pPr>
            <w:r/>
            <w:r>
              <w:rPr>
                <w:rFonts w:ascii="Times New Roman" w:hAnsi="Times New Roman" w:cs="Times New Roman" w:eastAsia="Times New Roman"/>
                <w:b/>
                <w:sz w:val="20"/>
              </w:rPr>
              <w:t>FN</w:t>
            </w:r>
          </w:p>
        </w:tc>
        <w:tc>
          <w:tcPr>
            <w:tcW w:type="dxa" w:w="1324"/>
            <w:shd w:val="clear" w:color="auto" w:fill="DCFCE7"/>
          </w:tcPr>
          <w:p>
            <w:pPr>
              <w:keepNext/>
              <w:spacing w:line="240" w:lineRule="auto" w:after="40"/>
              <w:jc w:val="center"/>
            </w:pPr>
            <w:r/>
            <w:r>
              <w:rPr>
                <w:rFonts w:ascii="Times New Roman" w:hAnsi="Times New Roman" w:cs="Times New Roman" w:eastAsia="Times New Roman"/>
                <w:b/>
                <w:sz w:val="20"/>
              </w:rPr>
              <w:t>Precision</w:t>
            </w:r>
          </w:p>
        </w:tc>
        <w:tc>
          <w:tcPr>
            <w:tcW w:type="dxa" w:w="1191"/>
            <w:shd w:val="clear" w:color="auto" w:fill="DCFCE7"/>
          </w:tcPr>
          <w:p>
            <w:pPr>
              <w:keepNext/>
              <w:spacing w:line="240" w:lineRule="auto" w:after="40"/>
              <w:jc w:val="center"/>
            </w:pPr>
            <w:r/>
            <w:r>
              <w:rPr>
                <w:rFonts w:ascii="Times New Roman" w:hAnsi="Times New Roman" w:cs="Times New Roman" w:eastAsia="Times New Roman"/>
                <w:b/>
                <w:sz w:val="20"/>
              </w:rPr>
              <w:t>Recall</w:t>
            </w:r>
          </w:p>
        </w:tc>
        <w:tc>
          <w:tcPr>
            <w:tcW w:type="dxa" w:w="1191"/>
            <w:shd w:val="clear" w:color="auto" w:fill="DCFCE7"/>
          </w:tcPr>
          <w:p>
            <w:pPr>
              <w:keepNext/>
              <w:spacing w:line="240" w:lineRule="auto" w:after="40"/>
              <w:jc w:val="center"/>
            </w:pPr>
            <w:r/>
            <w:r>
              <w:rPr>
                <w:rFonts w:ascii="Times New Roman" w:hAnsi="Times New Roman" w:cs="Times New Roman" w:eastAsia="Times New Roman"/>
                <w:b/>
                <w:sz w:val="20"/>
              </w:rPr>
              <w:t>F1</w:t>
            </w:r>
          </w:p>
        </w:tc>
      </w:tr>
      <w:tr>
        <w:trPr>
          <w:cantSplit/>
        </w:trPr>
        <w:tc>
          <w:tcPr>
            <w:tcW w:type="dxa" w:w="1324"/>
          </w:tcPr>
          <w:p>
            <w:pPr>
              <w:keepNext/>
              <w:spacing w:line="240" w:lineRule="auto" w:after="40"/>
              <w:jc w:val="left"/>
            </w:pPr>
            <w:r/>
            <w:r>
              <w:rPr>
                <w:rFonts w:ascii="Times New Roman" w:hAnsi="Times New Roman" w:cs="Times New Roman" w:eastAsia="Times New Roman"/>
                <w:sz w:val="20"/>
              </w:rPr>
              <w:t>0.2</w:t>
            </w:r>
          </w:p>
        </w:tc>
        <w:tc>
          <w:tcPr>
            <w:tcW w:type="dxa" w:w="1191"/>
          </w:tcPr>
          <w:p>
            <w:pPr>
              <w:keepNext/>
              <w:spacing w:line="240" w:lineRule="auto" w:after="40"/>
              <w:jc w:val="center"/>
            </w:pPr>
            <w:r/>
            <w:r>
              <w:rPr>
                <w:rFonts w:ascii="Times New Roman" w:hAnsi="Times New Roman" w:cs="Times New Roman" w:eastAsia="Times New Roman"/>
                <w:sz w:val="20"/>
              </w:rPr>
              <w:t>174</w:t>
            </w:r>
          </w:p>
        </w:tc>
        <w:tc>
          <w:tcPr>
            <w:tcW w:type="dxa" w:w="926"/>
          </w:tcPr>
          <w:p>
            <w:pPr>
              <w:keepNext/>
              <w:spacing w:line="240" w:lineRule="auto" w:after="40"/>
              <w:jc w:val="center"/>
            </w:pPr>
            <w:r/>
            <w:r>
              <w:rPr>
                <w:rFonts w:ascii="Times New Roman" w:hAnsi="Times New Roman" w:cs="Times New Roman" w:eastAsia="Times New Roman"/>
                <w:sz w:val="20"/>
              </w:rPr>
              <w:t>79</w:t>
            </w:r>
          </w:p>
        </w:tc>
        <w:tc>
          <w:tcPr>
            <w:tcW w:type="dxa" w:w="926"/>
          </w:tcPr>
          <w:p>
            <w:pPr>
              <w:keepNext/>
              <w:spacing w:line="240" w:lineRule="auto" w:after="40"/>
              <w:jc w:val="center"/>
            </w:pPr>
            <w:r/>
            <w:r>
              <w:rPr>
                <w:rFonts w:ascii="Times New Roman" w:hAnsi="Times New Roman" w:cs="Times New Roman" w:eastAsia="Times New Roman"/>
                <w:sz w:val="20"/>
              </w:rPr>
              <w:t>95</w:t>
            </w:r>
          </w:p>
        </w:tc>
        <w:tc>
          <w:tcPr>
            <w:tcW w:type="dxa" w:w="926"/>
          </w:tcPr>
          <w:p>
            <w:pPr>
              <w:keepNext/>
              <w:spacing w:line="240" w:lineRule="auto" w:after="40"/>
              <w:jc w:val="center"/>
            </w:pPr>
            <w:r/>
            <w:r>
              <w:rPr>
                <w:rFonts w:ascii="Times New Roman" w:hAnsi="Times New Roman" w:cs="Times New Roman" w:eastAsia="Times New Roman"/>
                <w:sz w:val="20"/>
              </w:rPr>
              <w:t>0</w:t>
            </w:r>
          </w:p>
        </w:tc>
        <w:tc>
          <w:tcPr>
            <w:tcW w:type="dxa" w:w="1324"/>
          </w:tcPr>
          <w:p>
            <w:pPr>
              <w:keepNext/>
              <w:spacing w:line="240" w:lineRule="auto" w:after="40"/>
              <w:jc w:val="center"/>
            </w:pPr>
            <w:r/>
            <w:r>
              <w:rPr>
                <w:rFonts w:ascii="Times New Roman" w:hAnsi="Times New Roman" w:cs="Times New Roman" w:eastAsia="Times New Roman"/>
                <w:sz w:val="20"/>
              </w:rPr>
              <w:t>0.454</w:t>
            </w:r>
          </w:p>
        </w:tc>
        <w:tc>
          <w:tcPr>
            <w:tcW w:type="dxa" w:w="1191"/>
          </w:tcPr>
          <w:p>
            <w:pPr>
              <w:keepNext/>
              <w:spacing w:line="240" w:lineRule="auto" w:after="40"/>
              <w:jc w:val="center"/>
            </w:pPr>
            <w:r/>
            <w:r>
              <w:rPr>
                <w:rFonts w:ascii="Times New Roman" w:hAnsi="Times New Roman" w:cs="Times New Roman" w:eastAsia="Times New Roman"/>
                <w:sz w:val="20"/>
              </w:rPr>
              <w:t>1.000</w:t>
            </w:r>
          </w:p>
        </w:tc>
        <w:tc>
          <w:tcPr>
            <w:tcW w:type="dxa" w:w="1191"/>
          </w:tcPr>
          <w:p>
            <w:pPr>
              <w:keepNext/>
              <w:spacing w:line="240" w:lineRule="auto" w:after="40"/>
              <w:jc w:val="center"/>
            </w:pPr>
            <w:r/>
            <w:r>
              <w:rPr>
                <w:rFonts w:ascii="Times New Roman" w:hAnsi="Times New Roman" w:cs="Times New Roman" w:eastAsia="Times New Roman"/>
                <w:sz w:val="20"/>
              </w:rPr>
              <w:t>0.625</w:t>
            </w:r>
          </w:p>
        </w:tc>
      </w:tr>
      <w:tr>
        <w:trPr>
          <w:cantSplit/>
        </w:trPr>
        <w:tc>
          <w:tcPr>
            <w:tcW w:type="dxa" w:w="1324"/>
          </w:tcPr>
          <w:p>
            <w:pPr>
              <w:spacing w:line="240" w:lineRule="auto" w:after="40"/>
              <w:jc w:val="left"/>
            </w:pPr>
            <w:r/>
            <w:r>
              <w:rPr>
                <w:rFonts w:ascii="Times New Roman" w:hAnsi="Times New Roman" w:cs="Times New Roman" w:eastAsia="Times New Roman"/>
                <w:sz w:val="20"/>
              </w:rPr>
              <w:t>0.3</w:t>
            </w:r>
          </w:p>
        </w:tc>
        <w:tc>
          <w:tcPr>
            <w:tcW w:type="dxa" w:w="1191"/>
          </w:tcPr>
          <w:p>
            <w:pPr>
              <w:spacing w:line="240" w:lineRule="auto" w:after="40"/>
              <w:jc w:val="center"/>
            </w:pPr>
            <w:r/>
            <w:r>
              <w:rPr>
                <w:rFonts w:ascii="Times New Roman" w:hAnsi="Times New Roman" w:cs="Times New Roman" w:eastAsia="Times New Roman"/>
                <w:sz w:val="20"/>
              </w:rPr>
              <w:t>113</w:t>
            </w:r>
          </w:p>
        </w:tc>
        <w:tc>
          <w:tcPr>
            <w:tcW w:type="dxa" w:w="926"/>
          </w:tcPr>
          <w:p>
            <w:pPr>
              <w:spacing w:line="240" w:lineRule="auto" w:after="40"/>
              <w:jc w:val="center"/>
            </w:pPr>
            <w:r/>
            <w:r>
              <w:rPr>
                <w:rFonts w:ascii="Times New Roman" w:hAnsi="Times New Roman" w:cs="Times New Roman" w:eastAsia="Times New Roman"/>
                <w:sz w:val="20"/>
              </w:rPr>
              <w:t>78</w:t>
            </w:r>
          </w:p>
        </w:tc>
        <w:tc>
          <w:tcPr>
            <w:tcW w:type="dxa" w:w="926"/>
          </w:tcPr>
          <w:p>
            <w:pPr>
              <w:spacing w:line="240" w:lineRule="auto" w:after="40"/>
              <w:jc w:val="center"/>
            </w:pPr>
            <w:r/>
            <w:r>
              <w:rPr>
                <w:rFonts w:ascii="Times New Roman" w:hAnsi="Times New Roman" w:cs="Times New Roman" w:eastAsia="Times New Roman"/>
                <w:sz w:val="20"/>
              </w:rPr>
              <w:t>35</w:t>
            </w:r>
          </w:p>
        </w:tc>
        <w:tc>
          <w:tcPr>
            <w:tcW w:type="dxa" w:w="926"/>
          </w:tcPr>
          <w:p>
            <w:pPr>
              <w:spacing w:line="240" w:lineRule="auto" w:after="40"/>
              <w:jc w:val="center"/>
            </w:pPr>
            <w:r/>
            <w:r>
              <w:rPr>
                <w:rFonts w:ascii="Times New Roman" w:hAnsi="Times New Roman" w:cs="Times New Roman" w:eastAsia="Times New Roman"/>
                <w:sz w:val="20"/>
              </w:rPr>
              <w:t>1</w:t>
            </w:r>
          </w:p>
        </w:tc>
        <w:tc>
          <w:tcPr>
            <w:tcW w:type="dxa" w:w="1324"/>
          </w:tcPr>
          <w:p>
            <w:pPr>
              <w:spacing w:line="240" w:lineRule="auto" w:after="40"/>
              <w:jc w:val="center"/>
            </w:pPr>
            <w:r/>
            <w:r>
              <w:rPr>
                <w:rFonts w:ascii="Times New Roman" w:hAnsi="Times New Roman" w:cs="Times New Roman" w:eastAsia="Times New Roman"/>
                <w:sz w:val="20"/>
              </w:rPr>
              <w:t>0.690</w:t>
            </w:r>
          </w:p>
        </w:tc>
        <w:tc>
          <w:tcPr>
            <w:tcW w:type="dxa" w:w="1191"/>
          </w:tcPr>
          <w:p>
            <w:pPr>
              <w:spacing w:line="240" w:lineRule="auto" w:after="40"/>
              <w:jc w:val="center"/>
            </w:pPr>
            <w:r/>
            <w:r>
              <w:rPr>
                <w:rFonts w:ascii="Times New Roman" w:hAnsi="Times New Roman" w:cs="Times New Roman" w:eastAsia="Times New Roman"/>
                <w:sz w:val="20"/>
              </w:rPr>
              <w:t>0.987</w:t>
            </w:r>
          </w:p>
        </w:tc>
        <w:tc>
          <w:tcPr>
            <w:tcW w:type="dxa" w:w="1191"/>
          </w:tcPr>
          <w:p>
            <w:pPr>
              <w:spacing w:line="240" w:lineRule="auto" w:after="40"/>
              <w:jc w:val="center"/>
            </w:pPr>
            <w:r/>
            <w:r>
              <w:rPr>
                <w:rFonts w:ascii="Times New Roman" w:hAnsi="Times New Roman" w:cs="Times New Roman" w:eastAsia="Times New Roman"/>
                <w:sz w:val="20"/>
              </w:rPr>
              <w:t>0.813</w:t>
            </w:r>
          </w:p>
        </w:tc>
      </w:tr>
      <w:tr>
        <w:trPr>
          <w:cantSplit/>
        </w:trPr>
        <w:tc>
          <w:tcPr>
            <w:tcW w:type="dxa" w:w="1324"/>
          </w:tcPr>
          <w:p>
            <w:pPr>
              <w:spacing w:line="240" w:lineRule="auto" w:after="40"/>
              <w:jc w:val="left"/>
            </w:pPr>
            <w:r/>
            <w:r>
              <w:rPr>
                <w:rFonts w:ascii="Times New Roman" w:hAnsi="Times New Roman" w:cs="Times New Roman" w:eastAsia="Times New Roman"/>
                <w:sz w:val="20"/>
              </w:rPr>
              <w:t>0.4</w:t>
            </w:r>
          </w:p>
        </w:tc>
        <w:tc>
          <w:tcPr>
            <w:tcW w:type="dxa" w:w="1191"/>
          </w:tcPr>
          <w:p>
            <w:pPr>
              <w:spacing w:line="240" w:lineRule="auto" w:after="40"/>
              <w:jc w:val="center"/>
            </w:pPr>
            <w:r/>
            <w:r>
              <w:rPr>
                <w:rFonts w:ascii="Times New Roman" w:hAnsi="Times New Roman" w:cs="Times New Roman" w:eastAsia="Times New Roman"/>
                <w:sz w:val="20"/>
              </w:rPr>
              <w:t>85</w:t>
            </w:r>
          </w:p>
        </w:tc>
        <w:tc>
          <w:tcPr>
            <w:tcW w:type="dxa" w:w="926"/>
          </w:tcPr>
          <w:p>
            <w:pPr>
              <w:spacing w:line="240" w:lineRule="auto" w:after="40"/>
              <w:jc w:val="center"/>
            </w:pPr>
            <w:r/>
            <w:r>
              <w:rPr>
                <w:rFonts w:ascii="Times New Roman" w:hAnsi="Times New Roman" w:cs="Times New Roman" w:eastAsia="Times New Roman"/>
                <w:sz w:val="20"/>
              </w:rPr>
              <w:t>77</w:t>
            </w:r>
          </w:p>
        </w:tc>
        <w:tc>
          <w:tcPr>
            <w:tcW w:type="dxa" w:w="926"/>
          </w:tcPr>
          <w:p>
            <w:pPr>
              <w:spacing w:line="240" w:lineRule="auto" w:after="40"/>
              <w:jc w:val="center"/>
            </w:pPr>
            <w:r/>
            <w:r>
              <w:rPr>
                <w:rFonts w:ascii="Times New Roman" w:hAnsi="Times New Roman" w:cs="Times New Roman" w:eastAsia="Times New Roman"/>
                <w:sz w:val="20"/>
              </w:rPr>
              <w:t>8</w:t>
            </w:r>
          </w:p>
        </w:tc>
        <w:tc>
          <w:tcPr>
            <w:tcW w:type="dxa" w:w="926"/>
          </w:tcPr>
          <w:p>
            <w:pPr>
              <w:spacing w:line="240" w:lineRule="auto" w:after="40"/>
              <w:jc w:val="center"/>
            </w:pPr>
            <w:r/>
            <w:r>
              <w:rPr>
                <w:rFonts w:ascii="Times New Roman" w:hAnsi="Times New Roman" w:cs="Times New Roman" w:eastAsia="Times New Roman"/>
                <w:sz w:val="20"/>
              </w:rPr>
              <w:t>2</w:t>
            </w:r>
          </w:p>
        </w:tc>
        <w:tc>
          <w:tcPr>
            <w:tcW w:type="dxa" w:w="1324"/>
          </w:tcPr>
          <w:p>
            <w:pPr>
              <w:spacing w:line="240" w:lineRule="auto" w:after="40"/>
              <w:jc w:val="center"/>
            </w:pPr>
            <w:r/>
            <w:r>
              <w:rPr>
                <w:rFonts w:ascii="Times New Roman" w:hAnsi="Times New Roman" w:cs="Times New Roman" w:eastAsia="Times New Roman"/>
                <w:sz w:val="20"/>
              </w:rPr>
              <w:t>0.906</w:t>
            </w:r>
          </w:p>
        </w:tc>
        <w:tc>
          <w:tcPr>
            <w:tcW w:type="dxa" w:w="1191"/>
          </w:tcPr>
          <w:p>
            <w:pPr>
              <w:spacing w:line="240" w:lineRule="auto" w:after="40"/>
              <w:jc w:val="center"/>
            </w:pPr>
            <w:r/>
            <w:r>
              <w:rPr>
                <w:rFonts w:ascii="Times New Roman" w:hAnsi="Times New Roman" w:cs="Times New Roman" w:eastAsia="Times New Roman"/>
                <w:sz w:val="20"/>
              </w:rPr>
              <w:t>0.975</w:t>
            </w:r>
          </w:p>
        </w:tc>
        <w:tc>
          <w:tcPr>
            <w:tcW w:type="dxa" w:w="1191"/>
          </w:tcPr>
          <w:p>
            <w:pPr>
              <w:spacing w:line="240" w:lineRule="auto" w:after="40"/>
              <w:jc w:val="center"/>
            </w:pPr>
            <w:r/>
            <w:r>
              <w:rPr>
                <w:rFonts w:ascii="Times New Roman" w:hAnsi="Times New Roman" w:cs="Times New Roman" w:eastAsia="Times New Roman"/>
                <w:sz w:val="20"/>
              </w:rPr>
              <w:t>0.939</w:t>
            </w:r>
          </w:p>
        </w:tc>
      </w:tr>
      <w:tr>
        <w:trPr>
          <w:cantSplit/>
        </w:trPr>
        <w:tc>
          <w:tcPr>
            <w:tcW w:type="dxa" w:w="1324"/>
          </w:tcPr>
          <w:p>
            <w:pPr>
              <w:spacing w:line="240" w:lineRule="auto" w:after="40"/>
              <w:jc w:val="left"/>
            </w:pPr>
            <w:r/>
            <w:r>
              <w:rPr>
                <w:rFonts w:ascii="Times New Roman" w:hAnsi="Times New Roman" w:cs="Times New Roman" w:eastAsia="Times New Roman"/>
                <w:sz w:val="20"/>
              </w:rPr>
              <w:t>0.5</w:t>
            </w:r>
          </w:p>
        </w:tc>
        <w:tc>
          <w:tcPr>
            <w:tcW w:type="dxa" w:w="1191"/>
          </w:tcPr>
          <w:p>
            <w:pPr>
              <w:spacing w:line="240" w:lineRule="auto" w:after="40"/>
              <w:jc w:val="center"/>
            </w:pPr>
            <w:r/>
            <w:r>
              <w:rPr>
                <w:rFonts w:ascii="Times New Roman" w:hAnsi="Times New Roman" w:cs="Times New Roman" w:eastAsia="Times New Roman"/>
                <w:sz w:val="20"/>
              </w:rPr>
              <w:t>78</w:t>
            </w:r>
          </w:p>
        </w:tc>
        <w:tc>
          <w:tcPr>
            <w:tcW w:type="dxa" w:w="926"/>
          </w:tcPr>
          <w:p>
            <w:pPr>
              <w:spacing w:line="240" w:lineRule="auto" w:after="40"/>
              <w:jc w:val="center"/>
            </w:pPr>
            <w:r/>
            <w:r>
              <w:rPr>
                <w:rFonts w:ascii="Times New Roman" w:hAnsi="Times New Roman" w:cs="Times New Roman" w:eastAsia="Times New Roman"/>
                <w:sz w:val="20"/>
              </w:rPr>
              <w:t>75</w:t>
            </w:r>
          </w:p>
        </w:tc>
        <w:tc>
          <w:tcPr>
            <w:tcW w:type="dxa" w:w="926"/>
          </w:tcPr>
          <w:p>
            <w:pPr>
              <w:spacing w:line="240" w:lineRule="auto" w:after="40"/>
              <w:jc w:val="center"/>
            </w:pPr>
            <w:r/>
            <w:r>
              <w:rPr>
                <w:rFonts w:ascii="Times New Roman" w:hAnsi="Times New Roman" w:cs="Times New Roman" w:eastAsia="Times New Roman"/>
                <w:sz w:val="20"/>
              </w:rPr>
              <w:t>3</w:t>
            </w:r>
          </w:p>
        </w:tc>
        <w:tc>
          <w:tcPr>
            <w:tcW w:type="dxa" w:w="926"/>
          </w:tcPr>
          <w:p>
            <w:pPr>
              <w:spacing w:line="240" w:lineRule="auto" w:after="40"/>
              <w:jc w:val="center"/>
            </w:pPr>
            <w:r/>
            <w:r>
              <w:rPr>
                <w:rFonts w:ascii="Times New Roman" w:hAnsi="Times New Roman" w:cs="Times New Roman" w:eastAsia="Times New Roman"/>
                <w:sz w:val="20"/>
              </w:rPr>
              <w:t>4</w:t>
            </w:r>
          </w:p>
        </w:tc>
        <w:tc>
          <w:tcPr>
            <w:tcW w:type="dxa" w:w="1324"/>
          </w:tcPr>
          <w:p>
            <w:pPr>
              <w:spacing w:line="240" w:lineRule="auto" w:after="40"/>
              <w:jc w:val="center"/>
            </w:pPr>
            <w:r/>
            <w:r>
              <w:rPr>
                <w:rFonts w:ascii="Times New Roman" w:hAnsi="Times New Roman" w:cs="Times New Roman" w:eastAsia="Times New Roman"/>
                <w:sz w:val="20"/>
              </w:rPr>
              <w:t>0.962</w:t>
            </w:r>
          </w:p>
        </w:tc>
        <w:tc>
          <w:tcPr>
            <w:tcW w:type="dxa" w:w="1191"/>
          </w:tcPr>
          <w:p>
            <w:pPr>
              <w:spacing w:line="240" w:lineRule="auto" w:after="40"/>
              <w:jc w:val="center"/>
            </w:pPr>
            <w:r/>
            <w:r>
              <w:rPr>
                <w:rFonts w:ascii="Times New Roman" w:hAnsi="Times New Roman" w:cs="Times New Roman" w:eastAsia="Times New Roman"/>
                <w:sz w:val="20"/>
              </w:rPr>
              <w:t>0.949</w:t>
            </w:r>
          </w:p>
        </w:tc>
        <w:tc>
          <w:tcPr>
            <w:tcW w:type="dxa" w:w="1191"/>
          </w:tcPr>
          <w:p>
            <w:pPr>
              <w:spacing w:line="240" w:lineRule="auto" w:after="40"/>
              <w:jc w:val="center"/>
            </w:pPr>
            <w:r/>
            <w:r>
              <w:rPr>
                <w:rFonts w:ascii="Times New Roman" w:hAnsi="Times New Roman" w:cs="Times New Roman" w:eastAsia="Times New Roman"/>
                <w:sz w:val="20"/>
              </w:rPr>
              <w:t>0.955</w:t>
            </w:r>
          </w:p>
        </w:tc>
      </w:tr>
      <w:tr>
        <w:trPr>
          <w:cantSplit/>
        </w:trPr>
        <w:tc>
          <w:tcPr>
            <w:tcW w:type="dxa" w:w="1324"/>
          </w:tcPr>
          <w:p>
            <w:pPr>
              <w:spacing w:line="240" w:lineRule="auto" w:after="40"/>
              <w:jc w:val="left"/>
            </w:pPr>
            <w:r/>
            <w:r>
              <w:rPr>
                <w:rFonts w:ascii="Times New Roman" w:hAnsi="Times New Roman" w:cs="Times New Roman" w:eastAsia="Times New Roman"/>
                <w:sz w:val="20"/>
              </w:rPr>
              <w:t>0.6</w:t>
            </w:r>
          </w:p>
        </w:tc>
        <w:tc>
          <w:tcPr>
            <w:tcW w:type="dxa" w:w="1191"/>
          </w:tcPr>
          <w:p>
            <w:pPr>
              <w:spacing w:line="240" w:lineRule="auto" w:after="40"/>
              <w:jc w:val="center"/>
            </w:pPr>
            <w:r/>
            <w:r>
              <w:rPr>
                <w:rFonts w:ascii="Times New Roman" w:hAnsi="Times New Roman" w:cs="Times New Roman" w:eastAsia="Times New Roman"/>
                <w:sz w:val="20"/>
              </w:rPr>
              <w:t>71</w:t>
            </w:r>
          </w:p>
        </w:tc>
        <w:tc>
          <w:tcPr>
            <w:tcW w:type="dxa" w:w="926"/>
          </w:tcPr>
          <w:p>
            <w:pPr>
              <w:spacing w:line="240" w:lineRule="auto" w:after="40"/>
              <w:jc w:val="center"/>
            </w:pPr>
            <w:r/>
            <w:r>
              <w:rPr>
                <w:rFonts w:ascii="Times New Roman" w:hAnsi="Times New Roman" w:cs="Times New Roman" w:eastAsia="Times New Roman"/>
                <w:sz w:val="20"/>
              </w:rPr>
              <w:t>70</w:t>
            </w:r>
          </w:p>
        </w:tc>
        <w:tc>
          <w:tcPr>
            <w:tcW w:type="dxa" w:w="926"/>
          </w:tcPr>
          <w:p>
            <w:pPr>
              <w:spacing w:line="240" w:lineRule="auto" w:after="40"/>
              <w:jc w:val="center"/>
            </w:pPr>
            <w:r/>
            <w:r>
              <w:rPr>
                <w:rFonts w:ascii="Times New Roman" w:hAnsi="Times New Roman" w:cs="Times New Roman" w:eastAsia="Times New Roman"/>
                <w:sz w:val="20"/>
              </w:rPr>
              <w:t>1</w:t>
            </w:r>
          </w:p>
        </w:tc>
        <w:tc>
          <w:tcPr>
            <w:tcW w:type="dxa" w:w="926"/>
          </w:tcPr>
          <w:p>
            <w:pPr>
              <w:spacing w:line="240" w:lineRule="auto" w:after="40"/>
              <w:jc w:val="center"/>
            </w:pPr>
            <w:r/>
            <w:r>
              <w:rPr>
                <w:rFonts w:ascii="Times New Roman" w:hAnsi="Times New Roman" w:cs="Times New Roman" w:eastAsia="Times New Roman"/>
                <w:sz w:val="20"/>
              </w:rPr>
              <w:t>9</w:t>
            </w:r>
          </w:p>
        </w:tc>
        <w:tc>
          <w:tcPr>
            <w:tcW w:type="dxa" w:w="1324"/>
          </w:tcPr>
          <w:p>
            <w:pPr>
              <w:spacing w:line="240" w:lineRule="auto" w:after="40"/>
              <w:jc w:val="center"/>
            </w:pPr>
            <w:r/>
            <w:r>
              <w:rPr>
                <w:rFonts w:ascii="Times New Roman" w:hAnsi="Times New Roman" w:cs="Times New Roman" w:eastAsia="Times New Roman"/>
                <w:sz w:val="20"/>
              </w:rPr>
              <w:t>0.986</w:t>
            </w:r>
          </w:p>
        </w:tc>
        <w:tc>
          <w:tcPr>
            <w:tcW w:type="dxa" w:w="1191"/>
          </w:tcPr>
          <w:p>
            <w:pPr>
              <w:spacing w:line="240" w:lineRule="auto" w:after="40"/>
              <w:jc w:val="center"/>
            </w:pPr>
            <w:r/>
            <w:r>
              <w:rPr>
                <w:rFonts w:ascii="Times New Roman" w:hAnsi="Times New Roman" w:cs="Times New Roman" w:eastAsia="Times New Roman"/>
                <w:sz w:val="20"/>
              </w:rPr>
              <w:t>0.886</w:t>
            </w:r>
          </w:p>
        </w:tc>
        <w:tc>
          <w:tcPr>
            <w:tcW w:type="dxa" w:w="1191"/>
          </w:tcPr>
          <w:p>
            <w:pPr>
              <w:spacing w:line="240" w:lineRule="auto" w:after="40"/>
              <w:jc w:val="center"/>
            </w:pPr>
            <w:r/>
            <w:r>
              <w:rPr>
                <w:rFonts w:ascii="Times New Roman" w:hAnsi="Times New Roman" w:cs="Times New Roman" w:eastAsia="Times New Roman"/>
                <w:sz w:val="20"/>
              </w:rPr>
              <w:t>0.933</w:t>
            </w:r>
          </w:p>
        </w:tc>
      </w:tr>
      <w:tr>
        <w:trPr>
          <w:cantSplit/>
        </w:trPr>
        <w:tc>
          <w:tcPr>
            <w:tcW w:type="dxa" w:w="1324"/>
          </w:tcPr>
          <w:p>
            <w:pPr>
              <w:spacing w:line="240" w:lineRule="auto" w:after="40"/>
              <w:jc w:val="left"/>
            </w:pPr>
            <w:r/>
            <w:r>
              <w:rPr>
                <w:rFonts w:ascii="Times New Roman" w:hAnsi="Times New Roman" w:cs="Times New Roman" w:eastAsia="Times New Roman"/>
                <w:sz w:val="20"/>
              </w:rPr>
              <w:t>0.7</w:t>
            </w:r>
          </w:p>
        </w:tc>
        <w:tc>
          <w:tcPr>
            <w:tcW w:type="dxa" w:w="1191"/>
          </w:tcPr>
          <w:p>
            <w:pPr>
              <w:spacing w:line="240" w:lineRule="auto" w:after="40"/>
              <w:jc w:val="center"/>
            </w:pPr>
            <w:r/>
            <w:r>
              <w:rPr>
                <w:rFonts w:ascii="Times New Roman" w:hAnsi="Times New Roman" w:cs="Times New Roman" w:eastAsia="Times New Roman"/>
                <w:sz w:val="20"/>
              </w:rPr>
              <w:t>57</w:t>
            </w:r>
          </w:p>
        </w:tc>
        <w:tc>
          <w:tcPr>
            <w:tcW w:type="dxa" w:w="926"/>
          </w:tcPr>
          <w:p>
            <w:pPr>
              <w:spacing w:line="240" w:lineRule="auto" w:after="40"/>
              <w:jc w:val="center"/>
            </w:pPr>
            <w:r/>
            <w:r>
              <w:rPr>
                <w:rFonts w:ascii="Times New Roman" w:hAnsi="Times New Roman" w:cs="Times New Roman" w:eastAsia="Times New Roman"/>
                <w:sz w:val="20"/>
              </w:rPr>
              <w:t>57</w:t>
            </w:r>
          </w:p>
        </w:tc>
        <w:tc>
          <w:tcPr>
            <w:tcW w:type="dxa" w:w="926"/>
          </w:tcPr>
          <w:p>
            <w:pPr>
              <w:spacing w:line="240" w:lineRule="auto" w:after="40"/>
              <w:jc w:val="center"/>
            </w:pPr>
            <w:r/>
            <w:r>
              <w:rPr>
                <w:rFonts w:ascii="Times New Roman" w:hAnsi="Times New Roman" w:cs="Times New Roman" w:eastAsia="Times New Roman"/>
                <w:sz w:val="20"/>
              </w:rPr>
              <w:t>0</w:t>
            </w:r>
          </w:p>
        </w:tc>
        <w:tc>
          <w:tcPr>
            <w:tcW w:type="dxa" w:w="926"/>
          </w:tcPr>
          <w:p>
            <w:pPr>
              <w:spacing w:line="240" w:lineRule="auto" w:after="40"/>
              <w:jc w:val="center"/>
            </w:pPr>
            <w:r/>
            <w:r>
              <w:rPr>
                <w:rFonts w:ascii="Times New Roman" w:hAnsi="Times New Roman" w:cs="Times New Roman" w:eastAsia="Times New Roman"/>
                <w:sz w:val="20"/>
              </w:rPr>
              <w:t>22</w:t>
            </w:r>
          </w:p>
        </w:tc>
        <w:tc>
          <w:tcPr>
            <w:tcW w:type="dxa" w:w="1324"/>
          </w:tcPr>
          <w:p>
            <w:pPr>
              <w:spacing w:line="240" w:lineRule="auto" w:after="40"/>
              <w:jc w:val="center"/>
            </w:pPr>
            <w:r/>
            <w:r>
              <w:rPr>
                <w:rFonts w:ascii="Times New Roman" w:hAnsi="Times New Roman" w:cs="Times New Roman" w:eastAsia="Times New Roman"/>
                <w:sz w:val="20"/>
              </w:rPr>
              <w:t>1.000</w:t>
            </w:r>
          </w:p>
        </w:tc>
        <w:tc>
          <w:tcPr>
            <w:tcW w:type="dxa" w:w="1191"/>
          </w:tcPr>
          <w:p>
            <w:pPr>
              <w:spacing w:line="240" w:lineRule="auto" w:after="40"/>
              <w:jc w:val="center"/>
            </w:pPr>
            <w:r/>
            <w:r>
              <w:rPr>
                <w:rFonts w:ascii="Times New Roman" w:hAnsi="Times New Roman" w:cs="Times New Roman" w:eastAsia="Times New Roman"/>
                <w:sz w:val="20"/>
              </w:rPr>
              <w:t>0.722</w:t>
            </w:r>
          </w:p>
        </w:tc>
        <w:tc>
          <w:tcPr>
            <w:tcW w:type="dxa" w:w="1191"/>
          </w:tcPr>
          <w:p>
            <w:pPr>
              <w:spacing w:line="240" w:lineRule="auto" w:after="40"/>
              <w:jc w:val="center"/>
            </w:pPr>
            <w:r/>
            <w:r>
              <w:rPr>
                <w:rFonts w:ascii="Times New Roman" w:hAnsi="Times New Roman" w:cs="Times New Roman" w:eastAsia="Times New Roman"/>
                <w:sz w:val="20"/>
              </w:rPr>
              <w:t>0.838</w:t>
            </w:r>
          </w:p>
        </w:tc>
      </w:tr>
      <w:tr>
        <w:trPr>
          <w:cantSplit/>
        </w:trPr>
        <w:tc>
          <w:tcPr>
            <w:tcW w:type="dxa" w:w="1324"/>
          </w:tcPr>
          <w:p>
            <w:pPr>
              <w:spacing w:line="240" w:lineRule="auto" w:after="40"/>
              <w:jc w:val="left"/>
            </w:pPr>
            <w:r/>
            <w:r>
              <w:rPr>
                <w:rFonts w:ascii="Times New Roman" w:hAnsi="Times New Roman" w:cs="Times New Roman" w:eastAsia="Times New Roman"/>
                <w:sz w:val="20"/>
              </w:rPr>
              <w:t>0.8</w:t>
            </w:r>
          </w:p>
        </w:tc>
        <w:tc>
          <w:tcPr>
            <w:tcW w:type="dxa" w:w="1191"/>
          </w:tcPr>
          <w:p>
            <w:pPr>
              <w:spacing w:line="240" w:lineRule="auto" w:after="40"/>
              <w:jc w:val="center"/>
            </w:pPr>
            <w:r/>
            <w:r>
              <w:rPr>
                <w:rFonts w:ascii="Times New Roman" w:hAnsi="Times New Roman" w:cs="Times New Roman" w:eastAsia="Times New Roman"/>
                <w:sz w:val="20"/>
              </w:rPr>
              <w:t>47</w:t>
            </w:r>
          </w:p>
        </w:tc>
        <w:tc>
          <w:tcPr>
            <w:tcW w:type="dxa" w:w="926"/>
          </w:tcPr>
          <w:p>
            <w:pPr>
              <w:spacing w:line="240" w:lineRule="auto" w:after="40"/>
              <w:jc w:val="center"/>
            </w:pPr>
            <w:r/>
            <w:r>
              <w:rPr>
                <w:rFonts w:ascii="Times New Roman" w:hAnsi="Times New Roman" w:cs="Times New Roman" w:eastAsia="Times New Roman"/>
                <w:sz w:val="20"/>
              </w:rPr>
              <w:t>47</w:t>
            </w:r>
          </w:p>
        </w:tc>
        <w:tc>
          <w:tcPr>
            <w:tcW w:type="dxa" w:w="926"/>
          </w:tcPr>
          <w:p>
            <w:pPr>
              <w:spacing w:line="240" w:lineRule="auto" w:after="40"/>
              <w:jc w:val="center"/>
            </w:pPr>
            <w:r/>
            <w:r>
              <w:rPr>
                <w:rFonts w:ascii="Times New Roman" w:hAnsi="Times New Roman" w:cs="Times New Roman" w:eastAsia="Times New Roman"/>
                <w:sz w:val="20"/>
              </w:rPr>
              <w:t>0</w:t>
            </w:r>
          </w:p>
        </w:tc>
        <w:tc>
          <w:tcPr>
            <w:tcW w:type="dxa" w:w="926"/>
          </w:tcPr>
          <w:p>
            <w:pPr>
              <w:spacing w:line="240" w:lineRule="auto" w:after="40"/>
              <w:jc w:val="center"/>
            </w:pPr>
            <w:r/>
            <w:r>
              <w:rPr>
                <w:rFonts w:ascii="Times New Roman" w:hAnsi="Times New Roman" w:cs="Times New Roman" w:eastAsia="Times New Roman"/>
                <w:sz w:val="20"/>
              </w:rPr>
              <w:t>32</w:t>
            </w:r>
          </w:p>
        </w:tc>
        <w:tc>
          <w:tcPr>
            <w:tcW w:type="dxa" w:w="1324"/>
          </w:tcPr>
          <w:p>
            <w:pPr>
              <w:spacing w:line="240" w:lineRule="auto" w:after="40"/>
              <w:jc w:val="center"/>
            </w:pPr>
            <w:r/>
            <w:r>
              <w:rPr>
                <w:rFonts w:ascii="Times New Roman" w:hAnsi="Times New Roman" w:cs="Times New Roman" w:eastAsia="Times New Roman"/>
                <w:sz w:val="20"/>
              </w:rPr>
              <w:t>1.000</w:t>
            </w:r>
          </w:p>
        </w:tc>
        <w:tc>
          <w:tcPr>
            <w:tcW w:type="dxa" w:w="1191"/>
          </w:tcPr>
          <w:p>
            <w:pPr>
              <w:spacing w:line="240" w:lineRule="auto" w:after="40"/>
              <w:jc w:val="center"/>
            </w:pPr>
            <w:r/>
            <w:r>
              <w:rPr>
                <w:rFonts w:ascii="Times New Roman" w:hAnsi="Times New Roman" w:cs="Times New Roman" w:eastAsia="Times New Roman"/>
                <w:sz w:val="20"/>
              </w:rPr>
              <w:t>0.595</w:t>
            </w:r>
          </w:p>
        </w:tc>
        <w:tc>
          <w:tcPr>
            <w:tcW w:type="dxa" w:w="1191"/>
          </w:tcPr>
          <w:p>
            <w:pPr>
              <w:spacing w:line="240" w:lineRule="auto" w:after="40"/>
              <w:jc w:val="center"/>
            </w:pPr>
            <w:r/>
            <w:r>
              <w:rPr>
                <w:rFonts w:ascii="Times New Roman" w:hAnsi="Times New Roman" w:cs="Times New Roman" w:eastAsia="Times New Roman"/>
                <w:sz w:val="20"/>
              </w:rPr>
              <w:t>0.746</w:t>
            </w:r>
          </w:p>
        </w:tc>
      </w:tr>
      <w:tr>
        <w:trPr>
          <w:cantSplit/>
        </w:trPr>
        <w:tc>
          <w:tcPr>
            <w:tcW w:type="dxa" w:w="1324"/>
          </w:tcPr>
          <w:p>
            <w:pPr>
              <w:spacing w:line="240" w:lineRule="auto" w:after="40"/>
              <w:jc w:val="left"/>
            </w:pPr>
            <w:r/>
            <w:r>
              <w:rPr>
                <w:rFonts w:ascii="Times New Roman" w:hAnsi="Times New Roman" w:cs="Times New Roman" w:eastAsia="Times New Roman"/>
                <w:sz w:val="20"/>
              </w:rPr>
              <w:t>0.9</w:t>
            </w:r>
          </w:p>
        </w:tc>
        <w:tc>
          <w:tcPr>
            <w:tcW w:type="dxa" w:w="1191"/>
          </w:tcPr>
          <w:p>
            <w:pPr>
              <w:spacing w:line="240" w:lineRule="auto" w:after="40"/>
              <w:jc w:val="center"/>
            </w:pPr>
            <w:r/>
            <w:r>
              <w:rPr>
                <w:rFonts w:ascii="Times New Roman" w:hAnsi="Times New Roman" w:cs="Times New Roman" w:eastAsia="Times New Roman"/>
                <w:sz w:val="20"/>
              </w:rPr>
              <w:t>19</w:t>
            </w:r>
          </w:p>
        </w:tc>
        <w:tc>
          <w:tcPr>
            <w:tcW w:type="dxa" w:w="926"/>
          </w:tcPr>
          <w:p>
            <w:pPr>
              <w:spacing w:line="240" w:lineRule="auto" w:after="40"/>
              <w:jc w:val="center"/>
            </w:pPr>
            <w:r/>
            <w:r>
              <w:rPr>
                <w:rFonts w:ascii="Times New Roman" w:hAnsi="Times New Roman" w:cs="Times New Roman" w:eastAsia="Times New Roman"/>
                <w:sz w:val="20"/>
              </w:rPr>
              <w:t>19</w:t>
            </w:r>
          </w:p>
        </w:tc>
        <w:tc>
          <w:tcPr>
            <w:tcW w:type="dxa" w:w="926"/>
          </w:tcPr>
          <w:p>
            <w:pPr>
              <w:spacing w:line="240" w:lineRule="auto" w:after="40"/>
              <w:jc w:val="center"/>
            </w:pPr>
            <w:r/>
            <w:r>
              <w:rPr>
                <w:rFonts w:ascii="Times New Roman" w:hAnsi="Times New Roman" w:cs="Times New Roman" w:eastAsia="Times New Roman"/>
                <w:sz w:val="20"/>
              </w:rPr>
              <w:t>0</w:t>
            </w:r>
          </w:p>
        </w:tc>
        <w:tc>
          <w:tcPr>
            <w:tcW w:type="dxa" w:w="926"/>
          </w:tcPr>
          <w:p>
            <w:pPr>
              <w:spacing w:line="240" w:lineRule="auto" w:after="40"/>
              <w:jc w:val="center"/>
            </w:pPr>
            <w:r/>
            <w:r>
              <w:rPr>
                <w:rFonts w:ascii="Times New Roman" w:hAnsi="Times New Roman" w:cs="Times New Roman" w:eastAsia="Times New Roman"/>
                <w:sz w:val="20"/>
              </w:rPr>
              <w:t>60</w:t>
            </w:r>
          </w:p>
        </w:tc>
        <w:tc>
          <w:tcPr>
            <w:tcW w:type="dxa" w:w="1324"/>
          </w:tcPr>
          <w:p>
            <w:pPr>
              <w:spacing w:line="240" w:lineRule="auto" w:after="40"/>
              <w:jc w:val="center"/>
            </w:pPr>
            <w:r/>
            <w:r>
              <w:rPr>
                <w:rFonts w:ascii="Times New Roman" w:hAnsi="Times New Roman" w:cs="Times New Roman" w:eastAsia="Times New Roman"/>
                <w:sz w:val="20"/>
              </w:rPr>
              <w:t>1.000</w:t>
            </w:r>
          </w:p>
        </w:tc>
        <w:tc>
          <w:tcPr>
            <w:tcW w:type="dxa" w:w="1191"/>
          </w:tcPr>
          <w:p>
            <w:pPr>
              <w:spacing w:line="240" w:lineRule="auto" w:after="40"/>
              <w:jc w:val="center"/>
            </w:pPr>
            <w:r/>
            <w:r>
              <w:rPr>
                <w:rFonts w:ascii="Times New Roman" w:hAnsi="Times New Roman" w:cs="Times New Roman" w:eastAsia="Times New Roman"/>
                <w:sz w:val="20"/>
              </w:rPr>
              <w:t>0.241</w:t>
            </w:r>
          </w:p>
        </w:tc>
        <w:tc>
          <w:tcPr>
            <w:tcW w:type="dxa" w:w="1191"/>
          </w:tcPr>
          <w:p>
            <w:pPr>
              <w:spacing w:line="240" w:lineRule="auto" w:after="40"/>
              <w:jc w:val="center"/>
            </w:pPr>
            <w:r/>
            <w:r>
              <w:rPr>
                <w:rFonts w:ascii="Times New Roman" w:hAnsi="Times New Roman" w:cs="Times New Roman" w:eastAsia="Times New Roman"/>
                <w:sz w:val="20"/>
              </w:rPr>
              <w:t>0.388</w:t>
            </w:r>
          </w:p>
        </w:tc>
      </w:tr>
    </w:tbl>
    <w:p>
      <w:pPr>
        <w:spacing w:after="120" w:line="240" w:lineRule="auto"/>
      </w:pPr>
    </w:p>
    <w:p>
      <w:pPr>
        <w:keepNext/>
        <w:spacing w:line="240" w:lineRule="auto"/>
        <w:jc w:val="center"/>
      </w:pPr>
      <w:r>
        <w:drawing>
          <wp:inline xmlns:a="http://schemas.openxmlformats.org/drawingml/2006/main" xmlns:pic="http://schemas.openxmlformats.org/drawingml/2006/picture">
            <wp:extent cx="4937760" cy="3084648"/>
            <wp:docPr id="19" name="Picture 19"/>
            <wp:cNvGraphicFramePr>
              <a:graphicFrameLocks noChangeAspect="1"/>
            </wp:cNvGraphicFramePr>
            <a:graphic>
              <a:graphicData uri="http://schemas.openxmlformats.org/drawingml/2006/picture">
                <pic:pic>
                  <pic:nvPicPr>
                    <pic:cNvPr id="0" name="c09_threshold_sweep.png"/>
                    <pic:cNvPicPr/>
                  </pic:nvPicPr>
                  <pic:blipFill>
                    <a:blip r:embed="rId28"/>
                    <a:stretch>
                      <a:fillRect/>
                    </a:stretch>
                  </pic:blipFill>
                  <pic:spPr>
                    <a:xfrm>
                      <a:off x="0" y="0"/>
                      <a:ext cx="4937760" cy="3084648"/>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19</w:t>
      </w:r>
      <w:r>
        <w:rPr>
          <w:rFonts w:ascii="Times New Roman" w:hAnsi="Times New Roman" w:cs="Times New Roman" w:eastAsia="Times New Roman"/>
          <w:b/>
        </w:rPr>
        <w:fldChar w:fldCharType="end"/>
      </w:r>
      <w:r>
        <w:rPr>
          <w:rFonts w:ascii="Times New Roman" w:hAnsi="Times New Roman" w:cs="Times New Roman" w:eastAsia="Times New Roman"/>
          <w:b/>
          <w:sz w:val="22"/>
        </w:rPr>
        <w:t>: Precision, recall and F1 against the risk threshold (seed 42)</w:t>
      </w:r>
    </w:p>
    <w:p>
      <w:pPr>
        <w:keepNext/>
        <w:spacing w:line="240" w:lineRule="auto"/>
        <w:jc w:val="center"/>
      </w:pPr>
      <w:r>
        <w:drawing>
          <wp:inline xmlns:a="http://schemas.openxmlformats.org/drawingml/2006/main" xmlns:pic="http://schemas.openxmlformats.org/drawingml/2006/picture">
            <wp:extent cx="4937760" cy="2804231"/>
            <wp:docPr id="20" name="Picture 20"/>
            <wp:cNvGraphicFramePr>
              <a:graphicFrameLocks noChangeAspect="1"/>
            </wp:cNvGraphicFramePr>
            <a:graphic>
              <a:graphicData uri="http://schemas.openxmlformats.org/drawingml/2006/picture">
                <pic:pic>
                  <pic:nvPicPr>
                    <pic:cNvPr id="0" name="c10_risk_distribution.png"/>
                    <pic:cNvPicPr/>
                  </pic:nvPicPr>
                  <pic:blipFill>
                    <a:blip r:embed="rId29"/>
                    <a:stretch>
                      <a:fillRect/>
                    </a:stretch>
                  </pic:blipFill>
                  <pic:spPr>
                    <a:xfrm>
                      <a:off x="0" y="0"/>
                      <a:ext cx="4937760" cy="2804231"/>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20</w:t>
      </w:r>
      <w:r>
        <w:rPr>
          <w:rFonts w:ascii="Times New Roman" w:hAnsi="Times New Roman" w:cs="Times New Roman" w:eastAsia="Times New Roman"/>
          <w:b/>
        </w:rPr>
        <w:fldChar w:fldCharType="end"/>
      </w:r>
      <w:r>
        <w:rPr>
          <w:rFonts w:ascii="Times New Roman" w:hAnsi="Times New Roman" w:cs="Times New Roman" w:eastAsia="Times New Roman"/>
          <w:b/>
          <w:sz w:val="22"/>
        </w:rPr>
        <w:t>: Distribution of the combined risk score for legitimate and injected-fraud taxpayers (log scale)</w:t>
      </w:r>
    </w:p>
    <w:p>
      <w:pPr>
        <w:pStyle w:val="Heading3"/>
      </w:pPr>
      <w:r>
        <w:t>8.2.5 Which layer carries which signal</w:t>
      </w:r>
    </w:p>
    <w:p>
      <w:pPr>
        <w:keepNext/>
        <w:spacing w:line="240" w:lineRule="auto"/>
        <w:jc w:val="center"/>
      </w:pPr>
      <w:r>
        <w:drawing>
          <wp:inline xmlns:a="http://schemas.openxmlformats.org/drawingml/2006/main" xmlns:pic="http://schemas.openxmlformats.org/drawingml/2006/picture">
            <wp:extent cx="4754880" cy="2685109"/>
            <wp:docPr id="21" name="Picture 21"/>
            <wp:cNvGraphicFramePr>
              <a:graphicFrameLocks noChangeAspect="1"/>
            </wp:cNvGraphicFramePr>
            <a:graphic>
              <a:graphicData uri="http://schemas.openxmlformats.org/drawingml/2006/picture">
                <pic:pic>
                  <pic:nvPicPr>
                    <pic:cNvPr id="0" name="c12_layer_scores.png"/>
                    <pic:cNvPicPr/>
                  </pic:nvPicPr>
                  <pic:blipFill>
                    <a:blip r:embed="rId30"/>
                    <a:stretch>
                      <a:fillRect/>
                    </a:stretch>
                  </pic:blipFill>
                  <pic:spPr>
                    <a:xfrm>
                      <a:off x="0" y="0"/>
                      <a:ext cx="4754880" cy="2685109"/>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21</w:t>
      </w:r>
      <w:r>
        <w:rPr>
          <w:rFonts w:ascii="Times New Roman" w:hAnsi="Times New Roman" w:cs="Times New Roman" w:eastAsia="Times New Roman"/>
          <w:b/>
        </w:rPr>
        <w:fldChar w:fldCharType="end"/>
      </w:r>
      <w:r>
        <w:rPr>
          <w:rFonts w:ascii="Times New Roman" w:hAnsi="Times New Roman" w:cs="Times New Roman" w:eastAsia="Times New Roman"/>
          <w:b/>
          <w:sz w:val="22"/>
        </w:rPr>
        <w:t>: Mean layer scores of injected-fraud and legitimate taxpayers (seed 42)</w:t>
      </w:r>
    </w:p>
    <w:p>
      <w:r>
        <w:rPr>
          <w:rFonts w:ascii="Times New Roman" w:hAnsi="Times New Roman" w:cs="Times New Roman" w:eastAsia="Times New Roman"/>
        </w:rPr>
        <w:t>Averaged over taxpayers, the jepa layer scores 0.30 for fraud against 0.07 for legitimate, the behaviour layer scores 0.17 for fraud against 0.09 for legitimate, the network layer scores 0.68 for fraud against 0.01 for legitimate, the invoice layer scores 0.70 for fraud against 0.01 for legitimate. The separation is largest in the network and invoice layers, which agrees with the ablation.</w:t>
      </w:r>
    </w:p>
    <w:p>
      <w:pPr>
        <w:pStyle w:val="Heading3"/>
      </w:pPr>
      <w:r>
        <w:t>8.2.6 Cross-seed study</w:t>
      </w:r>
    </w:p>
    <w:p>
      <w:r>
        <w:rPr>
          <w:rFonts w:ascii="Times New Roman" w:hAnsi="Times New Roman" w:cs="Times New Roman" w:eastAsia="Times New Roman"/>
        </w:rPr>
        <w:t>To test how far the seed-42 figures generalise, the whole pipeline (generation, JEPA training, scoring, evaluation) was re-run on five other ecosystems of 600 taxpayers, seeds 1, 2, 3, 7 and 11, with the same weights and threshold (Table 5, Fig. 22). Over these five ecosystems the taxpayer-level F1 has a mean of 0.888 (standard deviation 0.052, range 0.790 to 0.933), ROC-AUC 0.988 (range 0.970 to 0.995) and precision@k 0.888, against a rule-baseline F1 of 0.457 and precision@k of 0.625. Ranking quality is stable (ROC-AUC 0.970 to 0.995) and the advantage over the rule baseline holds on every seed (the model's F1 is higher on all five). What changes is how many of the weaker-signal taxpayers cross the fixed 0.5 line: circular-trading recall is 1.00 and all injected rings are recovered on every seed, shell-entity recall is 0.96 to 1.00, but fake-invoice-buyer recall ranges from 0.33 to 0.81 and ITC-spike recall from 0.42 to 0.92 on the other seeds (0.89 and 0.83 on seed 42). The seed-42 figures are therefore a best case, because the weights and threshold were set on that ecosystem.</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5</w:t>
      </w:r>
      <w:r>
        <w:rPr>
          <w:rFonts w:ascii="Times New Roman" w:hAnsi="Times New Roman" w:cs="Times New Roman" w:eastAsia="Times New Roman"/>
          <w:b/>
        </w:rPr>
        <w:fldChar w:fldCharType="end"/>
      </w:r>
      <w:r>
        <w:rPr>
          <w:rFonts w:ascii="Times New Roman" w:hAnsi="Times New Roman" w:cs="Times New Roman" w:eastAsia="Times New Roman"/>
          <w:b/>
          <w:sz w:val="22"/>
        </w:rPr>
        <w:t>: Cross-seed study (600 taxpayers each; same weights and threshold)</w:t>
      </w:r>
    </w:p>
    <w:tbl>
      <w:tblPr>
        <w:tblStyle w:val="TableGrid"/>
        <w:tblW w:type="auto" w:w="0"/>
        <w:jc w:val="center"/>
        <w:tblLayout w:type="fixed"/>
        <w:tblLook w:firstColumn="1" w:firstRow="1" w:lastColumn="0" w:lastRow="0" w:noHBand="0" w:noVBand="1" w:val="04A0"/>
      </w:tblPr>
      <w:tblGrid>
        <w:gridCol w:w="903"/>
        <w:gridCol w:w="903"/>
        <w:gridCol w:w="903"/>
        <w:gridCol w:w="903"/>
        <w:gridCol w:w="903"/>
        <w:gridCol w:w="903"/>
        <w:gridCol w:w="903"/>
        <w:gridCol w:w="903"/>
        <w:gridCol w:w="903"/>
        <w:gridCol w:w="903"/>
      </w:tblGrid>
      <w:tr>
        <w:trPr>
          <w:tblHeader w:val="true"/>
        </w:trPr>
        <w:tc>
          <w:tcPr>
            <w:tcW w:type="dxa" w:w="771"/>
            <w:shd w:val="clear" w:color="auto" w:fill="DCFCE7"/>
          </w:tcPr>
          <w:p>
            <w:pPr>
              <w:keepNext/>
              <w:spacing w:line="240" w:lineRule="auto" w:after="40"/>
              <w:jc w:val="center"/>
            </w:pPr>
            <w:r/>
            <w:r>
              <w:rPr>
                <w:rFonts w:ascii="Times New Roman" w:hAnsi="Times New Roman" w:cs="Times New Roman" w:eastAsia="Times New Roman"/>
                <w:b/>
                <w:sz w:val="20"/>
              </w:rPr>
              <w:t>Seed</w:t>
            </w:r>
          </w:p>
        </w:tc>
        <w:tc>
          <w:tcPr>
            <w:tcW w:type="dxa" w:w="771"/>
            <w:shd w:val="clear" w:color="auto" w:fill="DCFCE7"/>
          </w:tcPr>
          <w:p>
            <w:pPr>
              <w:keepNext/>
              <w:spacing w:line="240" w:lineRule="auto" w:after="40"/>
              <w:jc w:val="center"/>
            </w:pPr>
            <w:r/>
            <w:r>
              <w:rPr>
                <w:rFonts w:ascii="Times New Roman" w:hAnsi="Times New Roman" w:cs="Times New Roman" w:eastAsia="Times New Roman"/>
                <w:b/>
                <w:sz w:val="20"/>
              </w:rPr>
              <w:t>Fraud</w:t>
            </w:r>
          </w:p>
        </w:tc>
        <w:tc>
          <w:tcPr>
            <w:tcW w:type="dxa" w:w="900"/>
            <w:shd w:val="clear" w:color="auto" w:fill="DCFCE7"/>
          </w:tcPr>
          <w:p>
            <w:pPr>
              <w:keepNext/>
              <w:spacing w:line="240" w:lineRule="auto" w:after="40"/>
              <w:jc w:val="center"/>
            </w:pPr>
            <w:r/>
            <w:r>
              <w:rPr>
                <w:rFonts w:ascii="Times New Roman" w:hAnsi="Times New Roman" w:cs="Times New Roman" w:eastAsia="Times New Roman"/>
                <w:b/>
                <w:sz w:val="20"/>
              </w:rPr>
              <w:t>Flagged</w:t>
            </w:r>
          </w:p>
        </w:tc>
        <w:tc>
          <w:tcPr>
            <w:tcW w:type="dxa" w:w="771"/>
            <w:shd w:val="clear" w:color="auto" w:fill="DCFCE7"/>
          </w:tcPr>
          <w:p>
            <w:pPr>
              <w:keepNext/>
              <w:spacing w:line="240" w:lineRule="auto" w:after="40"/>
              <w:jc w:val="center"/>
            </w:pPr>
            <w:r/>
            <w:r>
              <w:rPr>
                <w:rFonts w:ascii="Times New Roman" w:hAnsi="Times New Roman" w:cs="Times New Roman" w:eastAsia="Times New Roman"/>
                <w:b/>
                <w:sz w:val="20"/>
              </w:rPr>
              <w:t>P@k</w:t>
            </w:r>
          </w:p>
        </w:tc>
        <w:tc>
          <w:tcPr>
            <w:tcW w:type="dxa" w:w="1029"/>
            <w:shd w:val="clear" w:color="auto" w:fill="DCFCE7"/>
          </w:tcPr>
          <w:p>
            <w:pPr>
              <w:keepNext/>
              <w:spacing w:line="240" w:lineRule="auto" w:after="40"/>
              <w:jc w:val="center"/>
            </w:pPr>
            <w:r/>
            <w:r>
              <w:rPr>
                <w:rFonts w:ascii="Times New Roman" w:hAnsi="Times New Roman" w:cs="Times New Roman" w:eastAsia="Times New Roman"/>
                <w:b/>
                <w:sz w:val="20"/>
              </w:rPr>
              <w:t>Precision</w:t>
            </w:r>
          </w:p>
        </w:tc>
        <w:tc>
          <w:tcPr>
            <w:tcW w:type="dxa" w:w="900"/>
            <w:shd w:val="clear" w:color="auto" w:fill="DCFCE7"/>
          </w:tcPr>
          <w:p>
            <w:pPr>
              <w:keepNext/>
              <w:spacing w:line="240" w:lineRule="auto" w:after="40"/>
              <w:jc w:val="center"/>
            </w:pPr>
            <w:r/>
            <w:r>
              <w:rPr>
                <w:rFonts w:ascii="Times New Roman" w:hAnsi="Times New Roman" w:cs="Times New Roman" w:eastAsia="Times New Roman"/>
                <w:b/>
                <w:sz w:val="20"/>
              </w:rPr>
              <w:t>Recall</w:t>
            </w:r>
          </w:p>
        </w:tc>
        <w:tc>
          <w:tcPr>
            <w:tcW w:type="dxa" w:w="771"/>
            <w:shd w:val="clear" w:color="auto" w:fill="DCFCE7"/>
          </w:tcPr>
          <w:p>
            <w:pPr>
              <w:keepNext/>
              <w:spacing w:line="240" w:lineRule="auto" w:after="40"/>
              <w:jc w:val="center"/>
            </w:pPr>
            <w:r/>
            <w:r>
              <w:rPr>
                <w:rFonts w:ascii="Times New Roman" w:hAnsi="Times New Roman" w:cs="Times New Roman" w:eastAsia="Times New Roman"/>
                <w:b/>
                <w:sz w:val="20"/>
              </w:rPr>
              <w:t>F1</w:t>
            </w:r>
          </w:p>
        </w:tc>
        <w:tc>
          <w:tcPr>
            <w:tcW w:type="dxa" w:w="1029"/>
            <w:shd w:val="clear" w:color="auto" w:fill="DCFCE7"/>
          </w:tcPr>
          <w:p>
            <w:pPr>
              <w:keepNext/>
              <w:spacing w:line="240" w:lineRule="auto" w:after="40"/>
              <w:jc w:val="center"/>
            </w:pPr>
            <w:r/>
            <w:r>
              <w:rPr>
                <w:rFonts w:ascii="Times New Roman" w:hAnsi="Times New Roman" w:cs="Times New Roman" w:eastAsia="Times New Roman"/>
                <w:b/>
                <w:sz w:val="20"/>
              </w:rPr>
              <w:t>ROC-AUC</w:t>
            </w:r>
          </w:p>
        </w:tc>
        <w:tc>
          <w:tcPr>
            <w:tcW w:type="dxa" w:w="1029"/>
            <w:shd w:val="clear" w:color="auto" w:fill="DCFCE7"/>
          </w:tcPr>
          <w:p>
            <w:pPr>
              <w:keepNext/>
              <w:spacing w:line="240" w:lineRule="auto" w:after="40"/>
              <w:jc w:val="center"/>
            </w:pPr>
            <w:r/>
            <w:r>
              <w:rPr>
                <w:rFonts w:ascii="Times New Roman" w:hAnsi="Times New Roman" w:cs="Times New Roman" w:eastAsia="Times New Roman"/>
                <w:b/>
                <w:sz w:val="20"/>
              </w:rPr>
              <w:t>Baseline F1</w:t>
            </w:r>
          </w:p>
        </w:tc>
        <w:tc>
          <w:tcPr>
            <w:tcW w:type="dxa" w:w="1029"/>
            <w:shd w:val="clear" w:color="auto" w:fill="DCFCE7"/>
          </w:tcPr>
          <w:p>
            <w:pPr>
              <w:keepNext/>
              <w:spacing w:line="240" w:lineRule="auto" w:after="40"/>
              <w:jc w:val="center"/>
            </w:pPr>
            <w:r/>
            <w:r>
              <w:rPr>
                <w:rFonts w:ascii="Times New Roman" w:hAnsi="Times New Roman" w:cs="Times New Roman" w:eastAsia="Times New Roman"/>
                <w:b/>
                <w:sz w:val="20"/>
              </w:rPr>
              <w:t>Rings found</w:t>
            </w:r>
          </w:p>
        </w:tc>
      </w:tr>
      <w:tr>
        <w:trPr>
          <w:cantSplit/>
        </w:trPr>
        <w:tc>
          <w:tcPr>
            <w:tcW w:type="dxa" w:w="771"/>
          </w:tcPr>
          <w:p>
            <w:pPr>
              <w:keepNext/>
              <w:spacing w:line="240" w:lineRule="auto" w:after="40"/>
              <w:jc w:val="left"/>
            </w:pPr>
            <w:r/>
            <w:r>
              <w:rPr>
                <w:rFonts w:ascii="Times New Roman" w:hAnsi="Times New Roman" w:cs="Times New Roman" w:eastAsia="Times New Roman"/>
                <w:sz w:val="20"/>
              </w:rPr>
              <w:t>1</w:t>
            </w:r>
          </w:p>
        </w:tc>
        <w:tc>
          <w:tcPr>
            <w:tcW w:type="dxa" w:w="771"/>
          </w:tcPr>
          <w:p>
            <w:pPr>
              <w:keepNext/>
              <w:spacing w:line="240" w:lineRule="auto" w:after="40"/>
              <w:jc w:val="center"/>
            </w:pPr>
            <w:r/>
            <w:r>
              <w:rPr>
                <w:rFonts w:ascii="Times New Roman" w:hAnsi="Times New Roman" w:cs="Times New Roman" w:eastAsia="Times New Roman"/>
                <w:sz w:val="20"/>
              </w:rPr>
              <w:t>82</w:t>
            </w:r>
          </w:p>
        </w:tc>
        <w:tc>
          <w:tcPr>
            <w:tcW w:type="dxa" w:w="900"/>
          </w:tcPr>
          <w:p>
            <w:pPr>
              <w:keepNext/>
              <w:spacing w:line="240" w:lineRule="auto" w:after="40"/>
              <w:jc w:val="center"/>
            </w:pPr>
            <w:r/>
            <w:r>
              <w:rPr>
                <w:rFonts w:ascii="Times New Roman" w:hAnsi="Times New Roman" w:cs="Times New Roman" w:eastAsia="Times New Roman"/>
                <w:sz w:val="20"/>
              </w:rPr>
              <w:t>70</w:t>
            </w:r>
          </w:p>
        </w:tc>
        <w:tc>
          <w:tcPr>
            <w:tcW w:type="dxa" w:w="771"/>
          </w:tcPr>
          <w:p>
            <w:pPr>
              <w:keepNext/>
              <w:spacing w:line="240" w:lineRule="auto" w:after="40"/>
              <w:jc w:val="center"/>
            </w:pPr>
            <w:r/>
            <w:r>
              <w:rPr>
                <w:rFonts w:ascii="Times New Roman" w:hAnsi="Times New Roman" w:cs="Times New Roman" w:eastAsia="Times New Roman"/>
                <w:sz w:val="20"/>
              </w:rPr>
              <w:t>0.781</w:t>
            </w:r>
          </w:p>
        </w:tc>
        <w:tc>
          <w:tcPr>
            <w:tcW w:type="dxa" w:w="1029"/>
          </w:tcPr>
          <w:p>
            <w:pPr>
              <w:keepNext/>
              <w:spacing w:line="240" w:lineRule="auto" w:after="40"/>
              <w:jc w:val="center"/>
            </w:pPr>
            <w:r/>
            <w:r>
              <w:rPr>
                <w:rFonts w:ascii="Times New Roman" w:hAnsi="Times New Roman" w:cs="Times New Roman" w:eastAsia="Times New Roman"/>
                <w:sz w:val="20"/>
              </w:rPr>
              <w:t>0.857</w:t>
            </w:r>
          </w:p>
        </w:tc>
        <w:tc>
          <w:tcPr>
            <w:tcW w:type="dxa" w:w="900"/>
          </w:tcPr>
          <w:p>
            <w:pPr>
              <w:keepNext/>
              <w:spacing w:line="240" w:lineRule="auto" w:after="40"/>
              <w:jc w:val="center"/>
            </w:pPr>
            <w:r/>
            <w:r>
              <w:rPr>
                <w:rFonts w:ascii="Times New Roman" w:hAnsi="Times New Roman" w:cs="Times New Roman" w:eastAsia="Times New Roman"/>
                <w:sz w:val="20"/>
              </w:rPr>
              <w:t>0.732</w:t>
            </w:r>
          </w:p>
        </w:tc>
        <w:tc>
          <w:tcPr>
            <w:tcW w:type="dxa" w:w="771"/>
          </w:tcPr>
          <w:p>
            <w:pPr>
              <w:keepNext/>
              <w:spacing w:line="240" w:lineRule="auto" w:after="40"/>
              <w:jc w:val="center"/>
            </w:pPr>
            <w:r/>
            <w:r>
              <w:rPr>
                <w:rFonts w:ascii="Times New Roman" w:hAnsi="Times New Roman" w:cs="Times New Roman" w:eastAsia="Times New Roman"/>
                <w:sz w:val="20"/>
              </w:rPr>
              <w:t>0.790</w:t>
            </w:r>
          </w:p>
        </w:tc>
        <w:tc>
          <w:tcPr>
            <w:tcW w:type="dxa" w:w="1029"/>
          </w:tcPr>
          <w:p>
            <w:pPr>
              <w:keepNext/>
              <w:spacing w:line="240" w:lineRule="auto" w:after="40"/>
              <w:jc w:val="center"/>
            </w:pPr>
            <w:r/>
            <w:r>
              <w:rPr>
                <w:rFonts w:ascii="Times New Roman" w:hAnsi="Times New Roman" w:cs="Times New Roman" w:eastAsia="Times New Roman"/>
                <w:sz w:val="20"/>
              </w:rPr>
              <w:t>0.970</w:t>
            </w:r>
          </w:p>
        </w:tc>
        <w:tc>
          <w:tcPr>
            <w:tcW w:type="dxa" w:w="1029"/>
          </w:tcPr>
          <w:p>
            <w:pPr>
              <w:keepNext/>
              <w:spacing w:line="240" w:lineRule="auto" w:after="40"/>
              <w:jc w:val="center"/>
            </w:pPr>
            <w:r/>
            <w:r>
              <w:rPr>
                <w:rFonts w:ascii="Times New Roman" w:hAnsi="Times New Roman" w:cs="Times New Roman" w:eastAsia="Times New Roman"/>
                <w:sz w:val="20"/>
              </w:rPr>
              <w:t>0.498</w:t>
            </w:r>
          </w:p>
        </w:tc>
        <w:tc>
          <w:tcPr>
            <w:tcW w:type="dxa" w:w="1029"/>
          </w:tcPr>
          <w:p>
            <w:pPr>
              <w:keepNext/>
              <w:spacing w:line="240" w:lineRule="auto" w:after="40"/>
              <w:jc w:val="center"/>
            </w:pPr>
            <w:r/>
            <w:r>
              <w:rPr>
                <w:rFonts w:ascii="Times New Roman" w:hAnsi="Times New Roman" w:cs="Times New Roman" w:eastAsia="Times New Roman"/>
                <w:sz w:val="20"/>
              </w:rPr>
              <w:t>5/5</w:t>
            </w:r>
          </w:p>
        </w:tc>
      </w:tr>
      <w:tr>
        <w:trPr>
          <w:cantSplit/>
        </w:trPr>
        <w:tc>
          <w:tcPr>
            <w:tcW w:type="dxa" w:w="771"/>
          </w:tcPr>
          <w:p>
            <w:pPr>
              <w:spacing w:line="240" w:lineRule="auto" w:after="40"/>
              <w:jc w:val="left"/>
            </w:pPr>
            <w:r/>
            <w:r>
              <w:rPr>
                <w:rFonts w:ascii="Times New Roman" w:hAnsi="Times New Roman" w:cs="Times New Roman" w:eastAsia="Times New Roman"/>
                <w:sz w:val="20"/>
              </w:rPr>
              <w:t>2</w:t>
            </w:r>
          </w:p>
        </w:tc>
        <w:tc>
          <w:tcPr>
            <w:tcW w:type="dxa" w:w="771"/>
          </w:tcPr>
          <w:p>
            <w:pPr>
              <w:spacing w:line="240" w:lineRule="auto" w:after="40"/>
              <w:jc w:val="center"/>
            </w:pPr>
            <w:r/>
            <w:r>
              <w:rPr>
                <w:rFonts w:ascii="Times New Roman" w:hAnsi="Times New Roman" w:cs="Times New Roman" w:eastAsia="Times New Roman"/>
                <w:sz w:val="20"/>
              </w:rPr>
              <w:t>79</w:t>
            </w:r>
          </w:p>
        </w:tc>
        <w:tc>
          <w:tcPr>
            <w:tcW w:type="dxa" w:w="900"/>
          </w:tcPr>
          <w:p>
            <w:pPr>
              <w:spacing w:line="240" w:lineRule="auto" w:after="40"/>
              <w:jc w:val="center"/>
            </w:pPr>
            <w:r/>
            <w:r>
              <w:rPr>
                <w:rFonts w:ascii="Times New Roman" w:hAnsi="Times New Roman" w:cs="Times New Roman" w:eastAsia="Times New Roman"/>
                <w:sz w:val="20"/>
              </w:rPr>
              <w:t>70</w:t>
            </w:r>
          </w:p>
        </w:tc>
        <w:tc>
          <w:tcPr>
            <w:tcW w:type="dxa" w:w="771"/>
          </w:tcPr>
          <w:p>
            <w:pPr>
              <w:spacing w:line="240" w:lineRule="auto" w:after="40"/>
              <w:jc w:val="center"/>
            </w:pPr>
            <w:r/>
            <w:r>
              <w:rPr>
                <w:rFonts w:ascii="Times New Roman" w:hAnsi="Times New Roman" w:cs="Times New Roman" w:eastAsia="Times New Roman"/>
                <w:sz w:val="20"/>
              </w:rPr>
              <w:t>0.924</w:t>
            </w:r>
          </w:p>
        </w:tc>
        <w:tc>
          <w:tcPr>
            <w:tcW w:type="dxa" w:w="1029"/>
          </w:tcPr>
          <w:p>
            <w:pPr>
              <w:spacing w:line="240" w:lineRule="auto" w:after="40"/>
              <w:jc w:val="center"/>
            </w:pPr>
            <w:r/>
            <w:r>
              <w:rPr>
                <w:rFonts w:ascii="Times New Roman" w:hAnsi="Times New Roman" w:cs="Times New Roman" w:eastAsia="Times New Roman"/>
                <w:sz w:val="20"/>
              </w:rPr>
              <w:t>0.971</w:t>
            </w:r>
          </w:p>
        </w:tc>
        <w:tc>
          <w:tcPr>
            <w:tcW w:type="dxa" w:w="900"/>
          </w:tcPr>
          <w:p>
            <w:pPr>
              <w:spacing w:line="240" w:lineRule="auto" w:after="40"/>
              <w:jc w:val="center"/>
            </w:pPr>
            <w:r/>
            <w:r>
              <w:rPr>
                <w:rFonts w:ascii="Times New Roman" w:hAnsi="Times New Roman" w:cs="Times New Roman" w:eastAsia="Times New Roman"/>
                <w:sz w:val="20"/>
              </w:rPr>
              <w:t>0.861</w:t>
            </w:r>
          </w:p>
        </w:tc>
        <w:tc>
          <w:tcPr>
            <w:tcW w:type="dxa" w:w="771"/>
          </w:tcPr>
          <w:p>
            <w:pPr>
              <w:spacing w:line="240" w:lineRule="auto" w:after="40"/>
              <w:jc w:val="center"/>
            </w:pPr>
            <w:r/>
            <w:r>
              <w:rPr>
                <w:rFonts w:ascii="Times New Roman" w:hAnsi="Times New Roman" w:cs="Times New Roman" w:eastAsia="Times New Roman"/>
                <w:sz w:val="20"/>
              </w:rPr>
              <w:t>0.913</w:t>
            </w:r>
          </w:p>
        </w:tc>
        <w:tc>
          <w:tcPr>
            <w:tcW w:type="dxa" w:w="1029"/>
          </w:tcPr>
          <w:p>
            <w:pPr>
              <w:spacing w:line="240" w:lineRule="auto" w:after="40"/>
              <w:jc w:val="center"/>
            </w:pPr>
            <w:r/>
            <w:r>
              <w:rPr>
                <w:rFonts w:ascii="Times New Roman" w:hAnsi="Times New Roman" w:cs="Times New Roman" w:eastAsia="Times New Roman"/>
                <w:sz w:val="20"/>
              </w:rPr>
              <w:t>0.995</w:t>
            </w:r>
          </w:p>
        </w:tc>
        <w:tc>
          <w:tcPr>
            <w:tcW w:type="dxa" w:w="1029"/>
          </w:tcPr>
          <w:p>
            <w:pPr>
              <w:spacing w:line="240" w:lineRule="auto" w:after="40"/>
              <w:jc w:val="center"/>
            </w:pPr>
            <w:r/>
            <w:r>
              <w:rPr>
                <w:rFonts w:ascii="Times New Roman" w:hAnsi="Times New Roman" w:cs="Times New Roman" w:eastAsia="Times New Roman"/>
                <w:sz w:val="20"/>
              </w:rPr>
              <w:t>0.472</w:t>
            </w:r>
          </w:p>
        </w:tc>
        <w:tc>
          <w:tcPr>
            <w:tcW w:type="dxa" w:w="1029"/>
          </w:tcPr>
          <w:p>
            <w:pPr>
              <w:spacing w:line="240" w:lineRule="auto" w:after="40"/>
              <w:jc w:val="center"/>
            </w:pPr>
            <w:r/>
            <w:r>
              <w:rPr>
                <w:rFonts w:ascii="Times New Roman" w:hAnsi="Times New Roman" w:cs="Times New Roman" w:eastAsia="Times New Roman"/>
                <w:sz w:val="20"/>
              </w:rPr>
              <w:t>5/5</w:t>
            </w:r>
          </w:p>
        </w:tc>
      </w:tr>
      <w:tr>
        <w:trPr>
          <w:cantSplit/>
        </w:trPr>
        <w:tc>
          <w:tcPr>
            <w:tcW w:type="dxa" w:w="771"/>
          </w:tcPr>
          <w:p>
            <w:pPr>
              <w:spacing w:line="240" w:lineRule="auto" w:after="40"/>
              <w:jc w:val="left"/>
            </w:pPr>
            <w:r/>
            <w:r>
              <w:rPr>
                <w:rFonts w:ascii="Times New Roman" w:hAnsi="Times New Roman" w:cs="Times New Roman" w:eastAsia="Times New Roman"/>
                <w:sz w:val="20"/>
              </w:rPr>
              <w:t>3</w:t>
            </w:r>
          </w:p>
        </w:tc>
        <w:tc>
          <w:tcPr>
            <w:tcW w:type="dxa" w:w="771"/>
          </w:tcPr>
          <w:p>
            <w:pPr>
              <w:spacing w:line="240" w:lineRule="auto" w:after="40"/>
              <w:jc w:val="center"/>
            </w:pPr>
            <w:r/>
            <w:r>
              <w:rPr>
                <w:rFonts w:ascii="Times New Roman" w:hAnsi="Times New Roman" w:cs="Times New Roman" w:eastAsia="Times New Roman"/>
                <w:sz w:val="20"/>
              </w:rPr>
              <w:t>76</w:t>
            </w:r>
          </w:p>
        </w:tc>
        <w:tc>
          <w:tcPr>
            <w:tcW w:type="dxa" w:w="900"/>
          </w:tcPr>
          <w:p>
            <w:pPr>
              <w:spacing w:line="240" w:lineRule="auto" w:after="40"/>
              <w:jc w:val="center"/>
            </w:pPr>
            <w:r/>
            <w:r>
              <w:rPr>
                <w:rFonts w:ascii="Times New Roman" w:hAnsi="Times New Roman" w:cs="Times New Roman" w:eastAsia="Times New Roman"/>
                <w:sz w:val="20"/>
              </w:rPr>
              <w:t>77</w:t>
            </w:r>
          </w:p>
        </w:tc>
        <w:tc>
          <w:tcPr>
            <w:tcW w:type="dxa" w:w="771"/>
          </w:tcPr>
          <w:p>
            <w:pPr>
              <w:spacing w:line="240" w:lineRule="auto" w:after="40"/>
              <w:jc w:val="center"/>
            </w:pPr>
            <w:r/>
            <w:r>
              <w:rPr>
                <w:rFonts w:ascii="Times New Roman" w:hAnsi="Times New Roman" w:cs="Times New Roman" w:eastAsia="Times New Roman"/>
                <w:sz w:val="20"/>
              </w:rPr>
              <w:t>0.882</w:t>
            </w:r>
          </w:p>
        </w:tc>
        <w:tc>
          <w:tcPr>
            <w:tcW w:type="dxa" w:w="1029"/>
          </w:tcPr>
          <w:p>
            <w:pPr>
              <w:spacing w:line="240" w:lineRule="auto" w:after="40"/>
              <w:jc w:val="center"/>
            </w:pPr>
            <w:r/>
            <w:r>
              <w:rPr>
                <w:rFonts w:ascii="Times New Roman" w:hAnsi="Times New Roman" w:cs="Times New Roman" w:eastAsia="Times New Roman"/>
                <w:sz w:val="20"/>
              </w:rPr>
              <w:t>0.883</w:t>
            </w:r>
          </w:p>
        </w:tc>
        <w:tc>
          <w:tcPr>
            <w:tcW w:type="dxa" w:w="900"/>
          </w:tcPr>
          <w:p>
            <w:pPr>
              <w:spacing w:line="240" w:lineRule="auto" w:after="40"/>
              <w:jc w:val="center"/>
            </w:pPr>
            <w:r/>
            <w:r>
              <w:rPr>
                <w:rFonts w:ascii="Times New Roman" w:hAnsi="Times New Roman" w:cs="Times New Roman" w:eastAsia="Times New Roman"/>
                <w:sz w:val="20"/>
              </w:rPr>
              <w:t>0.895</w:t>
            </w:r>
          </w:p>
        </w:tc>
        <w:tc>
          <w:tcPr>
            <w:tcW w:type="dxa" w:w="771"/>
          </w:tcPr>
          <w:p>
            <w:pPr>
              <w:spacing w:line="240" w:lineRule="auto" w:after="40"/>
              <w:jc w:val="center"/>
            </w:pPr>
            <w:r/>
            <w:r>
              <w:rPr>
                <w:rFonts w:ascii="Times New Roman" w:hAnsi="Times New Roman" w:cs="Times New Roman" w:eastAsia="Times New Roman"/>
                <w:sz w:val="20"/>
              </w:rPr>
              <w:t>0.889</w:t>
            </w:r>
          </w:p>
        </w:tc>
        <w:tc>
          <w:tcPr>
            <w:tcW w:type="dxa" w:w="1029"/>
          </w:tcPr>
          <w:p>
            <w:pPr>
              <w:spacing w:line="240" w:lineRule="auto" w:after="40"/>
              <w:jc w:val="center"/>
            </w:pPr>
            <w:r/>
            <w:r>
              <w:rPr>
                <w:rFonts w:ascii="Times New Roman" w:hAnsi="Times New Roman" w:cs="Times New Roman" w:eastAsia="Times New Roman"/>
                <w:sz w:val="20"/>
              </w:rPr>
              <w:t>0.993</w:t>
            </w:r>
          </w:p>
        </w:tc>
        <w:tc>
          <w:tcPr>
            <w:tcW w:type="dxa" w:w="1029"/>
          </w:tcPr>
          <w:p>
            <w:pPr>
              <w:spacing w:line="240" w:lineRule="auto" w:after="40"/>
              <w:jc w:val="center"/>
            </w:pPr>
            <w:r/>
            <w:r>
              <w:rPr>
                <w:rFonts w:ascii="Times New Roman" w:hAnsi="Times New Roman" w:cs="Times New Roman" w:eastAsia="Times New Roman"/>
                <w:sz w:val="20"/>
              </w:rPr>
              <w:t>0.419</w:t>
            </w:r>
          </w:p>
        </w:tc>
        <w:tc>
          <w:tcPr>
            <w:tcW w:type="dxa" w:w="1029"/>
          </w:tcPr>
          <w:p>
            <w:pPr>
              <w:spacing w:line="240" w:lineRule="auto" w:after="40"/>
              <w:jc w:val="center"/>
            </w:pPr>
            <w:r/>
            <w:r>
              <w:rPr>
                <w:rFonts w:ascii="Times New Roman" w:hAnsi="Times New Roman" w:cs="Times New Roman" w:eastAsia="Times New Roman"/>
                <w:sz w:val="20"/>
              </w:rPr>
              <w:t>5/5</w:t>
            </w:r>
          </w:p>
        </w:tc>
      </w:tr>
      <w:tr>
        <w:trPr>
          <w:cantSplit/>
        </w:trPr>
        <w:tc>
          <w:tcPr>
            <w:tcW w:type="dxa" w:w="771"/>
          </w:tcPr>
          <w:p>
            <w:pPr>
              <w:spacing w:line="240" w:lineRule="auto" w:after="40"/>
              <w:jc w:val="left"/>
            </w:pPr>
            <w:r/>
            <w:r>
              <w:rPr>
                <w:rFonts w:ascii="Times New Roman" w:hAnsi="Times New Roman" w:cs="Times New Roman" w:eastAsia="Times New Roman"/>
                <w:sz w:val="20"/>
              </w:rPr>
              <w:t>7</w:t>
            </w:r>
          </w:p>
        </w:tc>
        <w:tc>
          <w:tcPr>
            <w:tcW w:type="dxa" w:w="771"/>
          </w:tcPr>
          <w:p>
            <w:pPr>
              <w:spacing w:line="240" w:lineRule="auto" w:after="40"/>
              <w:jc w:val="center"/>
            </w:pPr>
            <w:r/>
            <w:r>
              <w:rPr>
                <w:rFonts w:ascii="Times New Roman" w:hAnsi="Times New Roman" w:cs="Times New Roman" w:eastAsia="Times New Roman"/>
                <w:sz w:val="20"/>
              </w:rPr>
              <w:t>88</w:t>
            </w:r>
          </w:p>
        </w:tc>
        <w:tc>
          <w:tcPr>
            <w:tcW w:type="dxa" w:w="900"/>
          </w:tcPr>
          <w:p>
            <w:pPr>
              <w:spacing w:line="240" w:lineRule="auto" w:after="40"/>
              <w:jc w:val="center"/>
            </w:pPr>
            <w:r/>
            <w:r>
              <w:rPr>
                <w:rFonts w:ascii="Times New Roman" w:hAnsi="Times New Roman" w:cs="Times New Roman" w:eastAsia="Times New Roman"/>
                <w:sz w:val="20"/>
              </w:rPr>
              <w:t>82</w:t>
            </w:r>
          </w:p>
        </w:tc>
        <w:tc>
          <w:tcPr>
            <w:tcW w:type="dxa" w:w="771"/>
          </w:tcPr>
          <w:p>
            <w:pPr>
              <w:spacing w:line="240" w:lineRule="auto" w:after="40"/>
              <w:jc w:val="center"/>
            </w:pPr>
            <w:r/>
            <w:r>
              <w:rPr>
                <w:rFonts w:ascii="Times New Roman" w:hAnsi="Times New Roman" w:cs="Times New Roman" w:eastAsia="Times New Roman"/>
                <w:sz w:val="20"/>
              </w:rPr>
              <w:t>0.921</w:t>
            </w:r>
          </w:p>
        </w:tc>
        <w:tc>
          <w:tcPr>
            <w:tcW w:type="dxa" w:w="1029"/>
          </w:tcPr>
          <w:p>
            <w:pPr>
              <w:spacing w:line="240" w:lineRule="auto" w:after="40"/>
              <w:jc w:val="center"/>
            </w:pPr>
            <w:r/>
            <w:r>
              <w:rPr>
                <w:rFonts w:ascii="Times New Roman" w:hAnsi="Times New Roman" w:cs="Times New Roman" w:eastAsia="Times New Roman"/>
                <w:sz w:val="20"/>
              </w:rPr>
              <w:t>0.951</w:t>
            </w:r>
          </w:p>
        </w:tc>
        <w:tc>
          <w:tcPr>
            <w:tcW w:type="dxa" w:w="900"/>
          </w:tcPr>
          <w:p>
            <w:pPr>
              <w:spacing w:line="240" w:lineRule="auto" w:after="40"/>
              <w:jc w:val="center"/>
            </w:pPr>
            <w:r/>
            <w:r>
              <w:rPr>
                <w:rFonts w:ascii="Times New Roman" w:hAnsi="Times New Roman" w:cs="Times New Roman" w:eastAsia="Times New Roman"/>
                <w:sz w:val="20"/>
              </w:rPr>
              <w:t>0.886</w:t>
            </w:r>
          </w:p>
        </w:tc>
        <w:tc>
          <w:tcPr>
            <w:tcW w:type="dxa" w:w="771"/>
          </w:tcPr>
          <w:p>
            <w:pPr>
              <w:spacing w:line="240" w:lineRule="auto" w:after="40"/>
              <w:jc w:val="center"/>
            </w:pPr>
            <w:r/>
            <w:r>
              <w:rPr>
                <w:rFonts w:ascii="Times New Roman" w:hAnsi="Times New Roman" w:cs="Times New Roman" w:eastAsia="Times New Roman"/>
                <w:sz w:val="20"/>
              </w:rPr>
              <w:t>0.918</w:t>
            </w:r>
          </w:p>
        </w:tc>
        <w:tc>
          <w:tcPr>
            <w:tcW w:type="dxa" w:w="1029"/>
          </w:tcPr>
          <w:p>
            <w:pPr>
              <w:spacing w:line="240" w:lineRule="auto" w:after="40"/>
              <w:jc w:val="center"/>
            </w:pPr>
            <w:r/>
            <w:r>
              <w:rPr>
                <w:rFonts w:ascii="Times New Roman" w:hAnsi="Times New Roman" w:cs="Times New Roman" w:eastAsia="Times New Roman"/>
                <w:sz w:val="20"/>
              </w:rPr>
              <w:t>0.992</w:t>
            </w:r>
          </w:p>
        </w:tc>
        <w:tc>
          <w:tcPr>
            <w:tcW w:type="dxa" w:w="1029"/>
          </w:tcPr>
          <w:p>
            <w:pPr>
              <w:spacing w:line="240" w:lineRule="auto" w:after="40"/>
              <w:jc w:val="center"/>
            </w:pPr>
            <w:r/>
            <w:r>
              <w:rPr>
                <w:rFonts w:ascii="Times New Roman" w:hAnsi="Times New Roman" w:cs="Times New Roman" w:eastAsia="Times New Roman"/>
                <w:sz w:val="20"/>
              </w:rPr>
              <w:t>0.482</w:t>
            </w:r>
          </w:p>
        </w:tc>
        <w:tc>
          <w:tcPr>
            <w:tcW w:type="dxa" w:w="1029"/>
          </w:tcPr>
          <w:p>
            <w:pPr>
              <w:spacing w:line="240" w:lineRule="auto" w:after="40"/>
              <w:jc w:val="center"/>
            </w:pPr>
            <w:r/>
            <w:r>
              <w:rPr>
                <w:rFonts w:ascii="Times New Roman" w:hAnsi="Times New Roman" w:cs="Times New Roman" w:eastAsia="Times New Roman"/>
                <w:sz w:val="20"/>
              </w:rPr>
              <w:t>5/5</w:t>
            </w:r>
          </w:p>
        </w:tc>
      </w:tr>
      <w:tr>
        <w:trPr>
          <w:cantSplit/>
        </w:trPr>
        <w:tc>
          <w:tcPr>
            <w:tcW w:type="dxa" w:w="771"/>
          </w:tcPr>
          <w:p>
            <w:pPr>
              <w:spacing w:line="240" w:lineRule="auto" w:after="40"/>
              <w:jc w:val="left"/>
            </w:pPr>
            <w:r/>
            <w:r>
              <w:rPr>
                <w:rFonts w:ascii="Times New Roman" w:hAnsi="Times New Roman" w:cs="Times New Roman" w:eastAsia="Times New Roman"/>
                <w:sz w:val="20"/>
              </w:rPr>
              <w:t>11</w:t>
            </w:r>
          </w:p>
        </w:tc>
        <w:tc>
          <w:tcPr>
            <w:tcW w:type="dxa" w:w="771"/>
          </w:tcPr>
          <w:p>
            <w:pPr>
              <w:spacing w:line="240" w:lineRule="auto" w:after="40"/>
              <w:jc w:val="center"/>
            </w:pPr>
            <w:r/>
            <w:r>
              <w:rPr>
                <w:rFonts w:ascii="Times New Roman" w:hAnsi="Times New Roman" w:cs="Times New Roman" w:eastAsia="Times New Roman"/>
                <w:sz w:val="20"/>
              </w:rPr>
              <w:t>77</w:t>
            </w:r>
          </w:p>
        </w:tc>
        <w:tc>
          <w:tcPr>
            <w:tcW w:type="dxa" w:w="900"/>
          </w:tcPr>
          <w:p>
            <w:pPr>
              <w:spacing w:line="240" w:lineRule="auto" w:after="40"/>
              <w:jc w:val="center"/>
            </w:pPr>
            <w:r/>
            <w:r>
              <w:rPr>
                <w:rFonts w:ascii="Times New Roman" w:hAnsi="Times New Roman" w:cs="Times New Roman" w:eastAsia="Times New Roman"/>
                <w:sz w:val="20"/>
              </w:rPr>
              <w:t>73</w:t>
            </w:r>
          </w:p>
        </w:tc>
        <w:tc>
          <w:tcPr>
            <w:tcW w:type="dxa" w:w="771"/>
          </w:tcPr>
          <w:p>
            <w:pPr>
              <w:spacing w:line="240" w:lineRule="auto" w:after="40"/>
              <w:jc w:val="center"/>
            </w:pPr>
            <w:r/>
            <w:r>
              <w:rPr>
                <w:rFonts w:ascii="Times New Roman" w:hAnsi="Times New Roman" w:cs="Times New Roman" w:eastAsia="Times New Roman"/>
                <w:sz w:val="20"/>
              </w:rPr>
              <w:t>0.935</w:t>
            </w:r>
          </w:p>
        </w:tc>
        <w:tc>
          <w:tcPr>
            <w:tcW w:type="dxa" w:w="1029"/>
          </w:tcPr>
          <w:p>
            <w:pPr>
              <w:spacing w:line="240" w:lineRule="auto" w:after="40"/>
              <w:jc w:val="center"/>
            </w:pPr>
            <w:r/>
            <w:r>
              <w:rPr>
                <w:rFonts w:ascii="Times New Roman" w:hAnsi="Times New Roman" w:cs="Times New Roman" w:eastAsia="Times New Roman"/>
                <w:sz w:val="20"/>
              </w:rPr>
              <w:t>0.959</w:t>
            </w:r>
          </w:p>
        </w:tc>
        <w:tc>
          <w:tcPr>
            <w:tcW w:type="dxa" w:w="900"/>
          </w:tcPr>
          <w:p>
            <w:pPr>
              <w:spacing w:line="240" w:lineRule="auto" w:after="40"/>
              <w:jc w:val="center"/>
            </w:pPr>
            <w:r/>
            <w:r>
              <w:rPr>
                <w:rFonts w:ascii="Times New Roman" w:hAnsi="Times New Roman" w:cs="Times New Roman" w:eastAsia="Times New Roman"/>
                <w:sz w:val="20"/>
              </w:rPr>
              <w:t>0.909</w:t>
            </w:r>
          </w:p>
        </w:tc>
        <w:tc>
          <w:tcPr>
            <w:tcW w:type="dxa" w:w="771"/>
          </w:tcPr>
          <w:p>
            <w:pPr>
              <w:spacing w:line="240" w:lineRule="auto" w:after="40"/>
              <w:jc w:val="center"/>
            </w:pPr>
            <w:r/>
            <w:r>
              <w:rPr>
                <w:rFonts w:ascii="Times New Roman" w:hAnsi="Times New Roman" w:cs="Times New Roman" w:eastAsia="Times New Roman"/>
                <w:sz w:val="20"/>
              </w:rPr>
              <w:t>0.933</w:t>
            </w:r>
          </w:p>
        </w:tc>
        <w:tc>
          <w:tcPr>
            <w:tcW w:type="dxa" w:w="1029"/>
          </w:tcPr>
          <w:p>
            <w:pPr>
              <w:spacing w:line="240" w:lineRule="auto" w:after="40"/>
              <w:jc w:val="center"/>
            </w:pPr>
            <w:r/>
            <w:r>
              <w:rPr>
                <w:rFonts w:ascii="Times New Roman" w:hAnsi="Times New Roman" w:cs="Times New Roman" w:eastAsia="Times New Roman"/>
                <w:sz w:val="20"/>
              </w:rPr>
              <w:t>0.992</w:t>
            </w:r>
          </w:p>
        </w:tc>
        <w:tc>
          <w:tcPr>
            <w:tcW w:type="dxa" w:w="1029"/>
          </w:tcPr>
          <w:p>
            <w:pPr>
              <w:spacing w:line="240" w:lineRule="auto" w:after="40"/>
              <w:jc w:val="center"/>
            </w:pPr>
            <w:r/>
            <w:r>
              <w:rPr>
                <w:rFonts w:ascii="Times New Roman" w:hAnsi="Times New Roman" w:cs="Times New Roman" w:eastAsia="Times New Roman"/>
                <w:sz w:val="20"/>
              </w:rPr>
              <w:t>0.412</w:t>
            </w:r>
          </w:p>
        </w:tc>
        <w:tc>
          <w:tcPr>
            <w:tcW w:type="dxa" w:w="1029"/>
          </w:tcPr>
          <w:p>
            <w:pPr>
              <w:spacing w:line="240" w:lineRule="auto" w:after="40"/>
              <w:jc w:val="center"/>
            </w:pPr>
            <w:r/>
            <w:r>
              <w:rPr>
                <w:rFonts w:ascii="Times New Roman" w:hAnsi="Times New Roman" w:cs="Times New Roman" w:eastAsia="Times New Roman"/>
                <w:sz w:val="20"/>
              </w:rPr>
              <w:t>5/5</w:t>
            </w:r>
          </w:p>
        </w:tc>
      </w:tr>
      <w:tr>
        <w:trPr>
          <w:cantSplit/>
        </w:trPr>
        <w:tc>
          <w:tcPr>
            <w:tcW w:type="dxa" w:w="771"/>
          </w:tcPr>
          <w:p>
            <w:pPr>
              <w:spacing w:line="240" w:lineRule="auto" w:after="40"/>
              <w:jc w:val="left"/>
            </w:pPr>
            <w:r/>
            <w:r>
              <w:rPr>
                <w:rFonts w:ascii="Times New Roman" w:hAnsi="Times New Roman" w:cs="Times New Roman" w:eastAsia="Times New Roman"/>
                <w:b/>
                <w:sz w:val="20"/>
              </w:rPr>
              <w:t>mean</w:t>
            </w:r>
          </w:p>
        </w:tc>
        <w:tc>
          <w:tcPr>
            <w:tcW w:type="dxa" w:w="771"/>
          </w:tcPr>
          <w:p>
            <w:pPr>
              <w:spacing w:line="240" w:lineRule="auto" w:after="40"/>
              <w:jc w:val="left"/>
            </w:pPr>
            <w:r/>
          </w:p>
        </w:tc>
        <w:tc>
          <w:tcPr>
            <w:tcW w:type="dxa" w:w="900"/>
          </w:tcPr>
          <w:p>
            <w:pPr>
              <w:spacing w:line="240" w:lineRule="auto" w:after="40"/>
              <w:jc w:val="left"/>
            </w:pPr>
            <w:r/>
          </w:p>
        </w:tc>
        <w:tc>
          <w:tcPr>
            <w:tcW w:type="dxa" w:w="771"/>
          </w:tcPr>
          <w:p>
            <w:pPr>
              <w:spacing w:line="240" w:lineRule="auto" w:after="40"/>
              <w:jc w:val="center"/>
            </w:pPr>
            <w:r/>
            <w:r>
              <w:rPr>
                <w:rFonts w:ascii="Times New Roman" w:hAnsi="Times New Roman" w:cs="Times New Roman" w:eastAsia="Times New Roman"/>
                <w:sz w:val="20"/>
              </w:rPr>
              <w:t>0.888</w:t>
            </w:r>
          </w:p>
        </w:tc>
        <w:tc>
          <w:tcPr>
            <w:tcW w:type="dxa" w:w="1029"/>
          </w:tcPr>
          <w:p>
            <w:pPr>
              <w:spacing w:line="240" w:lineRule="auto" w:after="40"/>
              <w:jc w:val="center"/>
            </w:pPr>
            <w:r/>
            <w:r>
              <w:rPr>
                <w:rFonts w:ascii="Times New Roman" w:hAnsi="Times New Roman" w:cs="Times New Roman" w:eastAsia="Times New Roman"/>
                <w:sz w:val="20"/>
              </w:rPr>
              <w:t>0.924</w:t>
            </w:r>
          </w:p>
        </w:tc>
        <w:tc>
          <w:tcPr>
            <w:tcW w:type="dxa" w:w="900"/>
          </w:tcPr>
          <w:p>
            <w:pPr>
              <w:spacing w:line="240" w:lineRule="auto" w:after="40"/>
              <w:jc w:val="center"/>
            </w:pPr>
            <w:r/>
            <w:r>
              <w:rPr>
                <w:rFonts w:ascii="Times New Roman" w:hAnsi="Times New Roman" w:cs="Times New Roman" w:eastAsia="Times New Roman"/>
                <w:sz w:val="20"/>
              </w:rPr>
              <w:t>0.857</w:t>
            </w:r>
          </w:p>
        </w:tc>
        <w:tc>
          <w:tcPr>
            <w:tcW w:type="dxa" w:w="771"/>
          </w:tcPr>
          <w:p>
            <w:pPr>
              <w:spacing w:line="240" w:lineRule="auto" w:after="40"/>
              <w:jc w:val="center"/>
            </w:pPr>
            <w:r/>
            <w:r>
              <w:rPr>
                <w:rFonts w:ascii="Times New Roman" w:hAnsi="Times New Roman" w:cs="Times New Roman" w:eastAsia="Times New Roman"/>
                <w:sz w:val="20"/>
              </w:rPr>
              <w:t>0.888</w:t>
            </w:r>
          </w:p>
        </w:tc>
        <w:tc>
          <w:tcPr>
            <w:tcW w:type="dxa" w:w="1029"/>
          </w:tcPr>
          <w:p>
            <w:pPr>
              <w:spacing w:line="240" w:lineRule="auto" w:after="40"/>
              <w:jc w:val="center"/>
            </w:pPr>
            <w:r/>
            <w:r>
              <w:rPr>
                <w:rFonts w:ascii="Times New Roman" w:hAnsi="Times New Roman" w:cs="Times New Roman" w:eastAsia="Times New Roman"/>
                <w:sz w:val="20"/>
              </w:rPr>
              <w:t>0.988</w:t>
            </w:r>
          </w:p>
        </w:tc>
        <w:tc>
          <w:tcPr>
            <w:tcW w:type="dxa" w:w="1029"/>
          </w:tcPr>
          <w:p>
            <w:pPr>
              <w:spacing w:line="240" w:lineRule="auto" w:after="40"/>
              <w:jc w:val="center"/>
            </w:pPr>
            <w:r/>
            <w:r>
              <w:rPr>
                <w:rFonts w:ascii="Times New Roman" w:hAnsi="Times New Roman" w:cs="Times New Roman" w:eastAsia="Times New Roman"/>
                <w:sz w:val="20"/>
              </w:rPr>
              <w:t>0.457</w:t>
            </w:r>
          </w:p>
        </w:tc>
        <w:tc>
          <w:tcPr>
            <w:tcW w:type="dxa" w:w="1029"/>
          </w:tcPr>
          <w:p>
            <w:pPr>
              <w:spacing w:line="240" w:lineRule="auto" w:after="40"/>
              <w:jc w:val="left"/>
            </w:pPr>
            <w:r/>
          </w:p>
        </w:tc>
      </w:tr>
      <w:tr>
        <w:trPr>
          <w:cantSplit/>
        </w:trPr>
        <w:tc>
          <w:tcPr>
            <w:tcW w:type="dxa" w:w="771"/>
          </w:tcPr>
          <w:p>
            <w:pPr>
              <w:spacing w:line="240" w:lineRule="auto" w:after="40"/>
              <w:jc w:val="left"/>
            </w:pPr>
            <w:r/>
            <w:r>
              <w:rPr>
                <w:rFonts w:ascii="Times New Roman" w:hAnsi="Times New Roman" w:cs="Times New Roman" w:eastAsia="Times New Roman"/>
                <w:b/>
                <w:sz w:val="20"/>
              </w:rPr>
              <w:t>std</w:t>
            </w:r>
          </w:p>
        </w:tc>
        <w:tc>
          <w:tcPr>
            <w:tcW w:type="dxa" w:w="771"/>
          </w:tcPr>
          <w:p>
            <w:pPr>
              <w:spacing w:line="240" w:lineRule="auto" w:after="40"/>
              <w:jc w:val="left"/>
            </w:pPr>
            <w:r/>
          </w:p>
        </w:tc>
        <w:tc>
          <w:tcPr>
            <w:tcW w:type="dxa" w:w="900"/>
          </w:tcPr>
          <w:p>
            <w:pPr>
              <w:spacing w:line="240" w:lineRule="auto" w:after="40"/>
              <w:jc w:val="left"/>
            </w:pPr>
            <w:r/>
          </w:p>
        </w:tc>
        <w:tc>
          <w:tcPr>
            <w:tcW w:type="dxa" w:w="771"/>
          </w:tcPr>
          <w:p>
            <w:pPr>
              <w:spacing w:line="240" w:lineRule="auto" w:after="40"/>
              <w:jc w:val="center"/>
            </w:pPr>
            <w:r/>
            <w:r>
              <w:rPr>
                <w:rFonts w:ascii="Times New Roman" w:hAnsi="Times New Roman" w:cs="Times New Roman" w:eastAsia="Times New Roman"/>
                <w:sz w:val="20"/>
              </w:rPr>
              <w:t>0.057</w:t>
            </w:r>
          </w:p>
        </w:tc>
        <w:tc>
          <w:tcPr>
            <w:tcW w:type="dxa" w:w="1029"/>
          </w:tcPr>
          <w:p>
            <w:pPr>
              <w:spacing w:line="240" w:lineRule="auto" w:after="40"/>
              <w:jc w:val="center"/>
            </w:pPr>
            <w:r/>
            <w:r>
              <w:rPr>
                <w:rFonts w:ascii="Times New Roman" w:hAnsi="Times New Roman" w:cs="Times New Roman" w:eastAsia="Times New Roman"/>
                <w:sz w:val="20"/>
              </w:rPr>
              <w:t>0.046</w:t>
            </w:r>
          </w:p>
        </w:tc>
        <w:tc>
          <w:tcPr>
            <w:tcW w:type="dxa" w:w="900"/>
          </w:tcPr>
          <w:p>
            <w:pPr>
              <w:spacing w:line="240" w:lineRule="auto" w:after="40"/>
              <w:jc w:val="center"/>
            </w:pPr>
            <w:r/>
            <w:r>
              <w:rPr>
                <w:rFonts w:ascii="Times New Roman" w:hAnsi="Times New Roman" w:cs="Times New Roman" w:eastAsia="Times New Roman"/>
                <w:sz w:val="20"/>
              </w:rPr>
              <w:t>0.064</w:t>
            </w:r>
          </w:p>
        </w:tc>
        <w:tc>
          <w:tcPr>
            <w:tcW w:type="dxa" w:w="771"/>
          </w:tcPr>
          <w:p>
            <w:pPr>
              <w:spacing w:line="240" w:lineRule="auto" w:after="40"/>
              <w:jc w:val="center"/>
            </w:pPr>
            <w:r/>
            <w:r>
              <w:rPr>
                <w:rFonts w:ascii="Times New Roman" w:hAnsi="Times New Roman" w:cs="Times New Roman" w:eastAsia="Times New Roman"/>
                <w:sz w:val="20"/>
              </w:rPr>
              <w:t>0.052</w:t>
            </w:r>
          </w:p>
        </w:tc>
        <w:tc>
          <w:tcPr>
            <w:tcW w:type="dxa" w:w="1029"/>
          </w:tcPr>
          <w:p>
            <w:pPr>
              <w:spacing w:line="240" w:lineRule="auto" w:after="40"/>
              <w:jc w:val="center"/>
            </w:pPr>
            <w:r/>
            <w:r>
              <w:rPr>
                <w:rFonts w:ascii="Times New Roman" w:hAnsi="Times New Roman" w:cs="Times New Roman" w:eastAsia="Times New Roman"/>
                <w:sz w:val="20"/>
              </w:rPr>
              <w:t>0.010</w:t>
            </w:r>
          </w:p>
        </w:tc>
        <w:tc>
          <w:tcPr>
            <w:tcW w:type="dxa" w:w="1029"/>
          </w:tcPr>
          <w:p>
            <w:pPr>
              <w:spacing w:line="240" w:lineRule="auto" w:after="40"/>
              <w:jc w:val="center"/>
            </w:pPr>
            <w:r/>
            <w:r>
              <w:rPr>
                <w:rFonts w:ascii="Times New Roman" w:hAnsi="Times New Roman" w:cs="Times New Roman" w:eastAsia="Times New Roman"/>
                <w:sz w:val="20"/>
              </w:rPr>
              <w:t>0.035</w:t>
            </w:r>
          </w:p>
        </w:tc>
        <w:tc>
          <w:tcPr>
            <w:tcW w:type="dxa" w:w="1029"/>
          </w:tcPr>
          <w:p>
            <w:pPr>
              <w:spacing w:line="240" w:lineRule="auto" w:after="40"/>
              <w:jc w:val="left"/>
            </w:pPr>
            <w:r/>
          </w:p>
        </w:tc>
      </w:tr>
    </w:tbl>
    <w:p>
      <w:pPr>
        <w:spacing w:after="120" w:line="240" w:lineRule="auto"/>
      </w:pPr>
    </w:p>
    <w:p>
      <w:pPr>
        <w:keepNext/>
        <w:spacing w:line="240" w:lineRule="auto"/>
        <w:jc w:val="center"/>
      </w:pPr>
      <w:r>
        <w:drawing>
          <wp:inline xmlns:a="http://schemas.openxmlformats.org/drawingml/2006/main" xmlns:pic="http://schemas.openxmlformats.org/drawingml/2006/picture">
            <wp:extent cx="4937760" cy="2834855"/>
            <wp:docPr id="22" name="Picture 22"/>
            <wp:cNvGraphicFramePr>
              <a:graphicFrameLocks noChangeAspect="1"/>
            </wp:cNvGraphicFramePr>
            <a:graphic>
              <a:graphicData uri="http://schemas.openxmlformats.org/drawingml/2006/picture">
                <pic:pic>
                  <pic:nvPicPr>
                    <pic:cNvPr id="0" name="c11_seed_study.png"/>
                    <pic:cNvPicPr/>
                  </pic:nvPicPr>
                  <pic:blipFill>
                    <a:blip r:embed="rId31"/>
                    <a:stretch>
                      <a:fillRect/>
                    </a:stretch>
                  </pic:blipFill>
                  <pic:spPr>
                    <a:xfrm>
                      <a:off x="0" y="0"/>
                      <a:ext cx="4937760" cy="2834855"/>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22</w:t>
      </w:r>
      <w:r>
        <w:rPr>
          <w:rFonts w:ascii="Times New Roman" w:hAnsi="Times New Roman" w:cs="Times New Roman" w:eastAsia="Times New Roman"/>
          <w:b/>
        </w:rPr>
        <w:fldChar w:fldCharType="end"/>
      </w:r>
      <w:r>
        <w:rPr>
          <w:rFonts w:ascii="Times New Roman" w:hAnsi="Times New Roman" w:cs="Times New Roman" w:eastAsia="Times New Roman"/>
          <w:b/>
          <w:sz w:val="22"/>
        </w:rPr>
        <w:t>: F1 at the flag threshold on five other generated ecosystems, model against rule baseline</w:t>
      </w:r>
    </w:p>
    <w:p>
      <w:pPr>
        <w:pStyle w:val="Heading3"/>
      </w:pPr>
      <w:r>
        <w:t>8.2.7 Transfer check on PaySim</w:t>
      </w:r>
    </w:p>
    <w:p>
      <w:r>
        <w:rPr>
          <w:rFonts w:ascii="Times New Roman" w:hAnsi="Times New Roman" w:cs="Times New Roman" w:eastAsia="Times New Roman"/>
        </w:rPr>
        <w:t>To check that the JEPA module is not tied to the GST generator, the same module (window 0, three feature blocks) was trained without labels on 100,000 PaySim transactions for 15 epochs (6.2 s) and scored by prediction error. Its ROC-AUC is 0.935 against 0.790 for ranking by transaction amount, and its precision@100 is 0.31 against 0.02 (Fig. 23). Average precision is low for both (0.090 and 0.013) because only 134 of 100,000 transactions are fraud. This is an out-of-domain sanity check, not a claim about GST.</w:t>
      </w:r>
    </w:p>
    <w:p>
      <w:pPr>
        <w:keepNext/>
        <w:spacing w:line="240" w:lineRule="auto"/>
        <w:jc w:val="center"/>
      </w:pPr>
      <w:r>
        <w:drawing>
          <wp:inline xmlns:a="http://schemas.openxmlformats.org/drawingml/2006/main" xmlns:pic="http://schemas.openxmlformats.org/drawingml/2006/picture">
            <wp:extent cx="4937760" cy="3102900"/>
            <wp:docPr id="23" name="Picture 23"/>
            <wp:cNvGraphicFramePr>
              <a:graphicFrameLocks noChangeAspect="1"/>
            </wp:cNvGraphicFramePr>
            <a:graphic>
              <a:graphicData uri="http://schemas.openxmlformats.org/drawingml/2006/picture">
                <pic:pic>
                  <pic:nvPicPr>
                    <pic:cNvPr id="0" name="c06_paysim_transfer.png"/>
                    <pic:cNvPicPr/>
                  </pic:nvPicPr>
                  <pic:blipFill>
                    <a:blip r:embed="rId32"/>
                    <a:stretch>
                      <a:fillRect/>
                    </a:stretch>
                  </pic:blipFill>
                  <pic:spPr>
                    <a:xfrm>
                      <a:off x="0" y="0"/>
                      <a:ext cx="4937760" cy="31029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23</w:t>
      </w:r>
      <w:r>
        <w:rPr>
          <w:rFonts w:ascii="Times New Roman" w:hAnsi="Times New Roman" w:cs="Times New Roman" w:eastAsia="Times New Roman"/>
          <w:b/>
        </w:rPr>
        <w:fldChar w:fldCharType="end"/>
      </w:r>
      <w:r>
        <w:rPr>
          <w:rFonts w:ascii="Times New Roman" w:hAnsi="Times New Roman" w:cs="Times New Roman" w:eastAsia="Times New Roman"/>
          <w:b/>
          <w:sz w:val="22"/>
        </w:rPr>
        <w:t>: PaySim transfer check: unlabelled JEPA against ranking by amount</w:t>
      </w:r>
    </w:p>
    <w:p>
      <w:pPr>
        <w:pStyle w:val="Heading2"/>
      </w:pPr>
      <w:r>
        <w:t>8.3 Explanation Quality</w:t>
      </w:r>
    </w:p>
    <w:p>
      <w:r>
        <w:rPr>
          <w:rFonts w:ascii="Times New Roman" w:hAnsi="Times New Roman" w:cs="Times New Roman" w:eastAsia="Times New Roman"/>
        </w:rPr>
        <w:t>Gemini notes were generated for the top-ranked flagged cases and checked automatically. Six of the intended ten completed; for the other four the free-tier service returned 503 (overloaded), 429 (quota exhausted) or 504 (timeout) from every model in the fallback chain, and these failures are recorded in the evaluation file. Table 6 summarises the six notes.</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6</w:t>
      </w:r>
      <w:r>
        <w:rPr>
          <w:rFonts w:ascii="Times New Roman" w:hAnsi="Times New Roman" w:cs="Times New Roman" w:eastAsia="Times New Roman"/>
          <w:b/>
        </w:rPr>
        <w:fldChar w:fldCharType="end"/>
      </w:r>
      <w:r>
        <w:rPr>
          <w:rFonts w:ascii="Times New Roman" w:hAnsi="Times New Roman" w:cs="Times New Roman" w:eastAsia="Times New Roman"/>
          <w:b/>
          <w:sz w:val="22"/>
        </w:rPr>
        <w:t>: Automatic quality checks over six Gemini case notes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5143"/>
            <w:shd w:val="clear" w:color="auto" w:fill="DCFCE7"/>
          </w:tcPr>
          <w:p>
            <w:pPr>
              <w:keepNext/>
              <w:spacing w:line="240" w:lineRule="auto" w:after="40"/>
              <w:jc w:val="center"/>
            </w:pPr>
            <w:r/>
            <w:r>
              <w:rPr>
                <w:rFonts w:ascii="Times New Roman" w:hAnsi="Times New Roman" w:cs="Times New Roman" w:eastAsia="Times New Roman"/>
                <w:b/>
                <w:sz w:val="20"/>
              </w:rPr>
              <w:t>Check</w:t>
            </w:r>
          </w:p>
        </w:tc>
        <w:tc>
          <w:tcPr>
            <w:tcW w:type="dxa" w:w="3857"/>
            <w:shd w:val="clear" w:color="auto" w:fill="DCFCE7"/>
          </w:tcPr>
          <w:p>
            <w:pPr>
              <w:keepNext/>
              <w:spacing w:line="240" w:lineRule="auto" w:after="40"/>
              <w:jc w:val="center"/>
            </w:pPr>
            <w:r/>
            <w:r>
              <w:rPr>
                <w:rFonts w:ascii="Times New Roman" w:hAnsi="Times New Roman" w:cs="Times New Roman" w:eastAsia="Times New Roman"/>
                <w:b/>
                <w:sz w:val="20"/>
              </w:rPr>
              <w:t>Result</w:t>
            </w:r>
          </w:p>
        </w:tc>
      </w:tr>
      <w:tr>
        <w:trPr>
          <w:cantSplit/>
        </w:trPr>
        <w:tc>
          <w:tcPr>
            <w:tcW w:type="dxa" w:w="5143"/>
          </w:tcPr>
          <w:p>
            <w:pPr>
              <w:keepNext/>
              <w:spacing w:line="240" w:lineRule="auto" w:after="40"/>
              <w:jc w:val="left"/>
            </w:pPr>
            <w:r/>
            <w:r>
              <w:rPr>
                <w:rFonts w:ascii="Times New Roman" w:hAnsi="Times New Roman" w:cs="Times New Roman" w:eastAsia="Times New Roman"/>
                <w:sz w:val="20"/>
              </w:rPr>
              <w:t>Notes evaluated / attempted</w:t>
            </w:r>
          </w:p>
        </w:tc>
        <w:tc>
          <w:tcPr>
            <w:tcW w:type="dxa" w:w="3857"/>
          </w:tcPr>
          <w:p>
            <w:pPr>
              <w:keepNext/>
              <w:spacing w:line="240" w:lineRule="auto" w:after="40"/>
              <w:jc w:val="center"/>
            </w:pPr>
            <w:r/>
            <w:r>
              <w:rPr>
                <w:rFonts w:ascii="Times New Roman" w:hAnsi="Times New Roman" w:cs="Times New Roman" w:eastAsia="Times New Roman"/>
                <w:sz w:val="20"/>
              </w:rPr>
              <w:t>6 / 10</w:t>
            </w:r>
          </w:p>
        </w:tc>
      </w:tr>
      <w:tr>
        <w:trPr>
          <w:cantSplit/>
        </w:trPr>
        <w:tc>
          <w:tcPr>
            <w:tcW w:type="dxa" w:w="5143"/>
          </w:tcPr>
          <w:p>
            <w:pPr>
              <w:spacing w:line="240" w:lineRule="auto" w:after="40"/>
              <w:jc w:val="left"/>
            </w:pPr>
            <w:r/>
            <w:r>
              <w:rPr>
                <w:rFonts w:ascii="Times New Roman" w:hAnsi="Times New Roman" w:cs="Times New Roman" w:eastAsia="Times New Roman"/>
                <w:sz w:val="20"/>
              </w:rPr>
              <w:t>Invalid citations</w:t>
            </w:r>
          </w:p>
        </w:tc>
        <w:tc>
          <w:tcPr>
            <w:tcW w:type="dxa" w:w="3857"/>
          </w:tcPr>
          <w:p>
            <w:pPr>
              <w:spacing w:line="240" w:lineRule="auto" w:after="40"/>
              <w:jc w:val="center"/>
            </w:pPr>
            <w:r/>
            <w:r>
              <w:rPr>
                <w:rFonts w:ascii="Times New Roman" w:hAnsi="Times New Roman" w:cs="Times New Roman" w:eastAsia="Times New Roman"/>
                <w:sz w:val="20"/>
              </w:rPr>
              <w:t>0.0 %</w:t>
            </w:r>
          </w:p>
        </w:tc>
      </w:tr>
      <w:tr>
        <w:trPr>
          <w:cantSplit/>
        </w:trPr>
        <w:tc>
          <w:tcPr>
            <w:tcW w:type="dxa" w:w="5143"/>
          </w:tcPr>
          <w:p>
            <w:pPr>
              <w:spacing w:line="240" w:lineRule="auto" w:after="40"/>
              <w:jc w:val="left"/>
            </w:pPr>
            <w:r/>
            <w:r>
              <w:rPr>
                <w:rFonts w:ascii="Times New Roman" w:hAnsi="Times New Roman" w:cs="Times New Roman" w:eastAsia="Times New Roman"/>
                <w:sz w:val="20"/>
              </w:rPr>
              <w:t>Citations per note (mean)</w:t>
            </w:r>
          </w:p>
        </w:tc>
        <w:tc>
          <w:tcPr>
            <w:tcW w:type="dxa" w:w="3857"/>
          </w:tcPr>
          <w:p>
            <w:pPr>
              <w:spacing w:line="240" w:lineRule="auto" w:after="40"/>
              <w:jc w:val="center"/>
            </w:pPr>
            <w:r/>
            <w:r>
              <w:rPr>
                <w:rFonts w:ascii="Times New Roman" w:hAnsi="Times New Roman" w:cs="Times New Roman" w:eastAsia="Times New Roman"/>
                <w:sz w:val="20"/>
              </w:rPr>
              <w:t>10.8</w:t>
            </w:r>
          </w:p>
        </w:tc>
      </w:tr>
      <w:tr>
        <w:trPr>
          <w:cantSplit/>
        </w:trPr>
        <w:tc>
          <w:tcPr>
            <w:tcW w:type="dxa" w:w="5143"/>
          </w:tcPr>
          <w:p>
            <w:pPr>
              <w:spacing w:line="240" w:lineRule="auto" w:after="40"/>
              <w:jc w:val="left"/>
            </w:pPr>
            <w:r/>
            <w:r>
              <w:rPr>
                <w:rFonts w:ascii="Times New Roman" w:hAnsi="Times New Roman" w:cs="Times New Roman" w:eastAsia="Times New Roman"/>
                <w:sz w:val="20"/>
              </w:rPr>
              <w:t>Evidence items cited</w:t>
            </w:r>
          </w:p>
        </w:tc>
        <w:tc>
          <w:tcPr>
            <w:tcW w:type="dxa" w:w="3857"/>
          </w:tcPr>
          <w:p>
            <w:pPr>
              <w:spacing w:line="240" w:lineRule="auto" w:after="40"/>
              <w:jc w:val="center"/>
            </w:pPr>
            <w:r/>
            <w:r>
              <w:rPr>
                <w:rFonts w:ascii="Times New Roman" w:hAnsi="Times New Roman" w:cs="Times New Roman" w:eastAsia="Times New Roman"/>
                <w:sz w:val="20"/>
              </w:rPr>
              <w:t>100.0 %</w:t>
            </w:r>
          </w:p>
        </w:tc>
      </w:tr>
      <w:tr>
        <w:trPr>
          <w:cantSplit/>
        </w:trPr>
        <w:tc>
          <w:tcPr>
            <w:tcW w:type="dxa" w:w="5143"/>
          </w:tcPr>
          <w:p>
            <w:pPr>
              <w:spacing w:line="240" w:lineRule="auto" w:after="40"/>
              <w:jc w:val="left"/>
            </w:pPr>
            <w:r/>
            <w:r>
              <w:rPr>
                <w:rFonts w:ascii="Times New Roman" w:hAnsi="Times New Roman" w:cs="Times New Roman" w:eastAsia="Times New Roman"/>
                <w:sz w:val="20"/>
              </w:rPr>
              <w:t>High-severity items cited</w:t>
            </w:r>
          </w:p>
        </w:tc>
        <w:tc>
          <w:tcPr>
            <w:tcW w:type="dxa" w:w="3857"/>
          </w:tcPr>
          <w:p>
            <w:pPr>
              <w:spacing w:line="240" w:lineRule="auto" w:after="40"/>
              <w:jc w:val="center"/>
            </w:pPr>
            <w:r/>
            <w:r>
              <w:rPr>
                <w:rFonts w:ascii="Times New Roman" w:hAnsi="Times New Roman" w:cs="Times New Roman" w:eastAsia="Times New Roman"/>
                <w:sz w:val="20"/>
              </w:rPr>
              <w:t>100.0 %</w:t>
            </w:r>
          </w:p>
        </w:tc>
      </w:tr>
      <w:tr>
        <w:trPr>
          <w:cantSplit/>
        </w:trPr>
        <w:tc>
          <w:tcPr>
            <w:tcW w:type="dxa" w:w="5143"/>
          </w:tcPr>
          <w:p>
            <w:pPr>
              <w:spacing w:line="240" w:lineRule="auto" w:after="40"/>
              <w:jc w:val="left"/>
            </w:pPr>
            <w:r/>
            <w:r>
              <w:rPr>
                <w:rFonts w:ascii="Times New Roman" w:hAnsi="Times New Roman" w:cs="Times New Roman" w:eastAsia="Times New Roman"/>
                <w:sz w:val="20"/>
              </w:rPr>
              <w:t>Numbers in the text found in the evidence</w:t>
            </w:r>
          </w:p>
        </w:tc>
        <w:tc>
          <w:tcPr>
            <w:tcW w:type="dxa" w:w="3857"/>
          </w:tcPr>
          <w:p>
            <w:pPr>
              <w:spacing w:line="240" w:lineRule="auto" w:after="40"/>
              <w:jc w:val="center"/>
            </w:pPr>
            <w:r/>
            <w:r>
              <w:rPr>
                <w:rFonts w:ascii="Times New Roman" w:hAnsi="Times New Roman" w:cs="Times New Roman" w:eastAsia="Times New Roman"/>
                <w:sz w:val="20"/>
              </w:rPr>
              <w:t>84.3 %</w:t>
            </w:r>
          </w:p>
        </w:tc>
      </w:tr>
      <w:tr>
        <w:trPr>
          <w:cantSplit/>
        </w:trPr>
        <w:tc>
          <w:tcPr>
            <w:tcW w:type="dxa" w:w="5143"/>
          </w:tcPr>
          <w:p>
            <w:pPr>
              <w:spacing w:line="240" w:lineRule="auto" w:after="40"/>
              <w:jc w:val="left"/>
            </w:pPr>
            <w:r/>
            <w:r>
              <w:rPr>
                <w:rFonts w:ascii="Times New Roman" w:hAnsi="Times New Roman" w:cs="Times New Roman" w:eastAsia="Times New Roman"/>
                <w:sz w:val="20"/>
              </w:rPr>
              <w:t>All three sections present</w:t>
            </w:r>
          </w:p>
        </w:tc>
        <w:tc>
          <w:tcPr>
            <w:tcW w:type="dxa" w:w="3857"/>
          </w:tcPr>
          <w:p>
            <w:pPr>
              <w:spacing w:line="240" w:lineRule="auto" w:after="40"/>
              <w:jc w:val="center"/>
            </w:pPr>
            <w:r/>
            <w:r>
              <w:rPr>
                <w:rFonts w:ascii="Times New Roman" w:hAnsi="Times New Roman" w:cs="Times New Roman" w:eastAsia="Times New Roman"/>
                <w:sz w:val="20"/>
              </w:rPr>
              <w:t>100.0 %</w:t>
            </w:r>
          </w:p>
        </w:tc>
      </w:tr>
      <w:tr>
        <w:trPr>
          <w:cantSplit/>
        </w:trPr>
        <w:tc>
          <w:tcPr>
            <w:tcW w:type="dxa" w:w="5143"/>
          </w:tcPr>
          <w:p>
            <w:pPr>
              <w:spacing w:line="240" w:lineRule="auto" w:after="40"/>
              <w:jc w:val="left"/>
            </w:pPr>
            <w:r/>
            <w:r>
              <w:rPr>
                <w:rFonts w:ascii="Times New Roman" w:hAnsi="Times New Roman" w:cs="Times New Roman" w:eastAsia="Times New Roman"/>
                <w:sz w:val="20"/>
              </w:rPr>
              <w:t>Suspected pattern named</w:t>
            </w:r>
          </w:p>
        </w:tc>
        <w:tc>
          <w:tcPr>
            <w:tcW w:type="dxa" w:w="3857"/>
          </w:tcPr>
          <w:p>
            <w:pPr>
              <w:spacing w:line="240" w:lineRule="auto" w:after="40"/>
              <w:jc w:val="center"/>
            </w:pPr>
            <w:r/>
            <w:r>
              <w:rPr>
                <w:rFonts w:ascii="Times New Roman" w:hAnsi="Times New Roman" w:cs="Times New Roman" w:eastAsia="Times New Roman"/>
                <w:sz w:val="20"/>
              </w:rPr>
              <w:t>100.0 %</w:t>
            </w:r>
          </w:p>
        </w:tc>
      </w:tr>
      <w:tr>
        <w:trPr>
          <w:cantSplit/>
        </w:trPr>
        <w:tc>
          <w:tcPr>
            <w:tcW w:type="dxa" w:w="5143"/>
          </w:tcPr>
          <w:p>
            <w:pPr>
              <w:spacing w:line="240" w:lineRule="auto" w:after="40"/>
              <w:jc w:val="left"/>
            </w:pPr>
            <w:r/>
            <w:r>
              <w:rPr>
                <w:rFonts w:ascii="Times New Roman" w:hAnsi="Times New Roman" w:cs="Times New Roman" w:eastAsia="Times New Roman"/>
                <w:sz w:val="20"/>
              </w:rPr>
              <w:t>Words per note (mean)</w:t>
            </w:r>
          </w:p>
        </w:tc>
        <w:tc>
          <w:tcPr>
            <w:tcW w:type="dxa" w:w="3857"/>
          </w:tcPr>
          <w:p>
            <w:pPr>
              <w:spacing w:line="240" w:lineRule="auto" w:after="40"/>
              <w:jc w:val="center"/>
            </w:pPr>
            <w:r/>
            <w:r>
              <w:rPr>
                <w:rFonts w:ascii="Times New Roman" w:hAnsi="Times New Roman" w:cs="Times New Roman" w:eastAsia="Times New Roman"/>
                <w:sz w:val="20"/>
              </w:rPr>
              <w:t>311</w:t>
            </w:r>
          </w:p>
        </w:tc>
      </w:tr>
    </w:tbl>
    <w:p>
      <w:pPr>
        <w:spacing w:after="120" w:line="240" w:lineRule="auto"/>
      </w:pPr>
    </w:p>
    <w:p>
      <w:r>
        <w:rPr>
          <w:rFonts w:ascii="Times New Roman" w:hAnsi="Times New Roman" w:cs="Times New Roman" w:eastAsia="Times New Roman"/>
        </w:rPr>
        <w:t>Citation discipline is perfect on these six notes: no citation points to a non-existent item and every evidence item is cited. The weaker figure is numeric grounding: 84.3 % of the numbers in the text appear in the evidence. The remainder are plausibly derived figures (for example a total of two evidence amounts, a rounded percentage or a month count) that a simple string match cannot confirm; the notes were not audited number by number, so these are unverified rather than known to be wrong. The same case written several times gives different notes (temperature 0.2 is not zero): the stored notes for Lotus Manufacturing across four separate generations during this project had numeric grounding between 0.87 and 0.90 with 13 to 14 citations each. The checks measure grounding, not correctness of the investigative advice; no human judged the notes.</w:t>
      </w:r>
    </w:p>
    <w:p>
      <w:pPr>
        <w:pStyle w:val="Heading2"/>
      </w:pPr>
      <w:r>
        <w:t>8.4 Sample Inputs and Outputs</w:t>
      </w:r>
    </w:p>
    <w:p>
      <w:r>
        <w:rPr>
          <w:rFonts w:ascii="Times New Roman" w:hAnsi="Times New Roman" w:cs="Times New Roman" w:eastAsia="Times New Roman"/>
          <w:b/>
        </w:rPr>
        <w:t>Input.</w:t>
      </w:r>
      <w:r>
        <w:rPr>
          <w:rFonts w:ascii="Times New Roman" w:hAnsi="Times New Roman" w:cs="Times New Roman" w:eastAsia="Times New Roman"/>
        </w:rPr>
        <w:t xml:space="preserve"> A generation request </w:t>
      </w:r>
      <w:r>
        <w:rPr>
          <w:rFonts w:ascii="Consolas" w:hAnsi="Consolas" w:cs="Consolas" w:eastAsia="Consolas"/>
          <w:sz w:val="21"/>
        </w:rPr>
        <w:t>POST /api/pipeline/run</w:t>
      </w:r>
      <w:r>
        <w:rPr>
          <w:rFonts w:ascii="Times New Roman" w:hAnsi="Times New Roman" w:cs="Times New Roman" w:eastAsia="Times New Roman"/>
        </w:rPr>
        <w:t xml:space="preserve"> with </w:t>
      </w:r>
      <w:r>
        <w:rPr>
          <w:rFonts w:ascii="Consolas" w:hAnsi="Consolas" w:cs="Consolas" w:eastAsia="Consolas"/>
          <w:sz w:val="21"/>
        </w:rPr>
        <w:t>{"seed": 42, "taxpayers": 600}</w:t>
      </w:r>
      <w:r>
        <w:rPr>
          <w:rFonts w:ascii="Times New Roman" w:hAnsi="Times New Roman" w:cs="Times New Roman" w:eastAsia="Times New Roman"/>
        </w:rPr>
        <w:t xml:space="preserve">, then </w:t>
      </w:r>
      <w:r>
        <w:rPr>
          <w:rFonts w:ascii="Consolas" w:hAnsi="Consolas" w:cs="Consolas" w:eastAsia="Consolas"/>
          <w:sz w:val="21"/>
        </w:rPr>
        <w:t>GET /api/taxpayers/36ROJCS8039W1ZU</w:t>
      </w:r>
      <w:r>
        <w:rPr>
          <w:rFonts w:ascii="Times New Roman" w:hAnsi="Times New Roman" w:cs="Times New Roman" w:eastAsia="Times New Roman"/>
        </w:rPr>
        <w:t xml:space="preserve"> for the top-ranked taxpayer.</w:t>
      </w:r>
    </w:p>
    <w:p>
      <w:pPr>
        <w:spacing w:line="240" w:lineRule="auto" w:after="0"/>
        <w:ind w:left="216"/>
        <w:jc w:val="left"/>
        <w:shd w:val="clear" w:color="auto" w:fill="F1F5F9"/>
      </w:pPr>
      <w:r>
        <w:rPr>
          <w:rFonts w:ascii="Consolas" w:hAnsi="Consolas" w:cs="Consolas" w:eastAsia="Consolas"/>
          <w:sz w:val="17"/>
        </w:rPr>
        <w:t>{ "gstin": "36ROJCS8039W1ZU", "legal_name": "Lotus Manufacturing Pvt Ltd", "sector": "manufacturer", "state": "Telangana",</w:t>
      </w:r>
    </w:p>
    <w:p>
      <w:pPr>
        <w:spacing w:line="240" w:lineRule="auto" w:after="0"/>
        <w:ind w:left="216"/>
        <w:jc w:val="left"/>
        <w:shd w:val="clear" w:color="auto" w:fill="F1F5F9"/>
      </w:pPr>
      <w:r>
        <w:rPr>
          <w:rFonts w:ascii="Consolas" w:hAnsi="Consolas" w:cs="Consolas" w:eastAsia="Consolas"/>
          <w:sz w:val="17"/>
        </w:rPr>
        <w:t xml:space="preserve">  "risk": 0.9651, "rank": 1, "flagged": true, "patterns": ["circular_trading"],</w:t>
      </w:r>
    </w:p>
    <w:p>
      <w:pPr>
        <w:spacing w:line="240" w:lineRule="auto" w:after="0"/>
        <w:ind w:left="216"/>
        <w:jc w:val="left"/>
        <w:shd w:val="clear" w:color="auto" w:fill="F1F5F9"/>
      </w:pPr>
      <w:r>
        <w:rPr>
          <w:rFonts w:ascii="Consolas" w:hAnsi="Consolas" w:cs="Consolas" w:eastAsia="Consolas"/>
          <w:sz w:val="17"/>
        </w:rPr>
        <w:t xml:space="preserve">  "jepa": 0.9283, "behaviour": 0.6051, "network": 0.784, "invoice": 1.0,</w:t>
      </w:r>
    </w:p>
    <w:p>
      <w:pPr>
        <w:spacing w:line="240" w:lineRule="auto" w:after="0"/>
        <w:ind w:left="216"/>
        <w:jc w:val="left"/>
        <w:shd w:val="clear" w:color="auto" w:fill="F1F5F9"/>
      </w:pPr>
      <w:r>
        <w:rPr>
          <w:rFonts w:ascii="Consolas" w:hAnsi="Consolas" w:cs="Consolas" w:eastAsia="Consolas"/>
          <w:sz w:val="17"/>
        </w:rPr>
        <w:t xml:space="preserve">  "itc_at_risk": 16083140, "rules": ["R4"], "rings": ["R01"] }</w:t>
      </w:r>
    </w:p>
    <w:p>
      <w:pPr>
        <w:spacing w:after="80" w:line="240" w:lineRule="auto"/>
      </w:pPr>
    </w:p>
    <w:p>
      <w:r>
        <w:rPr>
          <w:rFonts w:ascii="Times New Roman" w:hAnsi="Times New Roman" w:cs="Times New Roman" w:eastAsia="Times New Roman"/>
          <w:b/>
        </w:rPr>
        <w:t>Output 1: the evidence list</w:t>
      </w:r>
      <w:r>
        <w:rPr>
          <w:rFonts w:ascii="Times New Roman" w:hAnsi="Times New Roman" w:cs="Times New Roman" w:eastAsia="Times New Roman"/>
        </w:rPr>
        <w:t xml:space="preserve"> built by the pipeline for this taxpayer (Table 7); the full detail text of each item carries the figures quoted in the case note.</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7</w:t>
      </w:r>
      <w:r>
        <w:rPr>
          <w:rFonts w:ascii="Times New Roman" w:hAnsi="Times New Roman" w:cs="Times New Roman" w:eastAsia="Times New Roman"/>
          <w:b/>
        </w:rPr>
        <w:fldChar w:fldCharType="end"/>
      </w:r>
      <w:r>
        <w:rPr>
          <w:rFonts w:ascii="Times New Roman" w:hAnsi="Times New Roman" w:cs="Times New Roman" w:eastAsia="Times New Roman"/>
          <w:b/>
          <w:sz w:val="22"/>
        </w:rPr>
        <w:t>: Evidence list for Lotus Manufacturing Pvt Ltd</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643"/>
            <w:shd w:val="clear" w:color="auto" w:fill="DCFCE7"/>
          </w:tcPr>
          <w:p>
            <w:pPr>
              <w:keepNext/>
              <w:spacing w:line="240" w:lineRule="auto" w:after="40"/>
              <w:jc w:val="center"/>
            </w:pPr>
            <w:r/>
            <w:r>
              <w:rPr>
                <w:rFonts w:ascii="Times New Roman" w:hAnsi="Times New Roman" w:cs="Times New Roman" w:eastAsia="Times New Roman"/>
                <w:b/>
                <w:sz w:val="20"/>
              </w:rPr>
              <w:t>ID</w:t>
            </w:r>
          </w:p>
        </w:tc>
        <w:tc>
          <w:tcPr>
            <w:tcW w:type="dxa" w:w="1543"/>
            <w:shd w:val="clear" w:color="auto" w:fill="DCFCE7"/>
          </w:tcPr>
          <w:p>
            <w:pPr>
              <w:keepNext/>
              <w:spacing w:line="240" w:lineRule="auto" w:after="40"/>
              <w:jc w:val="center"/>
            </w:pPr>
            <w:r/>
            <w:r>
              <w:rPr>
                <w:rFonts w:ascii="Times New Roman" w:hAnsi="Times New Roman" w:cs="Times New Roman" w:eastAsia="Times New Roman"/>
                <w:b/>
                <w:sz w:val="20"/>
              </w:rPr>
              <w:t>Layer</w:t>
            </w:r>
          </w:p>
        </w:tc>
        <w:tc>
          <w:tcPr>
            <w:tcW w:type="dxa" w:w="1286"/>
            <w:shd w:val="clear" w:color="auto" w:fill="DCFCE7"/>
          </w:tcPr>
          <w:p>
            <w:pPr>
              <w:keepNext/>
              <w:spacing w:line="240" w:lineRule="auto" w:after="40"/>
              <w:jc w:val="center"/>
            </w:pPr>
            <w:r/>
            <w:r>
              <w:rPr>
                <w:rFonts w:ascii="Times New Roman" w:hAnsi="Times New Roman" w:cs="Times New Roman" w:eastAsia="Times New Roman"/>
                <w:b/>
                <w:sz w:val="20"/>
              </w:rPr>
              <w:t>Severity</w:t>
            </w:r>
          </w:p>
        </w:tc>
        <w:tc>
          <w:tcPr>
            <w:tcW w:type="dxa" w:w="5529"/>
            <w:shd w:val="clear" w:color="auto" w:fill="DCFCE7"/>
          </w:tcPr>
          <w:p>
            <w:pPr>
              <w:keepNext/>
              <w:spacing w:line="240" w:lineRule="auto" w:after="40"/>
              <w:jc w:val="center"/>
            </w:pPr>
            <w:r/>
            <w:r>
              <w:rPr>
                <w:rFonts w:ascii="Times New Roman" w:hAnsi="Times New Roman" w:cs="Times New Roman" w:eastAsia="Times New Roman"/>
                <w:b/>
                <w:sz w:val="20"/>
              </w:rPr>
              <w:t>Title</w:t>
            </w:r>
          </w:p>
        </w:tc>
      </w:tr>
      <w:tr>
        <w:trPr>
          <w:cantSplit/>
        </w:trPr>
        <w:tc>
          <w:tcPr>
            <w:tcW w:type="dxa" w:w="643"/>
          </w:tcPr>
          <w:p>
            <w:pPr>
              <w:keepNext/>
              <w:spacing w:line="240" w:lineRule="auto" w:after="40"/>
              <w:jc w:val="left"/>
            </w:pPr>
            <w:r/>
            <w:r>
              <w:rPr>
                <w:rFonts w:ascii="Times New Roman" w:hAnsi="Times New Roman" w:cs="Times New Roman" w:eastAsia="Times New Roman"/>
                <w:sz w:val="20"/>
              </w:rPr>
              <w:t>E1</w:t>
            </w:r>
          </w:p>
        </w:tc>
        <w:tc>
          <w:tcPr>
            <w:tcW w:type="dxa" w:w="1543"/>
          </w:tcPr>
          <w:p>
            <w:pPr>
              <w:keepNext/>
              <w:spacing w:line="240" w:lineRule="auto" w:after="40"/>
              <w:jc w:val="left"/>
            </w:pPr>
            <w:r/>
            <w:r>
              <w:rPr>
                <w:rFonts w:ascii="Times New Roman" w:hAnsi="Times New Roman" w:cs="Times New Roman" w:eastAsia="Times New Roman"/>
                <w:sz w:val="20"/>
              </w:rPr>
              <w:t>model</w:t>
            </w:r>
          </w:p>
        </w:tc>
        <w:tc>
          <w:tcPr>
            <w:tcW w:type="dxa" w:w="1286"/>
          </w:tcPr>
          <w:p>
            <w:pPr>
              <w:keepNext/>
              <w:spacing w:line="240" w:lineRule="auto" w:after="40"/>
              <w:jc w:val="left"/>
            </w:pPr>
            <w:r/>
            <w:r>
              <w:rPr>
                <w:rFonts w:ascii="Times New Roman" w:hAnsi="Times New Roman" w:cs="Times New Roman" w:eastAsia="Times New Roman"/>
                <w:sz w:val="20"/>
              </w:rPr>
              <w:t>high</w:t>
            </w:r>
          </w:p>
        </w:tc>
        <w:tc>
          <w:tcPr>
            <w:tcW w:type="dxa" w:w="5529"/>
          </w:tcPr>
          <w:p>
            <w:pPr>
              <w:keepNext/>
              <w:spacing w:line="240" w:lineRule="auto" w:after="40"/>
              <w:jc w:val="left"/>
            </w:pPr>
            <w:r/>
            <w:r>
              <w:rPr>
                <w:rFonts w:ascii="Times New Roman" w:hAnsi="Times New Roman" w:cs="Times New Roman" w:eastAsia="Times New Roman"/>
                <w:sz w:val="20"/>
              </w:rPr>
              <w:t>Deviates from learned normal behaviour</w:t>
            </w:r>
          </w:p>
        </w:tc>
      </w:tr>
      <w:tr>
        <w:trPr>
          <w:cantSplit/>
        </w:trPr>
        <w:tc>
          <w:tcPr>
            <w:tcW w:type="dxa" w:w="643"/>
          </w:tcPr>
          <w:p>
            <w:pPr>
              <w:spacing w:line="240" w:lineRule="auto" w:after="40"/>
              <w:jc w:val="left"/>
            </w:pPr>
            <w:r/>
            <w:r>
              <w:rPr>
                <w:rFonts w:ascii="Times New Roman" w:hAnsi="Times New Roman" w:cs="Times New Roman" w:eastAsia="Times New Roman"/>
                <w:sz w:val="20"/>
              </w:rPr>
              <w:t>E2</w:t>
            </w:r>
          </w:p>
        </w:tc>
        <w:tc>
          <w:tcPr>
            <w:tcW w:type="dxa" w:w="1543"/>
          </w:tcPr>
          <w:p>
            <w:pPr>
              <w:spacing w:line="240" w:lineRule="auto" w:after="40"/>
              <w:jc w:val="left"/>
            </w:pPr>
            <w:r/>
            <w:r>
              <w:rPr>
                <w:rFonts w:ascii="Times New Roman" w:hAnsi="Times New Roman" w:cs="Times New Roman" w:eastAsia="Times New Roman"/>
                <w:sz w:val="20"/>
              </w:rPr>
              <w:t>invoice</w:t>
            </w:r>
          </w:p>
        </w:tc>
        <w:tc>
          <w:tcPr>
            <w:tcW w:type="dxa" w:w="1286"/>
          </w:tcPr>
          <w:p>
            <w:pPr>
              <w:spacing w:line="240" w:lineRule="auto" w:after="40"/>
              <w:jc w:val="left"/>
            </w:pPr>
            <w:r/>
            <w:r>
              <w:rPr>
                <w:rFonts w:ascii="Times New Roman" w:hAnsi="Times New Roman" w:cs="Times New Roman" w:eastAsia="Times New Roman"/>
                <w:sz w:val="20"/>
              </w:rPr>
              <w:t>high</w:t>
            </w:r>
          </w:p>
        </w:tc>
        <w:tc>
          <w:tcPr>
            <w:tcW w:type="dxa" w:w="5529"/>
          </w:tcPr>
          <w:p>
            <w:pPr>
              <w:spacing w:line="240" w:lineRule="auto" w:after="40"/>
              <w:jc w:val="left"/>
            </w:pPr>
            <w:r/>
            <w:r>
              <w:rPr>
                <w:rFonts w:ascii="Times New Roman" w:hAnsi="Times New Roman" w:cs="Times New Roman" w:eastAsia="Times New Roman"/>
                <w:sz w:val="20"/>
              </w:rPr>
              <w:t>Suspicious purchase invoices</w:t>
            </w:r>
          </w:p>
        </w:tc>
      </w:tr>
      <w:tr>
        <w:trPr>
          <w:cantSplit/>
        </w:trPr>
        <w:tc>
          <w:tcPr>
            <w:tcW w:type="dxa" w:w="643"/>
          </w:tcPr>
          <w:p>
            <w:pPr>
              <w:spacing w:line="240" w:lineRule="auto" w:after="40"/>
              <w:jc w:val="left"/>
            </w:pPr>
            <w:r/>
            <w:r>
              <w:rPr>
                <w:rFonts w:ascii="Times New Roman" w:hAnsi="Times New Roman" w:cs="Times New Roman" w:eastAsia="Times New Roman"/>
                <w:sz w:val="20"/>
              </w:rPr>
              <w:t>E3</w:t>
            </w:r>
          </w:p>
        </w:tc>
        <w:tc>
          <w:tcPr>
            <w:tcW w:type="dxa" w:w="1543"/>
          </w:tcPr>
          <w:p>
            <w:pPr>
              <w:spacing w:line="240" w:lineRule="auto" w:after="40"/>
              <w:jc w:val="left"/>
            </w:pPr>
            <w:r/>
            <w:r>
              <w:rPr>
                <w:rFonts w:ascii="Times New Roman" w:hAnsi="Times New Roman" w:cs="Times New Roman" w:eastAsia="Times New Roman"/>
                <w:sz w:val="20"/>
              </w:rPr>
              <w:t>invoice</w:t>
            </w:r>
          </w:p>
        </w:tc>
        <w:tc>
          <w:tcPr>
            <w:tcW w:type="dxa" w:w="1286"/>
          </w:tcPr>
          <w:p>
            <w:pPr>
              <w:spacing w:line="240" w:lineRule="auto" w:after="40"/>
              <w:jc w:val="left"/>
            </w:pPr>
            <w:r/>
            <w:r>
              <w:rPr>
                <w:rFonts w:ascii="Times New Roman" w:hAnsi="Times New Roman" w:cs="Times New Roman" w:eastAsia="Times New Roman"/>
                <w:sz w:val="20"/>
              </w:rPr>
              <w:t>high</w:t>
            </w:r>
          </w:p>
        </w:tc>
        <w:tc>
          <w:tcPr>
            <w:tcW w:type="dxa" w:w="5529"/>
          </w:tcPr>
          <w:p>
            <w:pPr>
              <w:spacing w:line="240" w:lineRule="auto" w:after="40"/>
              <w:jc w:val="left"/>
            </w:pPr>
            <w:r/>
            <w:r>
              <w:rPr>
                <w:rFonts w:ascii="Times New Roman" w:hAnsi="Times New Roman" w:cs="Times New Roman" w:eastAsia="Times New Roman"/>
                <w:sz w:val="20"/>
              </w:rPr>
              <w:t>Suspicious sales invoices issued</w:t>
            </w:r>
          </w:p>
        </w:tc>
      </w:tr>
      <w:tr>
        <w:trPr>
          <w:cantSplit/>
        </w:trPr>
        <w:tc>
          <w:tcPr>
            <w:tcW w:type="dxa" w:w="643"/>
          </w:tcPr>
          <w:p>
            <w:pPr>
              <w:spacing w:line="240" w:lineRule="auto" w:after="40"/>
              <w:jc w:val="left"/>
            </w:pPr>
            <w:r/>
            <w:r>
              <w:rPr>
                <w:rFonts w:ascii="Times New Roman" w:hAnsi="Times New Roman" w:cs="Times New Roman" w:eastAsia="Times New Roman"/>
                <w:sz w:val="20"/>
              </w:rPr>
              <w:t>E4</w:t>
            </w:r>
          </w:p>
        </w:tc>
        <w:tc>
          <w:tcPr>
            <w:tcW w:type="dxa" w:w="1543"/>
          </w:tcPr>
          <w:p>
            <w:pPr>
              <w:spacing w:line="240" w:lineRule="auto" w:after="40"/>
              <w:jc w:val="left"/>
            </w:pPr>
            <w:r/>
            <w:r>
              <w:rPr>
                <w:rFonts w:ascii="Times New Roman" w:hAnsi="Times New Roman" w:cs="Times New Roman" w:eastAsia="Times New Roman"/>
                <w:sz w:val="20"/>
              </w:rPr>
              <w:t>network</w:t>
            </w:r>
          </w:p>
        </w:tc>
        <w:tc>
          <w:tcPr>
            <w:tcW w:type="dxa" w:w="1286"/>
          </w:tcPr>
          <w:p>
            <w:pPr>
              <w:spacing w:line="240" w:lineRule="auto" w:after="40"/>
              <w:jc w:val="left"/>
            </w:pPr>
            <w:r/>
            <w:r>
              <w:rPr>
                <w:rFonts w:ascii="Times New Roman" w:hAnsi="Times New Roman" w:cs="Times New Roman" w:eastAsia="Times New Roman"/>
                <w:sz w:val="20"/>
              </w:rPr>
              <w:t>high</w:t>
            </w:r>
          </w:p>
        </w:tc>
        <w:tc>
          <w:tcPr>
            <w:tcW w:type="dxa" w:w="5529"/>
          </w:tcPr>
          <w:p>
            <w:pPr>
              <w:spacing w:line="240" w:lineRule="auto" w:after="40"/>
              <w:jc w:val="left"/>
            </w:pPr>
            <w:r/>
            <w:r>
              <w:rPr>
                <w:rFonts w:ascii="Times New Roman" w:hAnsi="Times New Roman" w:cs="Times New Roman" w:eastAsia="Times New Roman"/>
                <w:sz w:val="20"/>
              </w:rPr>
              <w:t>Member of circular-trading ring R01</w:t>
            </w:r>
          </w:p>
        </w:tc>
      </w:tr>
      <w:tr>
        <w:trPr>
          <w:cantSplit/>
        </w:trPr>
        <w:tc>
          <w:tcPr>
            <w:tcW w:type="dxa" w:w="643"/>
          </w:tcPr>
          <w:p>
            <w:pPr>
              <w:spacing w:line="240" w:lineRule="auto" w:after="40"/>
              <w:jc w:val="left"/>
            </w:pPr>
            <w:r/>
            <w:r>
              <w:rPr>
                <w:rFonts w:ascii="Times New Roman" w:hAnsi="Times New Roman" w:cs="Times New Roman" w:eastAsia="Times New Roman"/>
                <w:sz w:val="20"/>
              </w:rPr>
              <w:t>E5</w:t>
            </w:r>
          </w:p>
        </w:tc>
        <w:tc>
          <w:tcPr>
            <w:tcW w:type="dxa" w:w="1543"/>
          </w:tcPr>
          <w:p>
            <w:pPr>
              <w:spacing w:line="240" w:lineRule="auto" w:after="40"/>
              <w:jc w:val="left"/>
            </w:pPr>
            <w:r/>
            <w:r>
              <w:rPr>
                <w:rFonts w:ascii="Times New Roman" w:hAnsi="Times New Roman" w:cs="Times New Roman" w:eastAsia="Times New Roman"/>
                <w:sz w:val="20"/>
              </w:rPr>
              <w:t>behaviour</w:t>
            </w:r>
          </w:p>
        </w:tc>
        <w:tc>
          <w:tcPr>
            <w:tcW w:type="dxa" w:w="1286"/>
          </w:tcPr>
          <w:p>
            <w:pPr>
              <w:spacing w:line="240" w:lineRule="auto" w:after="40"/>
              <w:jc w:val="left"/>
            </w:pPr>
            <w:r/>
            <w:r>
              <w:rPr>
                <w:rFonts w:ascii="Times New Roman" w:hAnsi="Times New Roman" w:cs="Times New Roman" w:eastAsia="Times New Roman"/>
                <w:sz w:val="20"/>
              </w:rPr>
              <w:t>medium</w:t>
            </w:r>
          </w:p>
        </w:tc>
        <w:tc>
          <w:tcPr>
            <w:tcW w:type="dxa" w:w="5529"/>
          </w:tcPr>
          <w:p>
            <w:pPr>
              <w:spacing w:line="240" w:lineRule="auto" w:after="40"/>
              <w:jc w:val="left"/>
            </w:pPr>
            <w:r/>
            <w:r>
              <w:rPr>
                <w:rFonts w:ascii="Times New Roman" w:hAnsi="Times New Roman" w:cs="Times New Roman" w:eastAsia="Times New Roman"/>
                <w:sz w:val="20"/>
              </w:rPr>
              <w:t>Almost no tax paid in cash</w:t>
            </w:r>
          </w:p>
        </w:tc>
      </w:tr>
    </w:tbl>
    <w:p>
      <w:pPr>
        <w:spacing w:after="120" w:line="240" w:lineRule="auto"/>
      </w:pPr>
    </w:p>
    <w:p>
      <w:r>
        <w:rPr>
          <w:rFonts w:ascii="Times New Roman" w:hAnsi="Times New Roman" w:cs="Times New Roman" w:eastAsia="Times New Roman"/>
          <w:b/>
        </w:rPr>
        <w:t>Output 2: the case note</w:t>
      </w:r>
      <w:r>
        <w:rPr>
          <w:rFonts w:ascii="Times New Roman" w:hAnsi="Times New Roman" w:cs="Times New Roman" w:eastAsia="Times New Roman"/>
        </w:rPr>
        <w:t xml:space="preserve"> written by Gemini from that evidence (model gemini-3.5-flash-lite), with its automatic quality check: 14 citations, 0 invalid, evidence coverage 100%, high-severity coverage 100%, numeric grounding 88.5% (23 of 26 numbers), 290 words.</w:t>
      </w:r>
    </w:p>
    <w:p>
      <w:pPr>
        <w:spacing w:line="240" w:lineRule="auto" w:after="0"/>
        <w:ind w:left="216"/>
        <w:jc w:val="left"/>
        <w:shd w:val="clear" w:color="auto" w:fill="F1F5F9"/>
      </w:pPr>
      <w:r>
        <w:rPr>
          <w:rFonts w:ascii="Consolas" w:hAnsi="Consolas" w:cs="Consolas" w:eastAsia="Consolas"/>
          <w:sz w:val="17"/>
        </w:rPr>
        <w:t>## Summary</w:t>
      </w:r>
    </w:p>
    <w:p>
      <w:pPr>
        <w:spacing w:line="240" w:lineRule="auto" w:after="0"/>
        <w:ind w:left="216"/>
        <w:jc w:val="left"/>
        <w:shd w:val="clear" w:color="auto" w:fill="F1F5F9"/>
      </w:pPr>
      <w:r>
        <w:rPr>
          <w:rFonts w:ascii="Consolas" w:hAnsi="Consolas" w:cs="Consolas" w:eastAsia="Consolas"/>
          <w:sz w:val="17"/>
        </w:rPr>
        <w:t>Lotus Manufacturing Pvt Ltd (GSTIN: 36ROJCS8039W1ZU) registered in Telangana as a private limited manufacturer, has been flagged with an overall risk score of 0.9651 [E1]. The taxpayer exhibits high-risk indicators pointing toward circular trading, involving massive anomalous invoice values and heavy reliance on ITC for tax liability offset [E2][E4][E5].</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Why it was flagged</w:t>
      </w:r>
    </w:p>
    <w:p>
      <w:pPr>
        <w:spacing w:line="240" w:lineRule="auto" w:after="0"/>
        <w:ind w:left="216"/>
        <w:jc w:val="left"/>
        <w:shd w:val="clear" w:color="auto" w:fill="F1F5F9"/>
      </w:pPr>
      <w:r>
        <w:rPr>
          <w:rFonts w:ascii="Consolas" w:hAnsi="Consolas" w:cs="Consolas" w:eastAsia="Consolas"/>
          <w:sz w:val="17"/>
        </w:rPr>
        <w:t>- **Circular-Trading Ring Membership:** The entity is identified as part of circular-trading ring R01 (Maa Industries LLP to Surya Enterprises to Lotus Manufacturing Pvt Ltd to Krishna Traders to Royal Textiles Pvt Ltd and back), moving Rs 44.65 Cr across 9 common months with edge values within 13% of each other [E4].</w:t>
      </w:r>
    </w:p>
    <w:p>
      <w:pPr>
        <w:spacing w:line="240" w:lineRule="auto" w:after="0"/>
        <w:ind w:left="216"/>
        <w:jc w:val="left"/>
        <w:shd w:val="clear" w:color="auto" w:fill="F1F5F9"/>
      </w:pPr>
      <w:r>
        <w:rPr>
          <w:rFonts w:ascii="Consolas" w:hAnsi="Consolas" w:cs="Consolas" w:eastAsia="Consolas"/>
          <w:sz w:val="17"/>
        </w:rPr>
        <w:t>- **Anomalous Purchase Invoices:** 11 purchase invoices worth Rs 8.94 Cr carry Rs 1.61 Cr of ITC, flagged for being part of the circular-trading loop, exceeding supplier norms, and originating chiefly from Surya Enterprises [E2].</w:t>
      </w:r>
    </w:p>
    <w:p>
      <w:pPr>
        <w:spacing w:line="240" w:lineRule="auto" w:after="0"/>
        <w:ind w:left="216"/>
        <w:jc w:val="left"/>
        <w:shd w:val="clear" w:color="auto" w:fill="F1F5F9"/>
      </w:pPr>
      <w:r>
        <w:rPr>
          <w:rFonts w:ascii="Consolas" w:hAnsi="Consolas" w:cs="Consolas" w:eastAsia="Consolas"/>
          <w:sz w:val="17"/>
        </w:rPr>
        <w:t>- **Anomalous Sales Invoices:** Issued 12 anomalous sales invoices worth Rs 9.15 Cr, passing Rs 1.65 Cr of ITC to a single buyer [E3].</w:t>
      </w:r>
    </w:p>
    <w:p>
      <w:pPr>
        <w:spacing w:line="240" w:lineRule="auto" w:after="0"/>
        <w:ind w:left="216"/>
        <w:jc w:val="left"/>
        <w:shd w:val="clear" w:color="auto" w:fill="F1F5F9"/>
      </w:pPr>
      <w:r>
        <w:rPr>
          <w:rFonts w:ascii="Consolas" w:hAnsi="Consolas" w:cs="Consolas" w:eastAsia="Consolas"/>
          <w:sz w:val="17"/>
        </w:rPr>
        <w:t>- **Behavioral Deviation:** The JEPA behavior encoder shows a Mar 2026 prediction error 25.0x a typical taxpayer-month, featuring sharp drops in ITC claimed (Rs 1.29 L vs. usual Rs 18.08 L) and outward turnover (Rs 23.32 L vs. usual Rs 1.16 Cr) [E1].</w:t>
      </w:r>
    </w:p>
    <w:p>
      <w:pPr>
        <w:spacing w:line="240" w:lineRule="auto" w:after="0"/>
        <w:ind w:left="216"/>
        <w:jc w:val="left"/>
        <w:shd w:val="clear" w:color="auto" w:fill="F1F5F9"/>
      </w:pPr>
      <w:r>
        <w:rPr>
          <w:rFonts w:ascii="Consolas" w:hAnsi="Consolas" w:cs="Consolas" w:eastAsia="Consolas"/>
          <w:sz w:val="17"/>
        </w:rPr>
        <w:t>- **Low Cash Tax Payment:** Paid only 16.6% of its Rs 2.03 Cr output tax in cash, well below the manufacturer median of 57%, offsetting the remainder via ITC [E5].</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Suggested next steps</w:t>
      </w:r>
    </w:p>
    <w:p>
      <w:pPr>
        <w:spacing w:line="240" w:lineRule="auto" w:after="0"/>
        <w:ind w:left="216"/>
        <w:jc w:val="left"/>
        <w:shd w:val="clear" w:color="auto" w:fill="F1F5F9"/>
      </w:pPr>
      <w:r>
        <w:rPr>
          <w:rFonts w:ascii="Consolas" w:hAnsi="Consolas" w:cs="Consolas" w:eastAsia="Consolas"/>
          <w:sz w:val="17"/>
        </w:rPr>
        <w:t>- Reconcile GSTR-2B with the 11 anomalous purchase invoices totaling Rs 8.94 Cr from Surya Enterprises [E2].</w:t>
      </w:r>
    </w:p>
    <w:p>
      <w:pPr>
        <w:spacing w:line="240" w:lineRule="auto" w:after="0"/>
        <w:ind w:left="216"/>
        <w:jc w:val="left"/>
        <w:shd w:val="clear" w:color="auto" w:fill="F1F5F9"/>
      </w:pPr>
      <w:r>
        <w:rPr>
          <w:rFonts w:ascii="Consolas" w:hAnsi="Consolas" w:cs="Consolas" w:eastAsia="Consolas"/>
          <w:sz w:val="17"/>
        </w:rPr>
        <w:t>- Verify the physical existence and business operations of all entities in circular-trading ring R01, particularly Surya Enterprises [E2][E4].</w:t>
      </w:r>
    </w:p>
    <w:p>
      <w:pPr>
        <w:spacing w:line="240" w:lineRule="auto" w:after="0"/>
        <w:ind w:left="216"/>
        <w:jc w:val="left"/>
        <w:shd w:val="clear" w:color="auto" w:fill="F1F5F9"/>
      </w:pPr>
      <w:r>
        <w:rPr>
          <w:rFonts w:ascii="Consolas" w:hAnsi="Consolas" w:cs="Consolas" w:eastAsia="Consolas"/>
          <w:sz w:val="17"/>
        </w:rPr>
        <w:t>- Inspect e-way bills and underlying goods movement for the Rs 44.65 Cr ring transactions and the 12 anomalous sales invoices [E3][E4].</w:t>
      </w:r>
    </w:p>
    <w:p>
      <w:pPr>
        <w:spacing w:after="80" w:line="240" w:lineRule="auto"/>
      </w:pPr>
    </w:p>
    <w:p>
      <w:pPr>
        <w:pStyle w:val="Heading2"/>
      </w:pPr>
      <w:r>
        <w:t>8.5 Success and Failure Analysis</w:t>
      </w:r>
    </w:p>
    <w:p>
      <w:pPr>
        <w:pStyle w:val="Heading3"/>
      </w:pPr>
      <w:r>
        <w:t>Where the system succeeds</w:t>
      </w:r>
    </w:p>
    <w:p>
      <w:pPr>
        <w:pStyle w:val="ListBullet"/>
      </w:pPr>
      <w:r>
        <w:rPr>
          <w:rFonts w:ascii="Times New Roman" w:hAnsi="Times New Roman" w:cs="Times New Roman" w:eastAsia="Times New Roman"/>
          <w:b/>
        </w:rPr>
        <w:t>The top of the ranking is clean.</w:t>
      </w:r>
      <w:r>
        <w:rPr>
          <w:rFonts w:ascii="Times New Roman" w:hAnsi="Times New Roman" w:cs="Times New Roman" w:eastAsia="Times New Roman"/>
        </w:rPr>
        <w:t xml:space="preserve"> The first 50 taxpayers contain no false alarm; the top 10 chains are all majority-fraud (precision 1.00).</w:t>
      </w:r>
    </w:p>
    <w:p>
      <w:pPr>
        <w:pStyle w:val="ListBullet"/>
      </w:pPr>
      <w:r>
        <w:rPr>
          <w:rFonts w:ascii="Times New Roman" w:hAnsi="Times New Roman" w:cs="Times New Roman" w:eastAsia="Times New Roman"/>
          <w:b/>
        </w:rPr>
        <w:t>Circular trading is found completely:</w:t>
      </w:r>
      <w:r>
        <w:rPr>
          <w:rFonts w:ascii="Times New Roman" w:hAnsi="Times New Roman" w:cs="Times New Roman" w:eastAsia="Times New Roman"/>
        </w:rPr>
        <w:t xml:space="preserve"> recall 1.00 and all 5 injected rings recovered, against 0.86 for the rule baseline. The loop is drawn and cited, so the finding is checkable.</w:t>
      </w:r>
    </w:p>
    <w:p>
      <w:pPr>
        <w:pStyle w:val="ListBullet"/>
      </w:pPr>
      <w:r>
        <w:rPr>
          <w:rFonts w:ascii="Times New Roman" w:hAnsi="Times New Roman" w:cs="Times New Roman" w:eastAsia="Times New Roman"/>
          <w:b/>
        </w:rPr>
        <w:t>Shell clusters are found with the help of the network layer:</w:t>
      </w:r>
      <w:r>
        <w:rPr>
          <w:rFonts w:ascii="Times New Roman" w:hAnsi="Times New Roman" w:cs="Times New Roman" w:eastAsia="Times New Roman"/>
        </w:rPr>
        <w:t xml:space="preserve"> shell-entity recall 1.00, although the JEPA alone finds only about one in five of the flagged shell firms.</w:t>
      </w:r>
    </w:p>
    <w:p>
      <w:pPr>
        <w:pStyle w:val="ListBullet"/>
      </w:pPr>
      <w:r>
        <w:rPr>
          <w:rFonts w:ascii="Times New Roman" w:hAnsi="Times New Roman" w:cs="Times New Roman" w:eastAsia="Times New Roman"/>
          <w:b/>
        </w:rPr>
        <w:t>Evidence and notes are grounded:</w:t>
      </w:r>
      <w:r>
        <w:rPr>
          <w:rFonts w:ascii="Times New Roman" w:hAnsi="Times New Roman" w:cs="Times New Roman" w:eastAsia="Times New Roman"/>
        </w:rPr>
        <w:t xml:space="preserve"> no invalid citations and full evidence coverage over the evaluated notes.</w:t>
      </w:r>
    </w:p>
    <w:p>
      <w:pPr>
        <w:pStyle w:val="ListBullet"/>
      </w:pPr>
      <w:r>
        <w:rPr>
          <w:rFonts w:ascii="Times New Roman" w:hAnsi="Times New Roman" w:cs="Times New Roman" w:eastAsia="Times New Roman"/>
          <w:b/>
        </w:rPr>
        <w:t>Far fewer false alarms than rules:</w:t>
      </w:r>
      <w:r>
        <w:rPr>
          <w:rFonts w:ascii="Times New Roman" w:hAnsi="Times New Roman" w:cs="Times New Roman" w:eastAsia="Times New Roman"/>
        </w:rPr>
        <w:t xml:space="preserve"> 3 against 168.</w:t>
      </w:r>
    </w:p>
    <w:p>
      <w:pPr>
        <w:pStyle w:val="Heading3"/>
      </w:pPr>
      <w:r>
        <w:t>Where it fails: the 3 false positives (seed 42)</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8</w:t>
      </w:r>
      <w:r>
        <w:rPr>
          <w:rFonts w:ascii="Times New Roman" w:hAnsi="Times New Roman" w:cs="Times New Roman" w:eastAsia="Times New Roman"/>
          <w:b/>
        </w:rPr>
        <w:fldChar w:fldCharType="end"/>
      </w:r>
      <w:r>
        <w:rPr>
          <w:rFonts w:ascii="Times New Roman" w:hAnsi="Times New Roman" w:cs="Times New Roman" w:eastAsia="Times New Roman"/>
          <w:b/>
          <w:sz w:val="22"/>
        </w:rPr>
        <w:t>: Legitimate taxpayers flagged at the 0.5 threshold</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tblHeader w:val="true"/>
        </w:trPr>
        <w:tc>
          <w:tcPr>
            <w:tcW w:type="dxa" w:w="2057"/>
            <w:shd w:val="clear" w:color="auto" w:fill="DCFCE7"/>
          </w:tcPr>
          <w:p>
            <w:pPr>
              <w:keepNext/>
              <w:spacing w:line="240" w:lineRule="auto" w:after="40"/>
              <w:jc w:val="center"/>
            </w:pPr>
            <w:r/>
            <w:r>
              <w:rPr>
                <w:rFonts w:ascii="Times New Roman" w:hAnsi="Times New Roman" w:cs="Times New Roman" w:eastAsia="Times New Roman"/>
                <w:b/>
                <w:sz w:val="20"/>
              </w:rPr>
              <w:t>Taxpayer</w:t>
            </w:r>
          </w:p>
        </w:tc>
        <w:tc>
          <w:tcPr>
            <w:tcW w:type="dxa" w:w="1157"/>
            <w:shd w:val="clear" w:color="auto" w:fill="DCFCE7"/>
          </w:tcPr>
          <w:p>
            <w:pPr>
              <w:keepNext/>
              <w:spacing w:line="240" w:lineRule="auto" w:after="40"/>
              <w:jc w:val="center"/>
            </w:pPr>
            <w:r/>
            <w:r>
              <w:rPr>
                <w:rFonts w:ascii="Times New Roman" w:hAnsi="Times New Roman" w:cs="Times New Roman" w:eastAsia="Times New Roman"/>
                <w:b/>
                <w:sz w:val="20"/>
              </w:rPr>
              <w:t>Sector</w:t>
            </w:r>
          </w:p>
        </w:tc>
        <w:tc>
          <w:tcPr>
            <w:tcW w:type="dxa" w:w="643"/>
            <w:shd w:val="clear" w:color="auto" w:fill="DCFCE7"/>
          </w:tcPr>
          <w:p>
            <w:pPr>
              <w:keepNext/>
              <w:spacing w:line="240" w:lineRule="auto" w:after="40"/>
              <w:jc w:val="center"/>
            </w:pPr>
            <w:r/>
            <w:r>
              <w:rPr>
                <w:rFonts w:ascii="Times New Roman" w:hAnsi="Times New Roman" w:cs="Times New Roman" w:eastAsia="Times New Roman"/>
                <w:b/>
                <w:sz w:val="20"/>
              </w:rPr>
              <w:t>Risk</w:t>
            </w:r>
          </w:p>
        </w:tc>
        <w:tc>
          <w:tcPr>
            <w:tcW w:type="dxa" w:w="1800"/>
            <w:shd w:val="clear" w:color="auto" w:fill="DCFCE7"/>
          </w:tcPr>
          <w:p>
            <w:pPr>
              <w:keepNext/>
              <w:spacing w:line="240" w:lineRule="auto" w:after="40"/>
              <w:jc w:val="center"/>
            </w:pPr>
            <w:r/>
            <w:r>
              <w:rPr>
                <w:rFonts w:ascii="Times New Roman" w:hAnsi="Times New Roman" w:cs="Times New Roman" w:eastAsia="Times New Roman"/>
                <w:b/>
                <w:sz w:val="20"/>
              </w:rPr>
              <w:t>Patterns</w:t>
            </w:r>
          </w:p>
        </w:tc>
        <w:tc>
          <w:tcPr>
            <w:tcW w:type="dxa" w:w="2314"/>
            <w:shd w:val="clear" w:color="auto" w:fill="DCFCE7"/>
          </w:tcPr>
          <w:p>
            <w:pPr>
              <w:keepNext/>
              <w:spacing w:line="240" w:lineRule="auto" w:after="40"/>
              <w:jc w:val="center"/>
            </w:pPr>
            <w:r/>
            <w:r>
              <w:rPr>
                <w:rFonts w:ascii="Times New Roman" w:hAnsi="Times New Roman" w:cs="Times New Roman" w:eastAsia="Times New Roman"/>
                <w:b/>
                <w:sz w:val="20"/>
              </w:rPr>
              <w:t>Layers J / B / N / I</w:t>
            </w:r>
          </w:p>
        </w:tc>
        <w:tc>
          <w:tcPr>
            <w:tcW w:type="dxa" w:w="1029"/>
            <w:shd w:val="clear" w:color="auto" w:fill="DCFCE7"/>
          </w:tcPr>
          <w:p>
            <w:pPr>
              <w:keepNext/>
              <w:spacing w:line="240" w:lineRule="auto" w:after="40"/>
              <w:jc w:val="center"/>
            </w:pPr>
            <w:r/>
            <w:r>
              <w:rPr>
                <w:rFonts w:ascii="Times New Roman" w:hAnsi="Times New Roman" w:cs="Times New Roman" w:eastAsia="Times New Roman"/>
                <w:b/>
                <w:sz w:val="20"/>
              </w:rPr>
              <w:t>Ring</w:t>
            </w:r>
          </w:p>
        </w:tc>
      </w:tr>
      <w:tr>
        <w:trPr>
          <w:cantSplit/>
        </w:trPr>
        <w:tc>
          <w:tcPr>
            <w:tcW w:type="dxa" w:w="2057"/>
          </w:tcPr>
          <w:p>
            <w:pPr>
              <w:keepNext/>
              <w:spacing w:line="240" w:lineRule="auto" w:after="40"/>
              <w:jc w:val="left"/>
            </w:pPr>
            <w:r/>
            <w:r>
              <w:rPr>
                <w:rFonts w:ascii="Times New Roman" w:hAnsi="Times New Roman" w:cs="Times New Roman" w:eastAsia="Times New Roman"/>
                <w:sz w:val="20"/>
              </w:rPr>
              <w:t>Apex Distributors</w:t>
            </w:r>
          </w:p>
        </w:tc>
        <w:tc>
          <w:tcPr>
            <w:tcW w:type="dxa" w:w="1157"/>
          </w:tcPr>
          <w:p>
            <w:pPr>
              <w:keepNext/>
              <w:spacing w:line="240" w:lineRule="auto" w:after="40"/>
              <w:jc w:val="left"/>
            </w:pPr>
            <w:r/>
            <w:r>
              <w:rPr>
                <w:rFonts w:ascii="Times New Roman" w:hAnsi="Times New Roman" w:cs="Times New Roman" w:eastAsia="Times New Roman"/>
                <w:sz w:val="20"/>
              </w:rPr>
              <w:t>wholesaler</w:t>
            </w:r>
          </w:p>
        </w:tc>
        <w:tc>
          <w:tcPr>
            <w:tcW w:type="dxa" w:w="643"/>
          </w:tcPr>
          <w:p>
            <w:pPr>
              <w:keepNext/>
              <w:spacing w:line="240" w:lineRule="auto" w:after="40"/>
              <w:jc w:val="center"/>
            </w:pPr>
            <w:r/>
            <w:r>
              <w:rPr>
                <w:rFonts w:ascii="Times New Roman" w:hAnsi="Times New Roman" w:cs="Times New Roman" w:eastAsia="Times New Roman"/>
                <w:sz w:val="20"/>
              </w:rPr>
              <w:t>0.56</w:t>
            </w:r>
          </w:p>
        </w:tc>
        <w:tc>
          <w:tcPr>
            <w:tcW w:type="dxa" w:w="1800"/>
          </w:tcPr>
          <w:p>
            <w:pPr>
              <w:keepNext/>
              <w:spacing w:line="240" w:lineRule="auto" w:after="40"/>
              <w:jc w:val="left"/>
            </w:pPr>
            <w:r/>
            <w:r>
              <w:rPr>
                <w:rFonts w:ascii="Times New Roman" w:hAnsi="Times New Roman" w:cs="Times New Roman" w:eastAsia="Times New Roman"/>
                <w:sz w:val="20"/>
              </w:rPr>
              <w:t>behaviour_anomaly</w:t>
            </w:r>
          </w:p>
        </w:tc>
        <w:tc>
          <w:tcPr>
            <w:tcW w:type="dxa" w:w="2314"/>
          </w:tcPr>
          <w:p>
            <w:pPr>
              <w:keepNext/>
              <w:spacing w:line="240" w:lineRule="auto" w:after="40"/>
              <w:jc w:val="center"/>
            </w:pPr>
            <w:r/>
            <w:r>
              <w:rPr>
                <w:rFonts w:ascii="Times New Roman" w:hAnsi="Times New Roman" w:cs="Times New Roman" w:eastAsia="Times New Roman"/>
                <w:sz w:val="20"/>
              </w:rPr>
              <w:t>0.68 / 0.16 / 0.00 / 0.00</w:t>
            </w:r>
          </w:p>
        </w:tc>
        <w:tc>
          <w:tcPr>
            <w:tcW w:type="dxa" w:w="1029"/>
          </w:tcPr>
          <w:p>
            <w:pPr>
              <w:keepNext/>
              <w:spacing w:line="240" w:lineRule="auto" w:after="40"/>
              <w:jc w:val="center"/>
            </w:pPr>
            <w:r/>
            <w:r>
              <w:rPr>
                <w:rFonts w:ascii="Times New Roman" w:hAnsi="Times New Roman" w:cs="Times New Roman" w:eastAsia="Times New Roman"/>
                <w:sz w:val="20"/>
              </w:rPr>
              <w:t>-</w:t>
            </w:r>
          </w:p>
        </w:tc>
      </w:tr>
      <w:tr>
        <w:trPr>
          <w:cantSplit/>
        </w:trPr>
        <w:tc>
          <w:tcPr>
            <w:tcW w:type="dxa" w:w="2057"/>
          </w:tcPr>
          <w:p>
            <w:pPr>
              <w:spacing w:line="240" w:lineRule="auto" w:after="40"/>
              <w:jc w:val="left"/>
            </w:pPr>
            <w:r/>
            <w:r>
              <w:rPr>
                <w:rFonts w:ascii="Times New Roman" w:hAnsi="Times New Roman" w:cs="Times New Roman" w:eastAsia="Times New Roman"/>
                <w:sz w:val="20"/>
              </w:rPr>
              <w:t>Vertex Enterprises LLP</w:t>
            </w:r>
          </w:p>
        </w:tc>
        <w:tc>
          <w:tcPr>
            <w:tcW w:type="dxa" w:w="1157"/>
          </w:tcPr>
          <w:p>
            <w:pPr>
              <w:spacing w:line="240" w:lineRule="auto" w:after="40"/>
              <w:jc w:val="left"/>
            </w:pPr>
            <w:r/>
            <w:r>
              <w:rPr>
                <w:rFonts w:ascii="Times New Roman" w:hAnsi="Times New Roman" w:cs="Times New Roman" w:eastAsia="Times New Roman"/>
                <w:sz w:val="20"/>
              </w:rPr>
              <w:t>wholesaler</w:t>
            </w:r>
          </w:p>
        </w:tc>
        <w:tc>
          <w:tcPr>
            <w:tcW w:type="dxa" w:w="643"/>
          </w:tcPr>
          <w:p>
            <w:pPr>
              <w:spacing w:line="240" w:lineRule="auto" w:after="40"/>
              <w:jc w:val="center"/>
            </w:pPr>
            <w:r/>
            <w:r>
              <w:rPr>
                <w:rFonts w:ascii="Times New Roman" w:hAnsi="Times New Roman" w:cs="Times New Roman" w:eastAsia="Times New Roman"/>
                <w:sz w:val="20"/>
              </w:rPr>
              <w:t>0.69</w:t>
            </w:r>
          </w:p>
        </w:tc>
        <w:tc>
          <w:tcPr>
            <w:tcW w:type="dxa" w:w="1800"/>
          </w:tcPr>
          <w:p>
            <w:pPr>
              <w:spacing w:line="240" w:lineRule="auto" w:after="40"/>
              <w:jc w:val="left"/>
            </w:pPr>
            <w:r/>
            <w:r>
              <w:rPr>
                <w:rFonts w:ascii="Times New Roman" w:hAnsi="Times New Roman" w:cs="Times New Roman" w:eastAsia="Times New Roman"/>
                <w:sz w:val="20"/>
              </w:rPr>
              <w:t>behaviour_anomaly</w:t>
            </w:r>
          </w:p>
        </w:tc>
        <w:tc>
          <w:tcPr>
            <w:tcW w:type="dxa" w:w="2314"/>
          </w:tcPr>
          <w:p>
            <w:pPr>
              <w:spacing w:line="240" w:lineRule="auto" w:after="40"/>
              <w:jc w:val="center"/>
            </w:pPr>
            <w:r/>
            <w:r>
              <w:rPr>
                <w:rFonts w:ascii="Times New Roman" w:hAnsi="Times New Roman" w:cs="Times New Roman" w:eastAsia="Times New Roman"/>
                <w:sz w:val="20"/>
              </w:rPr>
              <w:t>0.80 / 0.40 / 0.00 / 0.00</w:t>
            </w:r>
          </w:p>
        </w:tc>
        <w:tc>
          <w:tcPr>
            <w:tcW w:type="dxa" w:w="1029"/>
          </w:tcPr>
          <w:p>
            <w:pPr>
              <w:spacing w:line="240" w:lineRule="auto" w:after="40"/>
              <w:jc w:val="center"/>
            </w:pPr>
            <w:r/>
            <w:r>
              <w:rPr>
                <w:rFonts w:ascii="Times New Roman" w:hAnsi="Times New Roman" w:cs="Times New Roman" w:eastAsia="Times New Roman"/>
                <w:sz w:val="20"/>
              </w:rPr>
              <w:t>-</w:t>
            </w:r>
          </w:p>
        </w:tc>
      </w:tr>
      <w:tr>
        <w:trPr>
          <w:cantSplit/>
        </w:trPr>
        <w:tc>
          <w:tcPr>
            <w:tcW w:type="dxa" w:w="2057"/>
          </w:tcPr>
          <w:p>
            <w:pPr>
              <w:spacing w:line="240" w:lineRule="auto" w:after="40"/>
              <w:jc w:val="left"/>
            </w:pPr>
            <w:r/>
            <w:r>
              <w:rPr>
                <w:rFonts w:ascii="Times New Roman" w:hAnsi="Times New Roman" w:cs="Times New Roman" w:eastAsia="Times New Roman"/>
                <w:sz w:val="20"/>
              </w:rPr>
              <w:t>Orbit Industries Pvt Ltd</w:t>
            </w:r>
          </w:p>
        </w:tc>
        <w:tc>
          <w:tcPr>
            <w:tcW w:type="dxa" w:w="1157"/>
          </w:tcPr>
          <w:p>
            <w:pPr>
              <w:spacing w:line="240" w:lineRule="auto" w:after="40"/>
              <w:jc w:val="left"/>
            </w:pPr>
            <w:r/>
            <w:r>
              <w:rPr>
                <w:rFonts w:ascii="Times New Roman" w:hAnsi="Times New Roman" w:cs="Times New Roman" w:eastAsia="Times New Roman"/>
                <w:sz w:val="20"/>
              </w:rPr>
              <w:t>manufacturer</w:t>
            </w:r>
          </w:p>
        </w:tc>
        <w:tc>
          <w:tcPr>
            <w:tcW w:type="dxa" w:w="643"/>
          </w:tcPr>
          <w:p>
            <w:pPr>
              <w:spacing w:line="240" w:lineRule="auto" w:after="40"/>
              <w:jc w:val="center"/>
            </w:pPr>
            <w:r/>
            <w:r>
              <w:rPr>
                <w:rFonts w:ascii="Times New Roman" w:hAnsi="Times New Roman" w:cs="Times New Roman" w:eastAsia="Times New Roman"/>
                <w:sz w:val="20"/>
              </w:rPr>
              <w:t>0.57</w:t>
            </w:r>
          </w:p>
        </w:tc>
        <w:tc>
          <w:tcPr>
            <w:tcW w:type="dxa" w:w="1800"/>
          </w:tcPr>
          <w:p>
            <w:pPr>
              <w:spacing w:line="240" w:lineRule="auto" w:after="40"/>
              <w:jc w:val="center"/>
            </w:pPr>
            <w:r/>
            <w:r>
              <w:rPr>
                <w:rFonts w:ascii="Times New Roman" w:hAnsi="Times New Roman" w:cs="Times New Roman" w:eastAsia="Times New Roman"/>
                <w:sz w:val="20"/>
              </w:rPr>
              <w:t>-</w:t>
            </w:r>
          </w:p>
        </w:tc>
        <w:tc>
          <w:tcPr>
            <w:tcW w:type="dxa" w:w="2314"/>
          </w:tcPr>
          <w:p>
            <w:pPr>
              <w:spacing w:line="240" w:lineRule="auto" w:after="40"/>
              <w:jc w:val="center"/>
            </w:pPr>
            <w:r/>
            <w:r>
              <w:rPr>
                <w:rFonts w:ascii="Times New Roman" w:hAnsi="Times New Roman" w:cs="Times New Roman" w:eastAsia="Times New Roman"/>
                <w:sz w:val="20"/>
              </w:rPr>
              <w:t>0.37 / 0.51 / 0.00 / 0.22</w:t>
            </w:r>
          </w:p>
        </w:tc>
        <w:tc>
          <w:tcPr>
            <w:tcW w:type="dxa" w:w="1029"/>
          </w:tcPr>
          <w:p>
            <w:pPr>
              <w:spacing w:line="240" w:lineRule="auto" w:after="40"/>
              <w:jc w:val="center"/>
            </w:pPr>
            <w:r/>
            <w:r>
              <w:rPr>
                <w:rFonts w:ascii="Times New Roman" w:hAnsi="Times New Roman" w:cs="Times New Roman" w:eastAsia="Times New Roman"/>
                <w:sz w:val="20"/>
              </w:rPr>
              <w:t>-</w:t>
            </w:r>
          </w:p>
        </w:tc>
      </w:tr>
    </w:tbl>
    <w:p>
      <w:pPr>
        <w:spacing w:after="120" w:line="240" w:lineRule="auto"/>
      </w:pPr>
    </w:p>
    <w:p>
      <w:r>
        <w:rPr>
          <w:rFonts w:ascii="Times New Roman" w:hAnsi="Times New Roman" w:cs="Times New Roman" w:eastAsia="Times New Roman"/>
        </w:rPr>
        <w:t xml:space="preserve">All three false alarms are driven by the JEPA and behaviour layers, not by network or invoice evidence: two of them (Apex Distributors and Vertex Enterprises LLP) have a network score and an invoice score of exactly 0 and are flagged as </w:t>
      </w:r>
      <w:r>
        <w:rPr>
          <w:rFonts w:ascii="Times New Roman" w:hAnsi="Times New Roman" w:cs="Times New Roman" w:eastAsia="Times New Roman"/>
          <w:i/>
        </w:rPr>
        <w:t>unusual behaviour</w:t>
      </w:r>
      <w:r>
        <w:rPr>
          <w:rFonts w:ascii="Times New Roman" w:hAnsi="Times New Roman" w:cs="Times New Roman" w:eastAsia="Times New Roman"/>
        </w:rPr>
        <w:t xml:space="preserve"> on a JEPA deviation score of 0.68 and 0.80; the third (Orbit Industries) combines a JEPA score of 0.37 with a behaviour score of 0.51. They are legitimate firms whose month-to-month behaviour was unusual (the generator includes seasonality, one-off capital purchases and credit catch-ups on purpose). The structural detectors did not produce a single false alarm at taxpayer level. At ring level, two of the nine detected rings contain no injected-fraud taxpayer; they are loops of legitimate reciprocal trade with the lowest ring scores (0.30 and 0.27), and they do not push their members over the flag threshold. For a user the consequence is that an </w:t>
      </w:r>
      <w:r>
        <w:rPr>
          <w:rFonts w:ascii="Times New Roman" w:hAnsi="Times New Roman" w:cs="Times New Roman" w:eastAsia="Times New Roman"/>
          <w:i/>
        </w:rPr>
        <w:t>unusual behaviour</w:t>
      </w:r>
      <w:r>
        <w:rPr>
          <w:rFonts w:ascii="Times New Roman" w:hAnsi="Times New Roman" w:cs="Times New Roman" w:eastAsia="Times New Roman"/>
        </w:rPr>
        <w:t xml:space="preserve"> flag with no network or invoice evidence deserves the lowest priority, which the evidence list makes visible.</w:t>
      </w:r>
    </w:p>
    <w:p>
      <w:pPr>
        <w:pStyle w:val="Heading3"/>
      </w:pPr>
      <w:r>
        <w:t>Where it fails: the 4 false negatives (seed 42)</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9</w:t>
      </w:r>
      <w:r>
        <w:rPr>
          <w:rFonts w:ascii="Times New Roman" w:hAnsi="Times New Roman" w:cs="Times New Roman" w:eastAsia="Times New Roman"/>
          <w:b/>
        </w:rPr>
        <w:fldChar w:fldCharType="end"/>
      </w:r>
      <w:r>
        <w:rPr>
          <w:rFonts w:ascii="Times New Roman" w:hAnsi="Times New Roman" w:cs="Times New Roman" w:eastAsia="Times New Roman"/>
          <w:b/>
          <w:sz w:val="22"/>
        </w:rPr>
        <w:t>: Injected-fraud taxpayers missed at the 0.5 threshold</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tblHeader w:val="true"/>
        </w:trPr>
        <w:tc>
          <w:tcPr>
            <w:tcW w:type="dxa" w:w="2443"/>
            <w:shd w:val="clear" w:color="auto" w:fill="DCFCE7"/>
          </w:tcPr>
          <w:p>
            <w:pPr>
              <w:keepNext/>
              <w:spacing w:line="240" w:lineRule="auto" w:after="40"/>
              <w:jc w:val="center"/>
            </w:pPr>
            <w:r/>
            <w:r>
              <w:rPr>
                <w:rFonts w:ascii="Times New Roman" w:hAnsi="Times New Roman" w:cs="Times New Roman" w:eastAsia="Times New Roman"/>
                <w:b/>
                <w:sz w:val="20"/>
              </w:rPr>
              <w:t>Taxpayer</w:t>
            </w:r>
          </w:p>
        </w:tc>
        <w:tc>
          <w:tcPr>
            <w:tcW w:type="dxa" w:w="2186"/>
            <w:shd w:val="clear" w:color="auto" w:fill="DCFCE7"/>
          </w:tcPr>
          <w:p>
            <w:pPr>
              <w:keepNext/>
              <w:spacing w:line="240" w:lineRule="auto" w:after="40"/>
              <w:jc w:val="center"/>
            </w:pPr>
            <w:r/>
            <w:r>
              <w:rPr>
                <w:rFonts w:ascii="Times New Roman" w:hAnsi="Times New Roman" w:cs="Times New Roman" w:eastAsia="Times New Roman"/>
                <w:b/>
                <w:sz w:val="20"/>
              </w:rPr>
              <w:t>Injected role</w:t>
            </w:r>
          </w:p>
        </w:tc>
        <w:tc>
          <w:tcPr>
            <w:tcW w:type="dxa" w:w="771"/>
            <w:shd w:val="clear" w:color="auto" w:fill="DCFCE7"/>
          </w:tcPr>
          <w:p>
            <w:pPr>
              <w:keepNext/>
              <w:spacing w:line="240" w:lineRule="auto" w:after="40"/>
              <w:jc w:val="center"/>
            </w:pPr>
            <w:r/>
            <w:r>
              <w:rPr>
                <w:rFonts w:ascii="Times New Roman" w:hAnsi="Times New Roman" w:cs="Times New Roman" w:eastAsia="Times New Roman"/>
                <w:b/>
                <w:sz w:val="20"/>
              </w:rPr>
              <w:t>Risk</w:t>
            </w:r>
          </w:p>
        </w:tc>
        <w:tc>
          <w:tcPr>
            <w:tcW w:type="dxa" w:w="771"/>
            <w:shd w:val="clear" w:color="auto" w:fill="DCFCE7"/>
          </w:tcPr>
          <w:p>
            <w:pPr>
              <w:keepNext/>
              <w:spacing w:line="240" w:lineRule="auto" w:after="40"/>
              <w:jc w:val="center"/>
            </w:pPr>
            <w:r/>
            <w:r>
              <w:rPr>
                <w:rFonts w:ascii="Times New Roman" w:hAnsi="Times New Roman" w:cs="Times New Roman" w:eastAsia="Times New Roman"/>
                <w:b/>
                <w:sz w:val="20"/>
              </w:rPr>
              <w:t>Rank</w:t>
            </w:r>
          </w:p>
        </w:tc>
        <w:tc>
          <w:tcPr>
            <w:tcW w:type="dxa" w:w="2829"/>
            <w:shd w:val="clear" w:color="auto" w:fill="DCFCE7"/>
          </w:tcPr>
          <w:p>
            <w:pPr>
              <w:keepNext/>
              <w:spacing w:line="240" w:lineRule="auto" w:after="40"/>
              <w:jc w:val="center"/>
            </w:pPr>
            <w:r/>
            <w:r>
              <w:rPr>
                <w:rFonts w:ascii="Times New Roman" w:hAnsi="Times New Roman" w:cs="Times New Roman" w:eastAsia="Times New Roman"/>
                <w:b/>
                <w:sz w:val="20"/>
              </w:rPr>
              <w:t>Layers J / B / N / I</w:t>
            </w:r>
          </w:p>
        </w:tc>
      </w:tr>
      <w:tr>
        <w:trPr>
          <w:cantSplit/>
        </w:trPr>
        <w:tc>
          <w:tcPr>
            <w:tcW w:type="dxa" w:w="2443"/>
          </w:tcPr>
          <w:p>
            <w:pPr>
              <w:keepNext/>
              <w:spacing w:line="240" w:lineRule="auto" w:after="40"/>
              <w:jc w:val="left"/>
            </w:pPr>
            <w:r/>
            <w:r>
              <w:rPr>
                <w:rFonts w:ascii="Times New Roman" w:hAnsi="Times New Roman" w:cs="Times New Roman" w:eastAsia="Times New Roman"/>
                <w:sz w:val="20"/>
              </w:rPr>
              <w:t>Eastern Enterprises Pvt Ltd</w:t>
            </w:r>
          </w:p>
        </w:tc>
        <w:tc>
          <w:tcPr>
            <w:tcW w:type="dxa" w:w="2186"/>
          </w:tcPr>
          <w:p>
            <w:pPr>
              <w:keepNext/>
              <w:spacing w:line="240" w:lineRule="auto" w:after="40"/>
              <w:jc w:val="left"/>
            </w:pPr>
            <w:r/>
            <w:r>
              <w:rPr>
                <w:rFonts w:ascii="Times New Roman" w:hAnsi="Times New Roman" w:cs="Times New Roman" w:eastAsia="Times New Roman"/>
                <w:sz w:val="20"/>
              </w:rPr>
              <w:t>itc_spike</w:t>
            </w:r>
          </w:p>
        </w:tc>
        <w:tc>
          <w:tcPr>
            <w:tcW w:type="dxa" w:w="771"/>
          </w:tcPr>
          <w:p>
            <w:pPr>
              <w:keepNext/>
              <w:spacing w:line="240" w:lineRule="auto" w:after="40"/>
              <w:jc w:val="center"/>
            </w:pPr>
            <w:r/>
            <w:r>
              <w:rPr>
                <w:rFonts w:ascii="Times New Roman" w:hAnsi="Times New Roman" w:cs="Times New Roman" w:eastAsia="Times New Roman"/>
                <w:sz w:val="20"/>
              </w:rPr>
              <w:t>0.41</w:t>
            </w:r>
          </w:p>
        </w:tc>
        <w:tc>
          <w:tcPr>
            <w:tcW w:type="dxa" w:w="771"/>
          </w:tcPr>
          <w:p>
            <w:pPr>
              <w:keepNext/>
              <w:spacing w:line="240" w:lineRule="auto" w:after="40"/>
              <w:jc w:val="center"/>
            </w:pPr>
            <w:r/>
            <w:r>
              <w:rPr>
                <w:rFonts w:ascii="Times New Roman" w:hAnsi="Times New Roman" w:cs="Times New Roman" w:eastAsia="Times New Roman"/>
                <w:sz w:val="20"/>
              </w:rPr>
              <w:t>84</w:t>
            </w:r>
          </w:p>
        </w:tc>
        <w:tc>
          <w:tcPr>
            <w:tcW w:type="dxa" w:w="2829"/>
          </w:tcPr>
          <w:p>
            <w:pPr>
              <w:keepNext/>
              <w:spacing w:line="240" w:lineRule="auto" w:after="40"/>
              <w:jc w:val="center"/>
            </w:pPr>
            <w:r/>
            <w:r>
              <w:rPr>
                <w:rFonts w:ascii="Times New Roman" w:hAnsi="Times New Roman" w:cs="Times New Roman" w:eastAsia="Times New Roman"/>
                <w:sz w:val="20"/>
              </w:rPr>
              <w:t>0.36 / 0.31 / 0.00 / 0.00</w:t>
            </w:r>
          </w:p>
        </w:tc>
      </w:tr>
      <w:tr>
        <w:trPr>
          <w:cantSplit/>
        </w:trPr>
        <w:tc>
          <w:tcPr>
            <w:tcW w:type="dxa" w:w="2443"/>
          </w:tcPr>
          <w:p>
            <w:pPr>
              <w:spacing w:line="240" w:lineRule="auto" w:after="40"/>
              <w:jc w:val="left"/>
            </w:pPr>
            <w:r/>
            <w:r>
              <w:rPr>
                <w:rFonts w:ascii="Times New Roman" w:hAnsi="Times New Roman" w:cs="Times New Roman" w:eastAsia="Times New Roman"/>
                <w:sz w:val="20"/>
              </w:rPr>
              <w:t>Metro Manufacturing</w:t>
            </w:r>
          </w:p>
        </w:tc>
        <w:tc>
          <w:tcPr>
            <w:tcW w:type="dxa" w:w="2186"/>
          </w:tcPr>
          <w:p>
            <w:pPr>
              <w:spacing w:line="240" w:lineRule="auto" w:after="40"/>
              <w:jc w:val="left"/>
            </w:pPr>
            <w:r/>
            <w:r>
              <w:rPr>
                <w:rFonts w:ascii="Times New Roman" w:hAnsi="Times New Roman" w:cs="Times New Roman" w:eastAsia="Times New Roman"/>
                <w:sz w:val="20"/>
              </w:rPr>
              <w:t>fake_invoice_buyer</w:t>
            </w:r>
          </w:p>
        </w:tc>
        <w:tc>
          <w:tcPr>
            <w:tcW w:type="dxa" w:w="771"/>
          </w:tcPr>
          <w:p>
            <w:pPr>
              <w:spacing w:line="240" w:lineRule="auto" w:after="40"/>
              <w:jc w:val="center"/>
            </w:pPr>
            <w:r/>
            <w:r>
              <w:rPr>
                <w:rFonts w:ascii="Times New Roman" w:hAnsi="Times New Roman" w:cs="Times New Roman" w:eastAsia="Times New Roman"/>
                <w:sz w:val="20"/>
              </w:rPr>
              <w:t>0.29</w:t>
            </w:r>
          </w:p>
        </w:tc>
        <w:tc>
          <w:tcPr>
            <w:tcW w:type="dxa" w:w="771"/>
          </w:tcPr>
          <w:p>
            <w:pPr>
              <w:spacing w:line="240" w:lineRule="auto" w:after="40"/>
              <w:jc w:val="center"/>
            </w:pPr>
            <w:r/>
            <w:r>
              <w:rPr>
                <w:rFonts w:ascii="Times New Roman" w:hAnsi="Times New Roman" w:cs="Times New Roman" w:eastAsia="Times New Roman"/>
                <w:sz w:val="20"/>
              </w:rPr>
              <w:t>122</w:t>
            </w:r>
          </w:p>
        </w:tc>
        <w:tc>
          <w:tcPr>
            <w:tcW w:type="dxa" w:w="2829"/>
          </w:tcPr>
          <w:p>
            <w:pPr>
              <w:spacing w:line="240" w:lineRule="auto" w:after="40"/>
              <w:jc w:val="center"/>
            </w:pPr>
            <w:r/>
            <w:r>
              <w:rPr>
                <w:rFonts w:ascii="Times New Roman" w:hAnsi="Times New Roman" w:cs="Times New Roman" w:eastAsia="Times New Roman"/>
                <w:sz w:val="20"/>
              </w:rPr>
              <w:t>0.02 / 0.03 / 0.31 / 0.11</w:t>
            </w:r>
          </w:p>
        </w:tc>
      </w:tr>
      <w:tr>
        <w:trPr>
          <w:cantSplit/>
        </w:trPr>
        <w:tc>
          <w:tcPr>
            <w:tcW w:type="dxa" w:w="2443"/>
          </w:tcPr>
          <w:p>
            <w:pPr>
              <w:spacing w:line="240" w:lineRule="auto" w:after="40"/>
              <w:jc w:val="left"/>
            </w:pPr>
            <w:r/>
            <w:r>
              <w:rPr>
                <w:rFonts w:ascii="Times New Roman" w:hAnsi="Times New Roman" w:cs="Times New Roman" w:eastAsia="Times New Roman"/>
                <w:sz w:val="20"/>
              </w:rPr>
              <w:t>Global Logistics &amp; Co</w:t>
            </w:r>
          </w:p>
        </w:tc>
        <w:tc>
          <w:tcPr>
            <w:tcW w:type="dxa" w:w="2186"/>
          </w:tcPr>
          <w:p>
            <w:pPr>
              <w:spacing w:line="240" w:lineRule="auto" w:after="40"/>
              <w:jc w:val="left"/>
            </w:pPr>
            <w:r/>
            <w:r>
              <w:rPr>
                <w:rFonts w:ascii="Times New Roman" w:hAnsi="Times New Roman" w:cs="Times New Roman" w:eastAsia="Times New Roman"/>
                <w:sz w:val="20"/>
              </w:rPr>
              <w:t>itc_spike</w:t>
            </w:r>
          </w:p>
        </w:tc>
        <w:tc>
          <w:tcPr>
            <w:tcW w:type="dxa" w:w="771"/>
          </w:tcPr>
          <w:p>
            <w:pPr>
              <w:spacing w:line="240" w:lineRule="auto" w:after="40"/>
              <w:jc w:val="center"/>
            </w:pPr>
            <w:r/>
            <w:r>
              <w:rPr>
                <w:rFonts w:ascii="Times New Roman" w:hAnsi="Times New Roman" w:cs="Times New Roman" w:eastAsia="Times New Roman"/>
                <w:sz w:val="20"/>
              </w:rPr>
              <w:t>0.47</w:t>
            </w:r>
          </w:p>
        </w:tc>
        <w:tc>
          <w:tcPr>
            <w:tcW w:type="dxa" w:w="771"/>
          </w:tcPr>
          <w:p>
            <w:pPr>
              <w:spacing w:line="240" w:lineRule="auto" w:after="40"/>
              <w:jc w:val="center"/>
            </w:pPr>
            <w:r/>
            <w:r>
              <w:rPr>
                <w:rFonts w:ascii="Times New Roman" w:hAnsi="Times New Roman" w:cs="Times New Roman" w:eastAsia="Times New Roman"/>
                <w:sz w:val="20"/>
              </w:rPr>
              <w:t>80</w:t>
            </w:r>
          </w:p>
        </w:tc>
        <w:tc>
          <w:tcPr>
            <w:tcW w:type="dxa" w:w="2829"/>
          </w:tcPr>
          <w:p>
            <w:pPr>
              <w:spacing w:line="240" w:lineRule="auto" w:after="40"/>
              <w:jc w:val="center"/>
            </w:pPr>
            <w:r/>
            <w:r>
              <w:rPr>
                <w:rFonts w:ascii="Times New Roman" w:hAnsi="Times New Roman" w:cs="Times New Roman" w:eastAsia="Times New Roman"/>
                <w:sz w:val="20"/>
              </w:rPr>
              <w:t>0.45 / 0.33 / 0.00 / 0.00</w:t>
            </w:r>
          </w:p>
        </w:tc>
      </w:tr>
      <w:tr>
        <w:trPr>
          <w:cantSplit/>
        </w:trPr>
        <w:tc>
          <w:tcPr>
            <w:tcW w:type="dxa" w:w="2443"/>
          </w:tcPr>
          <w:p>
            <w:pPr>
              <w:spacing w:line="240" w:lineRule="auto" w:after="40"/>
              <w:jc w:val="left"/>
            </w:pPr>
            <w:r/>
            <w:r>
              <w:rPr>
                <w:rFonts w:ascii="Times New Roman" w:hAnsi="Times New Roman" w:cs="Times New Roman" w:eastAsia="Times New Roman"/>
                <w:sz w:val="20"/>
              </w:rPr>
              <w:t>Zenith Enterprises</w:t>
            </w:r>
          </w:p>
        </w:tc>
        <w:tc>
          <w:tcPr>
            <w:tcW w:type="dxa" w:w="2186"/>
          </w:tcPr>
          <w:p>
            <w:pPr>
              <w:spacing w:line="240" w:lineRule="auto" w:after="40"/>
              <w:jc w:val="left"/>
            </w:pPr>
            <w:r/>
            <w:r>
              <w:rPr>
                <w:rFonts w:ascii="Times New Roman" w:hAnsi="Times New Roman" w:cs="Times New Roman" w:eastAsia="Times New Roman"/>
                <w:sz w:val="20"/>
              </w:rPr>
              <w:t>fake_invoice_buyer</w:t>
            </w:r>
          </w:p>
        </w:tc>
        <w:tc>
          <w:tcPr>
            <w:tcW w:type="dxa" w:w="771"/>
          </w:tcPr>
          <w:p>
            <w:pPr>
              <w:spacing w:line="240" w:lineRule="auto" w:after="40"/>
              <w:jc w:val="center"/>
            </w:pPr>
            <w:r/>
            <w:r>
              <w:rPr>
                <w:rFonts w:ascii="Times New Roman" w:hAnsi="Times New Roman" w:cs="Times New Roman" w:eastAsia="Times New Roman"/>
                <w:sz w:val="20"/>
              </w:rPr>
              <w:t>0.32</w:t>
            </w:r>
          </w:p>
        </w:tc>
        <w:tc>
          <w:tcPr>
            <w:tcW w:type="dxa" w:w="771"/>
          </w:tcPr>
          <w:p>
            <w:pPr>
              <w:spacing w:line="240" w:lineRule="auto" w:after="40"/>
              <w:jc w:val="center"/>
            </w:pPr>
            <w:r/>
            <w:r>
              <w:rPr>
                <w:rFonts w:ascii="Times New Roman" w:hAnsi="Times New Roman" w:cs="Times New Roman" w:eastAsia="Times New Roman"/>
                <w:sz w:val="20"/>
              </w:rPr>
              <w:t>106</w:t>
            </w:r>
          </w:p>
        </w:tc>
        <w:tc>
          <w:tcPr>
            <w:tcW w:type="dxa" w:w="2829"/>
          </w:tcPr>
          <w:p>
            <w:pPr>
              <w:spacing w:line="240" w:lineRule="auto" w:after="40"/>
              <w:jc w:val="center"/>
            </w:pPr>
            <w:r/>
            <w:r>
              <w:rPr>
                <w:rFonts w:ascii="Times New Roman" w:hAnsi="Times New Roman" w:cs="Times New Roman" w:eastAsia="Times New Roman"/>
                <w:sz w:val="20"/>
              </w:rPr>
              <w:t>0.03 / 0.06 / 0.31 / 0.12</w:t>
            </w:r>
          </w:p>
        </w:tc>
      </w:tr>
    </w:tbl>
    <w:p>
      <w:pPr>
        <w:spacing w:after="120" w:line="240" w:lineRule="auto"/>
      </w:pPr>
    </w:p>
    <w:p>
      <w:r>
        <w:rPr>
          <w:rFonts w:ascii="Times New Roman" w:hAnsi="Times New Roman" w:cs="Times New Roman" w:eastAsia="Times New Roman"/>
        </w:rPr>
        <w:t>The four missed taxpayers are two ITC-spike cases and two fake-invoice buyers whose signals are modest. Their risks are 0.29 to 0.47 and they rank 80th to 122nd of 600, so they sit just below the flag line and well above most legitimate firms, but not among the 79 who would be found by an exact-count cutoff. The spike cases (Eastern Enterprises, Global Logistics) have a JEPA score of about 0.4 and no network or invoice evidence; the fake-invoice buyers (Metro Manufacturing, Zenith Enterprises) have almost no JEPA signal (0.02 to 0.03) and a network score of 0.31, because their purchases from shell clusters are a small share of their total purchases. This is the cost of a single fixed threshold and of weights tuned on one ecosystem; the sweep in Section 8.2.4 shows that a threshold of 0.4 would recover two of the four at the price of five more false alarms (8 instead of 3).</w:t>
      </w:r>
    </w:p>
    <w:p>
      <w:pPr>
        <w:pStyle w:val="Heading3"/>
      </w:pPr>
      <w:r>
        <w:t>Invoice-level failures</w:t>
      </w:r>
    </w:p>
    <w:p>
      <w:r>
        <w:rPr>
          <w:rFonts w:ascii="Times New Roman" w:hAnsi="Times New Roman" w:cs="Times New Roman" w:eastAsia="Times New Roman"/>
        </w:rPr>
        <w:t>At invoice level there are 68 false positives and 17 missed fraud invoices. The most common flag combinations among the false positives are [no_eway,unreported] (22); [ring_edge,value_spike] (18); [ring_edge,unreported] (12): invoices that carry the ring-edge flag or that combine a missing supplier report with a missing e-way bill, which also occur on legitimate reciprocal trade. The most common combinations among the missed fraud invoices are [shell_cluster,supplier_vanished] (8); [shell_cluster,young_supplier] (3); [ring_edge] (3). The first of these is instructive: a shell-cluster flag (weight 0.35) together with a vanished supplier (0.20) gives a noisy-OR of 1 - 0.65 x 0.80 = 0.48, just under the 0.50 invoice threshold, so these invoices are missed by 0.02. A fake invoice that is reported by its (shell) supplier, has an e-way bill and a plausible value leaves nothing for an invoice-level rule to flag and is caught only through the taxpayer or the network.</w:t>
      </w:r>
    </w:p>
    <w:p>
      <w:pPr>
        <w:pStyle w:val="Heading3"/>
      </w:pPr>
      <w:r>
        <w:t>Failure of the explanation component</w:t>
      </w:r>
    </w:p>
    <w:p>
      <w:r>
        <w:rPr>
          <w:rFonts w:ascii="Times New Roman" w:hAnsi="Times New Roman" w:cs="Times New Roman" w:eastAsia="Times New Roman"/>
        </w:rPr>
        <w:t>Four of ten requested notes could not be produced because the free Gemini tier was overloaded or out of quota. The product reports the failure and tries fallback models, but the dependence on an external service is a real operational weakness.</w:t>
      </w:r>
    </w:p>
    <w:p>
      <w:pPr>
        <w:pStyle w:val="Heading2"/>
      </w:pPr>
      <w:r>
        <w:t>8.6 Comparison with the Base Paper</w:t>
      </w:r>
    </w:p>
    <w:p>
      <w:r>
        <w:rPr>
          <w:rFonts w:ascii="Times New Roman" w:hAnsi="Times New Roman" w:cs="Times New Roman" w:eastAsia="Times New Roman"/>
        </w:rPr>
        <w:t xml:space="preserve">The base paper [1] is a qualitative study and reports no detection model, accuracy or other measured performance, so there is </w:t>
      </w:r>
      <w:r>
        <w:rPr>
          <w:rFonts w:ascii="Times New Roman" w:hAnsi="Times New Roman" w:cs="Times New Roman" w:eastAsia="Times New Roman"/>
          <w:b/>
        </w:rPr>
        <w:t>no like-for-like numerical comparison</w:t>
      </w:r>
      <w:r>
        <w:rPr>
          <w:rFonts w:ascii="Times New Roman" w:hAnsi="Times New Roman" w:cs="Times New Roman" w:eastAsia="Times New Roman"/>
        </w:rPr>
        <w:t xml:space="preserve"> between its results and this project's. The comparison below is therefore on what the paper recommends and on the project's own baseline.</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10</w:t>
      </w:r>
      <w:r>
        <w:rPr>
          <w:rFonts w:ascii="Times New Roman" w:hAnsi="Times New Roman" w:cs="Times New Roman" w:eastAsia="Times New Roman"/>
          <w:b/>
        </w:rPr>
        <w:fldChar w:fldCharType="end"/>
      </w:r>
      <w:r>
        <w:rPr>
          <w:rFonts w:ascii="Times New Roman" w:hAnsi="Times New Roman" w:cs="Times New Roman" w:eastAsia="Times New Roman"/>
          <w:b/>
          <w:sz w:val="22"/>
        </w:rPr>
        <w:t>: Base paper recommendations and this project</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3471"/>
            <w:shd w:val="clear" w:color="auto" w:fill="DCFCE7"/>
          </w:tcPr>
          <w:p>
            <w:pPr>
              <w:keepNext/>
              <w:spacing w:line="240" w:lineRule="auto" w:after="40"/>
              <w:jc w:val="center"/>
            </w:pPr>
            <w:r/>
            <w:r>
              <w:rPr>
                <w:rFonts w:ascii="Times New Roman" w:hAnsi="Times New Roman" w:cs="Times New Roman" w:eastAsia="Times New Roman"/>
                <w:b/>
                <w:sz w:val="20"/>
              </w:rPr>
              <w:t>Base paper [1] position</w:t>
            </w:r>
          </w:p>
        </w:tc>
        <w:tc>
          <w:tcPr>
            <w:tcW w:type="dxa" w:w="3857"/>
            <w:shd w:val="clear" w:color="auto" w:fill="DCFCE7"/>
          </w:tcPr>
          <w:p>
            <w:pPr>
              <w:keepNext/>
              <w:spacing w:line="240" w:lineRule="auto" w:after="40"/>
              <w:jc w:val="center"/>
            </w:pPr>
            <w:r/>
            <w:r>
              <w:rPr>
                <w:rFonts w:ascii="Times New Roman" w:hAnsi="Times New Roman" w:cs="Times New Roman" w:eastAsia="Times New Roman"/>
                <w:b/>
                <w:sz w:val="20"/>
              </w:rPr>
              <w:t>This project</w:t>
            </w:r>
          </w:p>
        </w:tc>
        <w:tc>
          <w:tcPr>
            <w:tcW w:type="dxa" w:w="1671"/>
            <w:shd w:val="clear" w:color="auto" w:fill="DCFCE7"/>
          </w:tcPr>
          <w:p>
            <w:pPr>
              <w:keepNext/>
              <w:spacing w:line="240" w:lineRule="auto" w:after="40"/>
              <w:jc w:val="center"/>
            </w:pPr>
            <w:r/>
            <w:r>
              <w:rPr>
                <w:rFonts w:ascii="Times New Roman" w:hAnsi="Times New Roman" w:cs="Times New Roman" w:eastAsia="Times New Roman"/>
                <w:b/>
                <w:sz w:val="20"/>
              </w:rPr>
              <w:t>Status</w:t>
            </w:r>
          </w:p>
        </w:tc>
      </w:tr>
      <w:tr>
        <w:trPr>
          <w:cantSplit/>
        </w:trPr>
        <w:tc>
          <w:tcPr>
            <w:tcW w:type="dxa" w:w="3471"/>
          </w:tcPr>
          <w:p>
            <w:pPr>
              <w:keepNext/>
              <w:spacing w:line="240" w:lineRule="auto" w:after="40"/>
              <w:jc w:val="left"/>
            </w:pPr>
            <w:r/>
            <w:r>
              <w:rPr>
                <w:rFonts w:ascii="Times New Roman" w:hAnsi="Times New Roman" w:cs="Times New Roman" w:eastAsia="Times New Roman"/>
                <w:sz w:val="20"/>
              </w:rPr>
              <w:t>Fake invoicing, circular trading and shell companies are the main ITC fraud patterns</w:t>
            </w:r>
          </w:p>
        </w:tc>
        <w:tc>
          <w:tcPr>
            <w:tcW w:type="dxa" w:w="3857"/>
          </w:tcPr>
          <w:p>
            <w:pPr>
              <w:keepNext/>
              <w:spacing w:line="240" w:lineRule="auto" w:after="40"/>
              <w:jc w:val="left"/>
            </w:pPr>
            <w:r/>
            <w:r>
              <w:rPr>
                <w:rFonts w:ascii="Times New Roman" w:hAnsi="Times New Roman" w:cs="Times New Roman" w:eastAsia="Times New Roman"/>
                <w:sz w:val="20"/>
              </w:rPr>
              <w:t>All three (and ITC spikes) are injected, detected and measured</w:t>
            </w:r>
          </w:p>
        </w:tc>
        <w:tc>
          <w:tcPr>
            <w:tcW w:type="dxa" w:w="1671"/>
          </w:tcPr>
          <w:p>
            <w:pPr>
              <w:keepNext/>
              <w:spacing w:line="240" w:lineRule="auto" w:after="40"/>
              <w:jc w:val="left"/>
            </w:pPr>
            <w:r/>
            <w:r>
              <w:rPr>
                <w:rFonts w:ascii="Times New Roman" w:hAnsi="Times New Roman" w:cs="Times New Roman" w:eastAsia="Times New Roman"/>
                <w:sz w:val="20"/>
              </w:rPr>
              <w:t>Implemented</w:t>
            </w:r>
          </w:p>
        </w:tc>
      </w:tr>
      <w:tr>
        <w:trPr>
          <w:cantSplit/>
        </w:trPr>
        <w:tc>
          <w:tcPr>
            <w:tcW w:type="dxa" w:w="3471"/>
          </w:tcPr>
          <w:p>
            <w:pPr>
              <w:spacing w:line="240" w:lineRule="auto" w:after="40"/>
              <w:jc w:val="left"/>
            </w:pPr>
            <w:r/>
            <w:r>
              <w:rPr>
                <w:rFonts w:ascii="Times New Roman" w:hAnsi="Times New Roman" w:cs="Times New Roman" w:eastAsia="Times New Roman"/>
                <w:sz w:val="20"/>
              </w:rPr>
              <w:t>Use data analytics and network analysis for detection</w:t>
            </w:r>
          </w:p>
        </w:tc>
        <w:tc>
          <w:tcPr>
            <w:tcW w:type="dxa" w:w="3857"/>
          </w:tcPr>
          <w:p>
            <w:pPr>
              <w:spacing w:line="240" w:lineRule="auto" w:after="40"/>
              <w:jc w:val="left"/>
            </w:pPr>
            <w:r/>
            <w:r>
              <w:rPr>
                <w:rFonts w:ascii="Times New Roman" w:hAnsi="Times New Roman" w:cs="Times New Roman" w:eastAsia="Times New Roman"/>
                <w:sz w:val="20"/>
              </w:rPr>
              <w:t>Feature layers, JEPA deviation, trade-graph cycles and identity clusters</w:t>
            </w:r>
          </w:p>
        </w:tc>
        <w:tc>
          <w:tcPr>
            <w:tcW w:type="dxa" w:w="1671"/>
          </w:tcPr>
          <w:p>
            <w:pPr>
              <w:spacing w:line="240" w:lineRule="auto" w:after="40"/>
              <w:jc w:val="left"/>
            </w:pPr>
            <w:r/>
            <w:r>
              <w:rPr>
                <w:rFonts w:ascii="Times New Roman" w:hAnsi="Times New Roman" w:cs="Times New Roman" w:eastAsia="Times New Roman"/>
                <w:sz w:val="20"/>
              </w:rPr>
              <w:t>Implemented</w:t>
            </w:r>
          </w:p>
        </w:tc>
      </w:tr>
      <w:tr>
        <w:trPr>
          <w:cantSplit/>
        </w:trPr>
        <w:tc>
          <w:tcPr>
            <w:tcW w:type="dxa" w:w="3471"/>
          </w:tcPr>
          <w:p>
            <w:pPr>
              <w:spacing w:line="240" w:lineRule="auto" w:after="40"/>
              <w:jc w:val="left"/>
            </w:pPr>
            <w:r/>
            <w:r>
              <w:rPr>
                <w:rFonts w:ascii="Times New Roman" w:hAnsi="Times New Roman" w:cs="Times New Roman" w:eastAsia="Times New Roman"/>
                <w:sz w:val="20"/>
              </w:rPr>
              <w:t>Dynamic AI-based risk modelling, ideally at registration</w:t>
            </w:r>
          </w:p>
        </w:tc>
        <w:tc>
          <w:tcPr>
            <w:tcW w:type="dxa" w:w="3857"/>
          </w:tcPr>
          <w:p>
            <w:pPr>
              <w:spacing w:line="240" w:lineRule="auto" w:after="40"/>
              <w:jc w:val="left"/>
            </w:pPr>
            <w:r/>
            <w:r>
              <w:rPr>
                <w:rFonts w:ascii="Times New Roman" w:hAnsi="Times New Roman" w:cs="Times New Roman" w:eastAsia="Times New Roman"/>
                <w:sz w:val="20"/>
              </w:rPr>
              <w:t>Risk scoring of existing taxpayers; registration-time scoring of new applicants was not built (registration age and cluster membership are inputs)</w:t>
            </w:r>
          </w:p>
        </w:tc>
        <w:tc>
          <w:tcPr>
            <w:tcW w:type="dxa" w:w="1671"/>
          </w:tcPr>
          <w:p>
            <w:pPr>
              <w:spacing w:line="240" w:lineRule="auto" w:after="40"/>
              <w:jc w:val="left"/>
            </w:pPr>
            <w:r/>
            <w:r>
              <w:rPr>
                <w:rFonts w:ascii="Times New Roman" w:hAnsi="Times New Roman" w:cs="Times New Roman" w:eastAsia="Times New Roman"/>
                <w:sz w:val="20"/>
              </w:rPr>
              <w:t>Partly</w:t>
            </w:r>
          </w:p>
        </w:tc>
      </w:tr>
      <w:tr>
        <w:trPr>
          <w:cantSplit/>
        </w:trPr>
        <w:tc>
          <w:tcPr>
            <w:tcW w:type="dxa" w:w="3471"/>
          </w:tcPr>
          <w:p>
            <w:pPr>
              <w:spacing w:line="240" w:lineRule="auto" w:after="40"/>
              <w:jc w:val="left"/>
            </w:pPr>
            <w:r/>
            <w:r>
              <w:rPr>
                <w:rFonts w:ascii="Times New Roman" w:hAnsi="Times New Roman" w:cs="Times New Roman" w:eastAsia="Times New Roman"/>
                <w:sz w:val="20"/>
              </w:rPr>
              <w:t>Quantitative AI-supported fraud detection as future research</w:t>
            </w:r>
          </w:p>
        </w:tc>
        <w:tc>
          <w:tcPr>
            <w:tcW w:type="dxa" w:w="3857"/>
          </w:tcPr>
          <w:p>
            <w:pPr>
              <w:spacing w:line="240" w:lineRule="auto" w:after="40"/>
              <w:jc w:val="left"/>
            </w:pPr>
            <w:r/>
            <w:r>
              <w:rPr>
                <w:rFonts w:ascii="Times New Roman" w:hAnsi="Times New Roman" w:cs="Times New Roman" w:eastAsia="Times New Roman"/>
                <w:sz w:val="20"/>
              </w:rPr>
              <w:t>Evaluated with precision@k, F1, ROC-AUC, ablations and cross-seed study on synthetic data</w:t>
            </w:r>
          </w:p>
        </w:tc>
        <w:tc>
          <w:tcPr>
            <w:tcW w:type="dxa" w:w="1671"/>
          </w:tcPr>
          <w:p>
            <w:pPr>
              <w:spacing w:line="240" w:lineRule="auto" w:after="40"/>
              <w:jc w:val="left"/>
            </w:pPr>
            <w:r/>
            <w:r>
              <w:rPr>
                <w:rFonts w:ascii="Times New Roman" w:hAnsi="Times New Roman" w:cs="Times New Roman" w:eastAsia="Times New Roman"/>
                <w:sz w:val="20"/>
              </w:rPr>
              <w:t>Done on synthetic data only</w:t>
            </w:r>
          </w:p>
        </w:tc>
      </w:tr>
      <w:tr>
        <w:trPr>
          <w:cantSplit/>
        </w:trPr>
        <w:tc>
          <w:tcPr>
            <w:tcW w:type="dxa" w:w="3471"/>
          </w:tcPr>
          <w:p>
            <w:pPr>
              <w:spacing w:line="240" w:lineRule="auto" w:after="40"/>
              <w:jc w:val="left"/>
            </w:pPr>
            <w:r/>
            <w:r>
              <w:rPr>
                <w:rFonts w:ascii="Times New Roman" w:hAnsi="Times New Roman" w:cs="Times New Roman" w:eastAsia="Times New Roman"/>
                <w:sz w:val="20"/>
              </w:rPr>
              <w:t>Unified economic intelligence grid across agencies</w:t>
            </w:r>
          </w:p>
        </w:tc>
        <w:tc>
          <w:tcPr>
            <w:tcW w:type="dxa" w:w="3857"/>
          </w:tcPr>
          <w:p>
            <w:pPr>
              <w:spacing w:line="240" w:lineRule="auto" w:after="40"/>
              <w:jc w:val="left"/>
            </w:pPr>
            <w:r/>
            <w:r>
              <w:rPr>
                <w:rFonts w:ascii="Times New Roman" w:hAnsi="Times New Roman" w:cs="Times New Roman" w:eastAsia="Times New Roman"/>
                <w:sz w:val="20"/>
              </w:rPr>
              <w:t>Single-state, single-source prototype</w:t>
            </w:r>
          </w:p>
        </w:tc>
        <w:tc>
          <w:tcPr>
            <w:tcW w:type="dxa" w:w="1671"/>
          </w:tcPr>
          <w:p>
            <w:pPr>
              <w:spacing w:line="240" w:lineRule="auto" w:after="40"/>
              <w:jc w:val="left"/>
            </w:pPr>
            <w:r/>
            <w:r>
              <w:rPr>
                <w:rFonts w:ascii="Times New Roman" w:hAnsi="Times New Roman" w:cs="Times New Roman" w:eastAsia="Times New Roman"/>
                <w:sz w:val="20"/>
              </w:rPr>
              <w:t>Not addressed</w:t>
            </w:r>
          </w:p>
        </w:tc>
      </w:tr>
      <w:tr>
        <w:trPr>
          <w:cantSplit/>
        </w:trPr>
        <w:tc>
          <w:tcPr>
            <w:tcW w:type="dxa" w:w="3471"/>
          </w:tcPr>
          <w:p>
            <w:pPr>
              <w:spacing w:line="240" w:lineRule="auto" w:after="40"/>
              <w:jc w:val="left"/>
            </w:pPr>
            <w:r/>
            <w:r>
              <w:rPr>
                <w:rFonts w:ascii="Times New Roman" w:hAnsi="Times New Roman" w:cs="Times New Roman" w:eastAsia="Times New Roman"/>
                <w:sz w:val="20"/>
              </w:rPr>
              <w:t>Forensic capacity of officers</w:t>
            </w:r>
          </w:p>
        </w:tc>
        <w:tc>
          <w:tcPr>
            <w:tcW w:type="dxa" w:w="3857"/>
          </w:tcPr>
          <w:p>
            <w:pPr>
              <w:spacing w:line="240" w:lineRule="auto" w:after="40"/>
              <w:jc w:val="left"/>
            </w:pPr>
            <w:r/>
            <w:r>
              <w:rPr>
                <w:rFonts w:ascii="Times New Roman" w:hAnsi="Times New Roman" w:cs="Times New Roman" w:eastAsia="Times New Roman"/>
                <w:sz w:val="20"/>
              </w:rPr>
              <w:t>Evidence-backed case notes intended to reduce the effort of reading a case</w:t>
            </w:r>
          </w:p>
        </w:tc>
        <w:tc>
          <w:tcPr>
            <w:tcW w:type="dxa" w:w="1671"/>
          </w:tcPr>
          <w:p>
            <w:pPr>
              <w:spacing w:line="240" w:lineRule="auto" w:after="40"/>
              <w:jc w:val="left"/>
            </w:pPr>
            <w:r/>
            <w:r>
              <w:rPr>
                <w:rFonts w:ascii="Times New Roman" w:hAnsi="Times New Roman" w:cs="Times New Roman" w:eastAsia="Times New Roman"/>
                <w:sz w:val="20"/>
              </w:rPr>
              <w:t>Supports, not measured</w:t>
            </w:r>
          </w:p>
        </w:tc>
      </w:tr>
      <w:tr>
        <w:trPr>
          <w:cantSplit/>
        </w:trPr>
        <w:tc>
          <w:tcPr>
            <w:tcW w:type="dxa" w:w="3471"/>
          </w:tcPr>
          <w:p>
            <w:pPr>
              <w:spacing w:line="240" w:lineRule="auto" w:after="40"/>
              <w:jc w:val="left"/>
            </w:pPr>
            <w:r/>
            <w:r>
              <w:rPr>
                <w:rFonts w:ascii="Times New Roman" w:hAnsi="Times New Roman" w:cs="Times New Roman" w:eastAsia="Times New Roman"/>
                <w:sz w:val="20"/>
              </w:rPr>
              <w:t>Faster prosecution and recovery</w:t>
            </w:r>
          </w:p>
        </w:tc>
        <w:tc>
          <w:tcPr>
            <w:tcW w:type="dxa" w:w="3857"/>
          </w:tcPr>
          <w:p>
            <w:pPr>
              <w:spacing w:line="240" w:lineRule="auto" w:after="40"/>
              <w:jc w:val="left"/>
            </w:pPr>
            <w:r/>
            <w:r>
              <w:rPr>
                <w:rFonts w:ascii="Times New Roman" w:hAnsi="Times New Roman" w:cs="Times New Roman" w:eastAsia="Times New Roman"/>
                <w:sz w:val="20"/>
              </w:rPr>
              <w:t>Out of scope</w:t>
            </w:r>
          </w:p>
        </w:tc>
        <w:tc>
          <w:tcPr>
            <w:tcW w:type="dxa" w:w="1671"/>
          </w:tcPr>
          <w:p>
            <w:pPr>
              <w:spacing w:line="240" w:lineRule="auto" w:after="40"/>
              <w:jc w:val="left"/>
            </w:pPr>
            <w:r/>
            <w:r>
              <w:rPr>
                <w:rFonts w:ascii="Times New Roman" w:hAnsi="Times New Roman" w:cs="Times New Roman" w:eastAsia="Times New Roman"/>
                <w:sz w:val="20"/>
              </w:rPr>
              <w:t>Not addressed</w:t>
            </w:r>
          </w:p>
        </w:tc>
      </w:tr>
    </w:tbl>
    <w:p>
      <w:pPr>
        <w:spacing w:after="120" w:line="240" w:lineRule="auto"/>
      </w:pPr>
    </w:p>
    <w:p>
      <w:r>
        <w:rPr>
          <w:rFonts w:ascii="Times New Roman" w:hAnsi="Times New Roman" w:cs="Times New Roman" w:eastAsia="Times New Roman"/>
        </w:rPr>
        <w:t>Against the rule-based checks that the paper's setting implies, the quantitative comparison on the same data is: F1 0.955 against 0.432 and P@79 0.949 against 0.620 on seed 42; and a mean F1 of 0.888 against 0.457 over five other seeds.</w:t>
      </w:r>
    </w:p>
    <w:p>
      <w:r>
        <w:rPr>
          <w:rFonts w:ascii="Times New Roman" w:hAnsi="Times New Roman" w:cs="Times New Roman" w:eastAsia="Times New Roman"/>
        </w:rPr>
        <w:t xml:space="preserve">For context only, TED [7], a supervised heterogeneous-graph model, reports F1 between 76.35 % and 94.96 % on two </w:t>
      </w:r>
      <w:r>
        <w:rPr>
          <w:rFonts w:ascii="Times New Roman" w:hAnsi="Times New Roman" w:cs="Times New Roman" w:eastAsia="Times New Roman"/>
          <w:i/>
        </w:rPr>
        <w:t>real</w:t>
      </w:r>
      <w:r>
        <w:rPr>
          <w:rFonts w:ascii="Times New Roman" w:hAnsi="Times New Roman" w:cs="Times New Roman" w:eastAsia="Times New Roman"/>
        </w:rPr>
        <w:t xml:space="preserve"> tax datasets depending on the share of positive training samples, and Mehta et al. [6] report no accuracy metric for their circular-trading communities. These numbers are </w:t>
      </w:r>
      <w:r>
        <w:rPr>
          <w:rFonts w:ascii="Times New Roman" w:hAnsi="Times New Roman" w:cs="Times New Roman" w:eastAsia="Times New Roman"/>
          <w:b/>
        </w:rPr>
        <w:t>not comparable</w:t>
      </w:r>
      <w:r>
        <w:rPr>
          <w:rFonts w:ascii="Times New Roman" w:hAnsi="Times New Roman" w:cs="Times New Roman" w:eastAsia="Times New Roman"/>
        </w:rPr>
        <w:t xml:space="preserve"> with this project's: the data are real and different, TED is trained with labels and TaxSentinel is not, and the tasks are defined differently. What can be said is that an unlabelled method reaching F1 around 0.8 to 0.95 on a synthetic ecosystem with injected hard negatives is in the range where it is worth validating on real data; it does not show that it would match TED there.</w:t>
      </w:r>
    </w:p>
    <w:p>
      <w:pPr>
        <w:pStyle w:val="Heading2"/>
      </w:pPr>
      <w:r>
        <w:t>8.7 Limitations of the Results</w:t>
      </w:r>
    </w:p>
    <w:p>
      <w:pPr>
        <w:pStyle w:val="ListBullet"/>
      </w:pPr>
      <w:r>
        <w:rPr>
          <w:rFonts w:ascii="Times New Roman" w:hAnsi="Times New Roman" w:cs="Times New Roman" w:eastAsia="Times New Roman"/>
        </w:rPr>
        <w:t>Synthetic data: the labels are the generator's, and the detectors partly mirror the generator's fraud logic (loops, shared addresses, young registrations). Real fraud may be messier, which would lower the figures.</w:t>
      </w:r>
    </w:p>
    <w:p>
      <w:pPr>
        <w:pStyle w:val="ListBullet"/>
      </w:pPr>
      <w:r>
        <w:rPr>
          <w:rFonts w:ascii="Times New Roman" w:hAnsi="Times New Roman" w:cs="Times New Roman" w:eastAsia="Times New Roman"/>
        </w:rPr>
        <w:t>The weights and threshold were tuned on seed 42; the cross-seed F1 is lower (mean 0.888, minimum 0.790).</w:t>
      </w:r>
    </w:p>
    <w:p>
      <w:pPr>
        <w:pStyle w:val="ListBullet"/>
      </w:pPr>
      <w:r>
        <w:rPr>
          <w:rFonts w:ascii="Times New Roman" w:hAnsi="Times New Roman" w:cs="Times New Roman" w:eastAsia="Times New Roman"/>
        </w:rPr>
        <w:t>No held-out split for the encoder; the cross-seed study is the closest substitute.</w:t>
      </w:r>
    </w:p>
    <w:p>
      <w:pPr>
        <w:pStyle w:val="ListBullet"/>
      </w:pPr>
      <w:r>
        <w:rPr>
          <w:rFonts w:ascii="Times New Roman" w:hAnsi="Times New Roman" w:cs="Times New Roman" w:eastAsia="Times New Roman"/>
        </w:rPr>
        <w:t>The comparison is with a rule baseline built by the project team from standard scrutiny rules; it is not an official tool.</w:t>
      </w:r>
    </w:p>
    <w:p>
      <w:pPr>
        <w:pStyle w:val="ListBullet"/>
      </w:pPr>
      <w:r>
        <w:rPr>
          <w:rFonts w:ascii="Times New Roman" w:hAnsi="Times New Roman" w:cs="Times New Roman" w:eastAsia="Times New Roman"/>
        </w:rPr>
        <w:t>Explanation checks measure grounding, not correctness; six notes were evaluated.</w:t>
      </w:r>
    </w:p>
    <w:p>
      <w:pPr>
        <w:pStyle w:val="ListBullet"/>
      </w:pPr>
      <w:r>
        <w:rPr>
          <w:rFonts w:ascii="Times New Roman" w:hAnsi="Times New Roman" w:cs="Times New Roman" w:eastAsia="Times New Roman"/>
        </w:rPr>
        <w:t>Measurements were taken on one machine under varying load.</w:t>
      </w:r>
    </w:p>
    <w:p>
      <w:pPr>
        <w:pStyle w:val="Heading2"/>
      </w:pPr>
      <w:r>
        <w:t>8.8 Objectives versus Outcomes</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11</w:t>
      </w:r>
      <w:r>
        <w:rPr>
          <w:rFonts w:ascii="Times New Roman" w:hAnsi="Times New Roman" w:cs="Times New Roman" w:eastAsia="Times New Roman"/>
          <w:b/>
        </w:rPr>
        <w:fldChar w:fldCharType="end"/>
      </w:r>
      <w:r>
        <w:rPr>
          <w:rFonts w:ascii="Times New Roman" w:hAnsi="Times New Roman" w:cs="Times New Roman" w:eastAsia="Times New Roman"/>
          <w:b/>
          <w:sz w:val="22"/>
        </w:rPr>
        <w:t>: Objectives and measured outcomes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514"/>
            <w:shd w:val="clear" w:color="auto" w:fill="DCFCE7"/>
          </w:tcPr>
          <w:p>
            <w:pPr>
              <w:keepNext/>
              <w:spacing w:line="240" w:lineRule="auto" w:after="40"/>
              <w:jc w:val="center"/>
            </w:pPr>
            <w:r/>
            <w:r>
              <w:rPr>
                <w:rFonts w:ascii="Times New Roman" w:hAnsi="Times New Roman" w:cs="Times New Roman" w:eastAsia="Times New Roman"/>
                <w:b/>
                <w:sz w:val="20"/>
              </w:rPr>
              <w:t>#</w:t>
            </w:r>
          </w:p>
        </w:tc>
        <w:tc>
          <w:tcPr>
            <w:tcW w:type="dxa" w:w="2829"/>
            <w:shd w:val="clear" w:color="auto" w:fill="DCFCE7"/>
          </w:tcPr>
          <w:p>
            <w:pPr>
              <w:keepNext/>
              <w:spacing w:line="240" w:lineRule="auto" w:after="40"/>
              <w:jc w:val="center"/>
            </w:pPr>
            <w:r/>
            <w:r>
              <w:rPr>
                <w:rFonts w:ascii="Times New Roman" w:hAnsi="Times New Roman" w:cs="Times New Roman" w:eastAsia="Times New Roman"/>
                <w:b/>
                <w:sz w:val="20"/>
              </w:rPr>
              <w:t>Objective</w:t>
            </w:r>
          </w:p>
        </w:tc>
        <w:tc>
          <w:tcPr>
            <w:tcW w:type="dxa" w:w="3857"/>
            <w:shd w:val="clear" w:color="auto" w:fill="DCFCE7"/>
          </w:tcPr>
          <w:p>
            <w:pPr>
              <w:keepNext/>
              <w:spacing w:line="240" w:lineRule="auto" w:after="40"/>
              <w:jc w:val="center"/>
            </w:pPr>
            <w:r/>
            <w:r>
              <w:rPr>
                <w:rFonts w:ascii="Times New Roman" w:hAnsi="Times New Roman" w:cs="Times New Roman" w:eastAsia="Times New Roman"/>
                <w:b/>
                <w:sz w:val="20"/>
              </w:rPr>
              <w:t>Outcome</w:t>
            </w:r>
          </w:p>
        </w:tc>
        <w:tc>
          <w:tcPr>
            <w:tcW w:type="dxa" w:w="1800"/>
            <w:shd w:val="clear" w:color="auto" w:fill="DCFCE7"/>
          </w:tcPr>
          <w:p>
            <w:pPr>
              <w:keepNext/>
              <w:spacing w:line="240" w:lineRule="auto" w:after="40"/>
              <w:jc w:val="center"/>
            </w:pPr>
            <w:r/>
            <w:r>
              <w:rPr>
                <w:rFonts w:ascii="Times New Roman" w:hAnsi="Times New Roman" w:cs="Times New Roman" w:eastAsia="Times New Roman"/>
                <w:b/>
                <w:sz w:val="20"/>
              </w:rPr>
              <w:t>Status</w:t>
            </w:r>
          </w:p>
        </w:tc>
      </w:tr>
      <w:tr>
        <w:trPr>
          <w:cantSplit/>
        </w:trPr>
        <w:tc>
          <w:tcPr>
            <w:tcW w:type="dxa" w:w="514"/>
          </w:tcPr>
          <w:p>
            <w:pPr>
              <w:keepNext/>
              <w:spacing w:line="240" w:lineRule="auto" w:after="40"/>
              <w:jc w:val="left"/>
            </w:pPr>
            <w:r/>
            <w:r>
              <w:rPr>
                <w:rFonts w:ascii="Times New Roman" w:hAnsi="Times New Roman" w:cs="Times New Roman" w:eastAsia="Times New Roman"/>
                <w:sz w:val="20"/>
              </w:rPr>
              <w:t>1</w:t>
            </w:r>
          </w:p>
        </w:tc>
        <w:tc>
          <w:tcPr>
            <w:tcW w:type="dxa" w:w="2829"/>
          </w:tcPr>
          <w:p>
            <w:pPr>
              <w:keepNext/>
              <w:spacing w:line="240" w:lineRule="auto" w:after="40"/>
              <w:jc w:val="left"/>
            </w:pPr>
            <w:r/>
            <w:r>
              <w:rPr>
                <w:rFonts w:ascii="Times New Roman" w:hAnsi="Times New Roman" w:cs="Times New Roman" w:eastAsia="Times New Roman"/>
                <w:sz w:val="20"/>
              </w:rPr>
              <w:t>Build a multi-layer GST dataset (invoices, behaviour, network)</w:t>
            </w:r>
          </w:p>
        </w:tc>
        <w:tc>
          <w:tcPr>
            <w:tcW w:type="dxa" w:w="3857"/>
          </w:tcPr>
          <w:p>
            <w:pPr>
              <w:keepNext/>
              <w:spacing w:line="240" w:lineRule="auto" w:after="40"/>
              <w:jc w:val="left"/>
            </w:pPr>
            <w:r/>
            <w:r>
              <w:rPr>
                <w:rFonts w:ascii="Times New Roman" w:hAnsi="Times New Roman" w:cs="Times New Roman" w:eastAsia="Times New Roman"/>
                <w:sz w:val="20"/>
              </w:rPr>
              <w:t>Generator with 600 taxpayers, 64,474 invoices, 6,977 returns, 4 fraud patterns, 7 hard-negative kinds; 19 features in 3 layers</w:t>
            </w:r>
          </w:p>
        </w:tc>
        <w:tc>
          <w:tcPr>
            <w:tcW w:type="dxa" w:w="1800"/>
          </w:tcPr>
          <w:p>
            <w:pPr>
              <w:keepNext/>
              <w:spacing w:line="240" w:lineRule="auto" w:after="40"/>
              <w:jc w:val="left"/>
            </w:pPr>
            <w:r/>
            <w:r>
              <w:rPr>
                <w:rFonts w:ascii="Times New Roman" w:hAnsi="Times New Roman" w:cs="Times New Roman" w:eastAsia="Times New Roman"/>
                <w:sz w:val="20"/>
              </w:rPr>
              <w:t>Achieved (synthetic)</w:t>
            </w:r>
          </w:p>
        </w:tc>
      </w:tr>
      <w:tr>
        <w:trPr>
          <w:cantSplit/>
        </w:trPr>
        <w:tc>
          <w:tcPr>
            <w:tcW w:type="dxa" w:w="514"/>
          </w:tcPr>
          <w:p>
            <w:pPr>
              <w:spacing w:line="240" w:lineRule="auto" w:after="40"/>
              <w:jc w:val="left"/>
            </w:pPr>
            <w:r/>
            <w:r>
              <w:rPr>
                <w:rFonts w:ascii="Times New Roman" w:hAnsi="Times New Roman" w:cs="Times New Roman" w:eastAsia="Times New Roman"/>
                <w:sz w:val="20"/>
              </w:rPr>
              <w:t>2</w:t>
            </w:r>
          </w:p>
        </w:tc>
        <w:tc>
          <w:tcPr>
            <w:tcW w:type="dxa" w:w="2829"/>
          </w:tcPr>
          <w:p>
            <w:pPr>
              <w:spacing w:line="240" w:lineRule="auto" w:after="40"/>
              <w:jc w:val="left"/>
            </w:pPr>
            <w:r/>
            <w:r>
              <w:rPr>
                <w:rFonts w:ascii="Times New Roman" w:hAnsi="Times New Roman" w:cs="Times New Roman" w:eastAsia="Times New Roman"/>
                <w:sz w:val="20"/>
              </w:rPr>
              <w:t>Learn normal behaviour with a self-supervised JEPA</w:t>
            </w:r>
          </w:p>
        </w:tc>
        <w:tc>
          <w:tcPr>
            <w:tcW w:type="dxa" w:w="3857"/>
          </w:tcPr>
          <w:p>
            <w:pPr>
              <w:spacing w:line="240" w:lineRule="auto" w:after="40"/>
              <w:jc w:val="left"/>
            </w:pPr>
            <w:r/>
            <w:r>
              <w:rPr>
                <w:rFonts w:ascii="Times New Roman" w:hAnsi="Times New Roman" w:cs="Times New Roman" w:eastAsia="Times New Roman"/>
                <w:sz w:val="20"/>
              </w:rPr>
              <w:t>53,420-value JEPA trained without labels in 11.7 s; final loss 0.1115</w:t>
            </w:r>
          </w:p>
        </w:tc>
        <w:tc>
          <w:tcPr>
            <w:tcW w:type="dxa" w:w="1800"/>
          </w:tcPr>
          <w:p>
            <w:pPr>
              <w:spacing w:line="240" w:lineRule="auto" w:after="40"/>
              <w:jc w:val="left"/>
            </w:pPr>
            <w:r/>
            <w:r>
              <w:rPr>
                <w:rFonts w:ascii="Times New Roman" w:hAnsi="Times New Roman" w:cs="Times New Roman" w:eastAsia="Times New Roman"/>
                <w:sz w:val="20"/>
              </w:rPr>
              <w:t>Achieved</w:t>
            </w:r>
          </w:p>
        </w:tc>
      </w:tr>
      <w:tr>
        <w:trPr>
          <w:cantSplit/>
        </w:trPr>
        <w:tc>
          <w:tcPr>
            <w:tcW w:type="dxa" w:w="514"/>
          </w:tcPr>
          <w:p>
            <w:pPr>
              <w:spacing w:line="240" w:lineRule="auto" w:after="40"/>
              <w:jc w:val="left"/>
            </w:pPr>
            <w:r/>
            <w:r>
              <w:rPr>
                <w:rFonts w:ascii="Times New Roman" w:hAnsi="Times New Roman" w:cs="Times New Roman" w:eastAsia="Times New Roman"/>
                <w:sz w:val="20"/>
              </w:rPr>
              <w:t>3</w:t>
            </w:r>
          </w:p>
        </w:tc>
        <w:tc>
          <w:tcPr>
            <w:tcW w:type="dxa" w:w="2829"/>
          </w:tcPr>
          <w:p>
            <w:pPr>
              <w:spacing w:line="240" w:lineRule="auto" w:after="40"/>
              <w:jc w:val="left"/>
            </w:pPr>
            <w:r/>
            <w:r>
              <w:rPr>
                <w:rFonts w:ascii="Times New Roman" w:hAnsi="Times New Roman" w:cs="Times New Roman" w:eastAsia="Times New Roman"/>
                <w:sz w:val="20"/>
              </w:rPr>
              <w:t>Detect fake invoices, circular trading and shell entities</w:t>
            </w:r>
          </w:p>
        </w:tc>
        <w:tc>
          <w:tcPr>
            <w:tcW w:type="dxa" w:w="3857"/>
          </w:tcPr>
          <w:p>
            <w:pPr>
              <w:spacing w:line="240" w:lineRule="auto" w:after="40"/>
              <w:jc w:val="left"/>
            </w:pPr>
            <w:r/>
            <w:r>
              <w:rPr>
                <w:rFonts w:ascii="Times New Roman" w:hAnsi="Times New Roman" w:cs="Times New Roman" w:eastAsia="Times New Roman"/>
                <w:sz w:val="20"/>
              </w:rPr>
              <w:t>Recall 0.89, 1.00 and 1.00 at the threshold; 5 of 5 rings; ITC spikes 0.83</w:t>
            </w:r>
          </w:p>
        </w:tc>
        <w:tc>
          <w:tcPr>
            <w:tcW w:type="dxa" w:w="1800"/>
          </w:tcPr>
          <w:p>
            <w:pPr>
              <w:spacing w:line="240" w:lineRule="auto" w:after="40"/>
              <w:jc w:val="left"/>
            </w:pPr>
            <w:r/>
            <w:r>
              <w:rPr>
                <w:rFonts w:ascii="Times New Roman" w:hAnsi="Times New Roman" w:cs="Times New Roman" w:eastAsia="Times New Roman"/>
                <w:sz w:val="20"/>
              </w:rPr>
              <w:t>Achieved on seed 42; lower F1 on other seeds</w:t>
            </w:r>
          </w:p>
        </w:tc>
      </w:tr>
      <w:tr>
        <w:trPr>
          <w:cantSplit/>
        </w:trPr>
        <w:tc>
          <w:tcPr>
            <w:tcW w:type="dxa" w:w="514"/>
          </w:tcPr>
          <w:p>
            <w:pPr>
              <w:spacing w:line="240" w:lineRule="auto" w:after="40"/>
              <w:jc w:val="left"/>
            </w:pPr>
            <w:r/>
            <w:r>
              <w:rPr>
                <w:rFonts w:ascii="Times New Roman" w:hAnsi="Times New Roman" w:cs="Times New Roman" w:eastAsia="Times New Roman"/>
                <w:sz w:val="20"/>
              </w:rPr>
              <w:t>4</w:t>
            </w:r>
          </w:p>
        </w:tc>
        <w:tc>
          <w:tcPr>
            <w:tcW w:type="dxa" w:w="2829"/>
          </w:tcPr>
          <w:p>
            <w:pPr>
              <w:spacing w:line="240" w:lineRule="auto" w:after="40"/>
              <w:jc w:val="left"/>
            </w:pPr>
            <w:r/>
            <w:r>
              <w:rPr>
                <w:rFonts w:ascii="Times New Roman" w:hAnsi="Times New Roman" w:cs="Times New Roman" w:eastAsia="Times New Roman"/>
                <w:sz w:val="20"/>
              </w:rPr>
              <w:t>Rank suspicious taxpayers and invoice chains</w:t>
            </w:r>
          </w:p>
        </w:tc>
        <w:tc>
          <w:tcPr>
            <w:tcW w:type="dxa" w:w="3857"/>
          </w:tcPr>
          <w:p>
            <w:pPr>
              <w:spacing w:line="240" w:lineRule="auto" w:after="40"/>
              <w:jc w:val="left"/>
            </w:pPr>
            <w:r/>
            <w:r>
              <w:rPr>
                <w:rFonts w:ascii="Times New Roman" w:hAnsi="Times New Roman" w:cs="Times New Roman" w:eastAsia="Times New Roman"/>
                <w:sz w:val="20"/>
              </w:rPr>
              <w:t>P@50 = 1.00, P@79 = 0.949, ROC-AUC 0.997; top-10 chains 1.00</w:t>
            </w:r>
          </w:p>
        </w:tc>
        <w:tc>
          <w:tcPr>
            <w:tcW w:type="dxa" w:w="1800"/>
          </w:tcPr>
          <w:p>
            <w:pPr>
              <w:spacing w:line="240" w:lineRule="auto" w:after="40"/>
              <w:jc w:val="left"/>
            </w:pPr>
            <w:r/>
            <w:r>
              <w:rPr>
                <w:rFonts w:ascii="Times New Roman" w:hAnsi="Times New Roman" w:cs="Times New Roman" w:eastAsia="Times New Roman"/>
                <w:sz w:val="20"/>
              </w:rPr>
              <w:t>Achieved</w:t>
            </w:r>
          </w:p>
        </w:tc>
      </w:tr>
      <w:tr>
        <w:trPr>
          <w:cantSplit/>
        </w:trPr>
        <w:tc>
          <w:tcPr>
            <w:tcW w:type="dxa" w:w="514"/>
          </w:tcPr>
          <w:p>
            <w:pPr>
              <w:spacing w:line="240" w:lineRule="auto" w:after="40"/>
              <w:jc w:val="left"/>
            </w:pPr>
            <w:r/>
            <w:r>
              <w:rPr>
                <w:rFonts w:ascii="Times New Roman" w:hAnsi="Times New Roman" w:cs="Times New Roman" w:eastAsia="Times New Roman"/>
                <w:sz w:val="20"/>
              </w:rPr>
              <w:t>5</w:t>
            </w:r>
          </w:p>
        </w:tc>
        <w:tc>
          <w:tcPr>
            <w:tcW w:type="dxa" w:w="2829"/>
          </w:tcPr>
          <w:p>
            <w:pPr>
              <w:spacing w:line="240" w:lineRule="auto" w:after="40"/>
              <w:jc w:val="left"/>
            </w:pPr>
            <w:r/>
            <w:r>
              <w:rPr>
                <w:rFonts w:ascii="Times New Roman" w:hAnsi="Times New Roman" w:cs="Times New Roman" w:eastAsia="Times New Roman"/>
                <w:sz w:val="20"/>
              </w:rPr>
              <w:t>Natural-language explanations with a tuned LLM</w:t>
            </w:r>
          </w:p>
        </w:tc>
        <w:tc>
          <w:tcPr>
            <w:tcW w:type="dxa" w:w="3857"/>
          </w:tcPr>
          <w:p>
            <w:pPr>
              <w:spacing w:line="240" w:lineRule="auto" w:after="40"/>
              <w:jc w:val="left"/>
            </w:pPr>
            <w:r/>
            <w:r>
              <w:rPr>
                <w:rFonts w:ascii="Times New Roman" w:hAnsi="Times New Roman" w:cs="Times New Roman" w:eastAsia="Times New Roman"/>
                <w:sz w:val="20"/>
              </w:rPr>
              <w:t>Cited Gemini notes with checks; prompt-tuned, not fine-tuned</w:t>
            </w:r>
          </w:p>
        </w:tc>
        <w:tc>
          <w:tcPr>
            <w:tcW w:type="dxa" w:w="1800"/>
          </w:tcPr>
          <w:p>
            <w:pPr>
              <w:spacing w:line="240" w:lineRule="auto" w:after="40"/>
              <w:jc w:val="left"/>
            </w:pPr>
            <w:r/>
            <w:r>
              <w:rPr>
                <w:rFonts w:ascii="Times New Roman" w:hAnsi="Times New Roman" w:cs="Times New Roman" w:eastAsia="Times New Roman"/>
                <w:sz w:val="20"/>
              </w:rPr>
              <w:t>Achieved with a deviation: prompting, not fine-tuning</w:t>
            </w:r>
          </w:p>
        </w:tc>
      </w:tr>
      <w:tr>
        <w:trPr>
          <w:cantSplit/>
        </w:trPr>
        <w:tc>
          <w:tcPr>
            <w:tcW w:type="dxa" w:w="514"/>
          </w:tcPr>
          <w:p>
            <w:pPr>
              <w:spacing w:line="240" w:lineRule="auto" w:after="40"/>
              <w:jc w:val="left"/>
            </w:pPr>
            <w:r/>
            <w:r>
              <w:rPr>
                <w:rFonts w:ascii="Times New Roman" w:hAnsi="Times New Roman" w:cs="Times New Roman" w:eastAsia="Times New Roman"/>
                <w:sz w:val="20"/>
              </w:rPr>
              <w:t>6</w:t>
            </w:r>
          </w:p>
        </w:tc>
        <w:tc>
          <w:tcPr>
            <w:tcW w:type="dxa" w:w="2829"/>
          </w:tcPr>
          <w:p>
            <w:pPr>
              <w:spacing w:line="240" w:lineRule="auto" w:after="40"/>
              <w:jc w:val="left"/>
            </w:pPr>
            <w:r/>
            <w:r>
              <w:rPr>
                <w:rFonts w:ascii="Times New Roman" w:hAnsi="Times New Roman" w:cs="Times New Roman" w:eastAsia="Times New Roman"/>
                <w:sz w:val="20"/>
              </w:rPr>
              <w:t>Evaluate detection accuracy and explanation quality</w:t>
            </w:r>
          </w:p>
        </w:tc>
        <w:tc>
          <w:tcPr>
            <w:tcW w:type="dxa" w:w="3857"/>
          </w:tcPr>
          <w:p>
            <w:pPr>
              <w:spacing w:line="240" w:lineRule="auto" w:after="40"/>
              <w:jc w:val="left"/>
            </w:pPr>
            <w:r/>
            <w:r>
              <w:rPr>
                <w:rFonts w:ascii="Times New Roman" w:hAnsi="Times New Roman" w:cs="Times New Roman" w:eastAsia="Times New Roman"/>
                <w:sz w:val="20"/>
              </w:rPr>
              <w:t>Full harness, ablations, cross-seed study, PaySim check; 6 of 10 notes evaluated</w:t>
            </w:r>
          </w:p>
        </w:tc>
        <w:tc>
          <w:tcPr>
            <w:tcW w:type="dxa" w:w="1800"/>
          </w:tcPr>
          <w:p>
            <w:pPr>
              <w:spacing w:line="240" w:lineRule="auto" w:after="40"/>
              <w:jc w:val="left"/>
            </w:pPr>
            <w:r/>
            <w:r>
              <w:rPr>
                <w:rFonts w:ascii="Times New Roman" w:hAnsi="Times New Roman" w:cs="Times New Roman" w:eastAsia="Times New Roman"/>
                <w:sz w:val="20"/>
              </w:rPr>
              <w:t>Achieved, with the gaps listed in Section 8.7</w:t>
            </w:r>
          </w:p>
        </w:tc>
      </w:tr>
    </w:tbl>
    <w:p>
      <w:pPr>
        <w:spacing w:after="120" w:line="240" w:lineRule="auto"/>
      </w:pPr>
    </w:p>
    <w:p>
      <w:pPr>
        <w:pStyle w:val="Heading2"/>
      </w:pPr>
      <w:r>
        <w:t>8.9 Further Output Screens</w:t>
      </w:r>
    </w:p>
    <w:p>
      <w:pPr>
        <w:keepNext/>
        <w:spacing w:line="240" w:lineRule="auto"/>
        <w:jc w:val="center"/>
      </w:pPr>
      <w:r>
        <w:drawing>
          <wp:inline xmlns:a="http://schemas.openxmlformats.org/drawingml/2006/main" xmlns:pic="http://schemas.openxmlformats.org/drawingml/2006/picture">
            <wp:extent cx="5303520" cy="3314700"/>
            <wp:docPr id="24" name="Picture 24"/>
            <wp:cNvGraphicFramePr>
              <a:graphicFrameLocks noChangeAspect="1"/>
            </wp:cNvGraphicFramePr>
            <a:graphic>
              <a:graphicData uri="http://schemas.openxmlformats.org/drawingml/2006/picture">
                <pic:pic>
                  <pic:nvPicPr>
                    <pic:cNvPr id="0" name="01_landing.png"/>
                    <pic:cNvPicPr/>
                  </pic:nvPicPr>
                  <pic:blipFill>
                    <a:blip r:embed="rId33"/>
                    <a:stretch>
                      <a:fillRect/>
                    </a:stretch>
                  </pic:blipFill>
                  <pic:spPr>
                    <a:xfrm>
                      <a:off x="0" y="0"/>
                      <a:ext cx="5303520" cy="33147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24</w:t>
      </w:r>
      <w:r>
        <w:rPr>
          <w:rFonts w:ascii="Times New Roman" w:hAnsi="Times New Roman" w:cs="Times New Roman" w:eastAsia="Times New Roman"/>
          <w:b/>
        </w:rPr>
        <w:fldChar w:fldCharType="end"/>
      </w:r>
      <w:r>
        <w:rPr>
          <w:rFonts w:ascii="Times New Roman" w:hAnsi="Times New Roman" w:cs="Times New Roman" w:eastAsia="Times New Roman"/>
          <w:b/>
          <w:sz w:val="22"/>
        </w:rPr>
        <w:t>: Landing page: product summary, live health card (API, pipeline and Gemini status) and the call to action.</w:t>
      </w:r>
    </w:p>
    <w:p>
      <w:pPr>
        <w:keepNext/>
        <w:spacing w:line="240" w:lineRule="auto"/>
        <w:jc w:val="center"/>
      </w:pPr>
      <w:r>
        <w:drawing>
          <wp:inline xmlns:a="http://schemas.openxmlformats.org/drawingml/2006/main" xmlns:pic="http://schemas.openxmlformats.org/drawingml/2006/picture">
            <wp:extent cx="5303520" cy="3314700"/>
            <wp:docPr id="25" name="Picture 25"/>
            <wp:cNvGraphicFramePr>
              <a:graphicFrameLocks noChangeAspect="1"/>
            </wp:cNvGraphicFramePr>
            <a:graphic>
              <a:graphicData uri="http://schemas.openxmlformats.org/drawingml/2006/picture">
                <pic:pic>
                  <pic:nvPicPr>
                    <pic:cNvPr id="0" name="02_login.png"/>
                    <pic:cNvPicPr/>
                  </pic:nvPicPr>
                  <pic:blipFill>
                    <a:blip r:embed="rId34"/>
                    <a:stretch>
                      <a:fillRect/>
                    </a:stretch>
                  </pic:blipFill>
                  <pic:spPr>
                    <a:xfrm>
                      <a:off x="0" y="0"/>
                      <a:ext cx="5303520" cy="33147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25</w:t>
      </w:r>
      <w:r>
        <w:rPr>
          <w:rFonts w:ascii="Times New Roman" w:hAnsi="Times New Roman" w:cs="Times New Roman" w:eastAsia="Times New Roman"/>
          <w:b/>
        </w:rPr>
        <w:fldChar w:fldCharType="end"/>
      </w:r>
      <w:r>
        <w:rPr>
          <w:rFonts w:ascii="Times New Roman" w:hAnsi="Times New Roman" w:cs="Times New Roman" w:eastAsia="Times New Roman"/>
          <w:b/>
          <w:sz w:val="22"/>
        </w:rPr>
        <w:t>: Sign-in screen with the API, pipeline and Gemini status panel.</w:t>
      </w:r>
    </w:p>
    <w:p>
      <w:pPr>
        <w:keepNext/>
        <w:spacing w:line="240" w:lineRule="auto"/>
        <w:jc w:val="center"/>
      </w:pPr>
      <w:r>
        <w:drawing>
          <wp:inline xmlns:a="http://schemas.openxmlformats.org/drawingml/2006/main" xmlns:pic="http://schemas.openxmlformats.org/drawingml/2006/picture">
            <wp:extent cx="5303520" cy="3314700"/>
            <wp:docPr id="26" name="Picture 26"/>
            <wp:cNvGraphicFramePr>
              <a:graphicFrameLocks noChangeAspect="1"/>
            </wp:cNvGraphicFramePr>
            <a:graphic>
              <a:graphicData uri="http://schemas.openxmlformats.org/drawingml/2006/picture">
                <pic:pic>
                  <pic:nvPicPr>
                    <pic:cNvPr id="0" name="03_login_demo_filled.png"/>
                    <pic:cNvPicPr/>
                  </pic:nvPicPr>
                  <pic:blipFill>
                    <a:blip r:embed="rId35"/>
                    <a:stretch>
                      <a:fillRect/>
                    </a:stretch>
                  </pic:blipFill>
                  <pic:spPr>
                    <a:xfrm>
                      <a:off x="0" y="0"/>
                      <a:ext cx="5303520" cy="33147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26</w:t>
      </w:r>
      <w:r>
        <w:rPr>
          <w:rFonts w:ascii="Times New Roman" w:hAnsi="Times New Roman" w:cs="Times New Roman" w:eastAsia="Times New Roman"/>
          <w:b/>
        </w:rPr>
        <w:fldChar w:fldCharType="end"/>
      </w:r>
      <w:r>
        <w:rPr>
          <w:rFonts w:ascii="Times New Roman" w:hAnsi="Times New Roman" w:cs="Times New Roman" w:eastAsia="Times New Roman"/>
          <w:b/>
          <w:sz w:val="22"/>
        </w:rPr>
        <w:t>: Sign-in with the demo account filled in by the one-click helper.</w:t>
      </w:r>
    </w:p>
    <w:p>
      <w:pPr>
        <w:keepNext/>
        <w:spacing w:line="240" w:lineRule="auto"/>
        <w:jc w:val="center"/>
      </w:pPr>
      <w:r>
        <w:drawing>
          <wp:inline xmlns:a="http://schemas.openxmlformats.org/drawingml/2006/main" xmlns:pic="http://schemas.openxmlformats.org/drawingml/2006/picture">
            <wp:extent cx="5303520" cy="3314700"/>
            <wp:docPr id="27" name="Picture 27"/>
            <wp:cNvGraphicFramePr>
              <a:graphicFrameLocks noChangeAspect="1"/>
            </wp:cNvGraphicFramePr>
            <a:graphic>
              <a:graphicData uri="http://schemas.openxmlformats.org/drawingml/2006/picture">
                <pic:pic>
                  <pic:nvPicPr>
                    <pic:cNvPr id="0" name="04_overview_before_run.png"/>
                    <pic:cNvPicPr/>
                  </pic:nvPicPr>
                  <pic:blipFill>
                    <a:blip r:embed="rId36"/>
                    <a:stretch>
                      <a:fillRect/>
                    </a:stretch>
                  </pic:blipFill>
                  <pic:spPr>
                    <a:xfrm>
                      <a:off x="0" y="0"/>
                      <a:ext cx="5303520" cy="33147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27</w:t>
      </w:r>
      <w:r>
        <w:rPr>
          <w:rFonts w:ascii="Times New Roman" w:hAnsi="Times New Roman" w:cs="Times New Roman" w:eastAsia="Times New Roman"/>
          <w:b/>
        </w:rPr>
        <w:fldChar w:fldCharType="end"/>
      </w:r>
      <w:r>
        <w:rPr>
          <w:rFonts w:ascii="Times New Roman" w:hAnsi="Times New Roman" w:cs="Times New Roman" w:eastAsia="Times New Roman"/>
          <w:b/>
          <w:sz w:val="22"/>
        </w:rPr>
        <w:t>: Overview (control room) before a new generation: generate controls, activity log, headline counts and the monthly ITC pulse.</w:t>
      </w:r>
    </w:p>
    <w:p>
      <w:pPr>
        <w:keepNext/>
        <w:spacing w:line="240" w:lineRule="auto"/>
        <w:jc w:val="center"/>
      </w:pPr>
      <w:r>
        <w:drawing>
          <wp:inline xmlns:a="http://schemas.openxmlformats.org/drawingml/2006/main" xmlns:pic="http://schemas.openxmlformats.org/drawingml/2006/picture">
            <wp:extent cx="5303520" cy="7977378"/>
            <wp:docPr id="28" name="Picture 28"/>
            <wp:cNvGraphicFramePr>
              <a:graphicFrameLocks noChangeAspect="1"/>
            </wp:cNvGraphicFramePr>
            <a:graphic>
              <a:graphicData uri="http://schemas.openxmlformats.org/drawingml/2006/picture">
                <pic:pic>
                  <pic:nvPicPr>
                    <pic:cNvPr id="0" name="06b_overview_results_full.png"/>
                    <pic:cNvPicPr/>
                  </pic:nvPicPr>
                  <pic:blipFill>
                    <a:blip r:embed="rId37"/>
                    <a:stretch>
                      <a:fillRect/>
                    </a:stretch>
                  </pic:blipFill>
                  <pic:spPr>
                    <a:xfrm>
                      <a:off x="0" y="0"/>
                      <a:ext cx="5303520" cy="7977378"/>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28</w:t>
      </w:r>
      <w:r>
        <w:rPr>
          <w:rFonts w:ascii="Times New Roman" w:hAnsi="Times New Roman" w:cs="Times New Roman" w:eastAsia="Times New Roman"/>
          <w:b/>
        </w:rPr>
        <w:fldChar w:fldCharType="end"/>
      </w:r>
      <w:r>
        <w:rPr>
          <w:rFonts w:ascii="Times New Roman" w:hAnsi="Times New Roman" w:cs="Times New Roman" w:eastAsia="Times New Roman"/>
          <w:b/>
          <w:sz w:val="22"/>
        </w:rPr>
        <w:t>: Full-page overview: detection against the rule baseline, risk histogram, pattern counts, top-ranked taxpayers and top invoice chains.</w:t>
      </w:r>
    </w:p>
    <w:p>
      <w:pPr>
        <w:keepNext/>
        <w:spacing w:line="240" w:lineRule="auto"/>
        <w:jc w:val="center"/>
      </w:pPr>
      <w:r>
        <w:drawing>
          <wp:inline xmlns:a="http://schemas.openxmlformats.org/drawingml/2006/main" xmlns:pic="http://schemas.openxmlformats.org/drawingml/2006/picture">
            <wp:extent cx="5303520" cy="3314700"/>
            <wp:docPr id="29" name="Picture 29"/>
            <wp:cNvGraphicFramePr>
              <a:graphicFrameLocks noChangeAspect="1"/>
            </wp:cNvGraphicFramePr>
            <a:graphic>
              <a:graphicData uri="http://schemas.openxmlformats.org/drawingml/2006/picture">
                <pic:pic>
                  <pic:nvPicPr>
                    <pic:cNvPr id="0" name="11_profile_invoices.png"/>
                    <pic:cNvPicPr/>
                  </pic:nvPicPr>
                  <pic:blipFill>
                    <a:blip r:embed="rId38"/>
                    <a:stretch>
                      <a:fillRect/>
                    </a:stretch>
                  </pic:blipFill>
                  <pic:spPr>
                    <a:xfrm>
                      <a:off x="0" y="0"/>
                      <a:ext cx="5303520" cy="33147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29</w:t>
      </w:r>
      <w:r>
        <w:rPr>
          <w:rFonts w:ascii="Times New Roman" w:hAnsi="Times New Roman" w:cs="Times New Roman" w:eastAsia="Times New Roman"/>
          <w:b/>
        </w:rPr>
        <w:fldChar w:fldCharType="end"/>
      </w:r>
      <w:r>
        <w:rPr>
          <w:rFonts w:ascii="Times New Roman" w:hAnsi="Times New Roman" w:cs="Times New Roman" w:eastAsia="Times New Roman"/>
          <w:b/>
          <w:sz w:val="22"/>
        </w:rPr>
        <w:t>: Taxpayer profile, Invoices tab: anomalous invoices with value, tax, e-way bill, GSTR-1 reporting status and the signals that fired.</w:t>
      </w:r>
    </w:p>
    <w:p>
      <w:pPr>
        <w:keepNext/>
        <w:spacing w:line="240" w:lineRule="auto"/>
        <w:jc w:val="center"/>
      </w:pPr>
      <w:r>
        <w:drawing>
          <wp:inline xmlns:a="http://schemas.openxmlformats.org/drawingml/2006/main" xmlns:pic="http://schemas.openxmlformats.org/drawingml/2006/picture">
            <wp:extent cx="5303520" cy="3314700"/>
            <wp:docPr id="30" name="Picture 30"/>
            <wp:cNvGraphicFramePr>
              <a:graphicFrameLocks noChangeAspect="1"/>
            </wp:cNvGraphicFramePr>
            <a:graphic>
              <a:graphicData uri="http://schemas.openxmlformats.org/drawingml/2006/picture">
                <pic:pic>
                  <pic:nvPicPr>
                    <pic:cNvPr id="0" name="13_profile_shell_cluster.png"/>
                    <pic:cNvPicPr/>
                  </pic:nvPicPr>
                  <pic:blipFill>
                    <a:blip r:embed="rId39"/>
                    <a:stretch>
                      <a:fillRect/>
                    </a:stretch>
                  </pic:blipFill>
                  <pic:spPr>
                    <a:xfrm>
                      <a:off x="0" y="0"/>
                      <a:ext cx="5303520" cy="33147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30</w:t>
      </w:r>
      <w:r>
        <w:rPr>
          <w:rFonts w:ascii="Times New Roman" w:hAnsi="Times New Roman" w:cs="Times New Roman" w:eastAsia="Times New Roman"/>
          <w:b/>
        </w:rPr>
        <w:fldChar w:fldCharType="end"/>
      </w:r>
      <w:r>
        <w:rPr>
          <w:rFonts w:ascii="Times New Roman" w:hAnsi="Times New Roman" w:cs="Times New Roman" w:eastAsia="Times New Roman"/>
          <w:b/>
          <w:sz w:val="22"/>
        </w:rPr>
        <w:t>: Profile of a shell-cluster taxpayer (Pioneer Services): the shared-identity cluster S-card and the partners it trades with.</w:t>
      </w:r>
    </w:p>
    <w:p>
      <w:pPr>
        <w:keepNext/>
        <w:spacing w:line="240" w:lineRule="auto"/>
        <w:jc w:val="center"/>
      </w:pPr>
      <w:r>
        <w:drawing>
          <wp:inline xmlns:a="http://schemas.openxmlformats.org/drawingml/2006/main" xmlns:pic="http://schemas.openxmlformats.org/drawingml/2006/picture">
            <wp:extent cx="5303520" cy="6758305"/>
            <wp:docPr id="31" name="Picture 31"/>
            <wp:cNvGraphicFramePr>
              <a:graphicFrameLocks noChangeAspect="1"/>
            </wp:cNvGraphicFramePr>
            <a:graphic>
              <a:graphicData uri="http://schemas.openxmlformats.org/drawingml/2006/picture">
                <pic:pic>
                  <pic:nvPicPr>
                    <pic:cNvPr id="0" name="15_fraud_rings_list.png"/>
                    <pic:cNvPicPr/>
                  </pic:nvPicPr>
                  <pic:blipFill>
                    <a:blip r:embed="rId40"/>
                    <a:stretch>
                      <a:fillRect/>
                    </a:stretch>
                  </pic:blipFill>
                  <pic:spPr>
                    <a:xfrm>
                      <a:off x="0" y="0"/>
                      <a:ext cx="5303520" cy="6758305"/>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31</w:t>
      </w:r>
      <w:r>
        <w:rPr>
          <w:rFonts w:ascii="Times New Roman" w:hAnsi="Times New Roman" w:cs="Times New Roman" w:eastAsia="Times New Roman"/>
          <w:b/>
        </w:rPr>
        <w:fldChar w:fldCharType="end"/>
      </w:r>
      <w:r>
        <w:rPr>
          <w:rFonts w:ascii="Times New Roman" w:hAnsi="Times New Roman" w:cs="Times New Roman" w:eastAsia="Times New Roman"/>
          <w:b/>
          <w:sz w:val="22"/>
        </w:rPr>
        <w:t>: Fraud rings, full page: the nine trade loops and twelve identity clusters with their scores, and the ranked invoice chains.</w:t>
      </w:r>
    </w:p>
    <w:p>
      <w:pPr>
        <w:keepNext/>
        <w:spacing w:line="240" w:lineRule="auto"/>
        <w:jc w:val="center"/>
      </w:pPr>
      <w:r>
        <w:drawing>
          <wp:inline xmlns:a="http://schemas.openxmlformats.org/drawingml/2006/main" xmlns:pic="http://schemas.openxmlformats.org/drawingml/2006/picture">
            <wp:extent cx="5303520" cy="3314700"/>
            <wp:docPr id="32" name="Picture 32"/>
            <wp:cNvGraphicFramePr>
              <a:graphicFrameLocks noChangeAspect="1"/>
            </wp:cNvGraphicFramePr>
            <a:graphic>
              <a:graphicData uri="http://schemas.openxmlformats.org/drawingml/2006/picture">
                <pic:pic>
                  <pic:nvPicPr>
                    <pic:cNvPr id="0" name="18_case_before_explanation.png"/>
                    <pic:cNvPicPr/>
                  </pic:nvPicPr>
                  <pic:blipFill>
                    <a:blip r:embed="rId41"/>
                    <a:stretch>
                      <a:fillRect/>
                    </a:stretch>
                  </pic:blipFill>
                  <pic:spPr>
                    <a:xfrm>
                      <a:off x="0" y="0"/>
                      <a:ext cx="5303520" cy="33147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32</w:t>
      </w:r>
      <w:r>
        <w:rPr>
          <w:rFonts w:ascii="Times New Roman" w:hAnsi="Times New Roman" w:cs="Times New Roman" w:eastAsia="Times New Roman"/>
          <w:b/>
        </w:rPr>
        <w:fldChar w:fldCharType="end"/>
      </w:r>
      <w:r>
        <w:rPr>
          <w:rFonts w:ascii="Times New Roman" w:hAnsi="Times New Roman" w:cs="Times New Roman" w:eastAsia="Times New Roman"/>
          <w:b/>
          <w:sz w:val="22"/>
        </w:rPr>
        <w:t>: Case page before a note is written: the evidence list is ready and the note is requested on demand.</w:t>
      </w:r>
    </w:p>
    <w:p>
      <w:pPr>
        <w:keepNext/>
        <w:spacing w:line="240" w:lineRule="auto"/>
        <w:jc w:val="center"/>
      </w:pPr>
      <w:r>
        <w:drawing>
          <wp:inline xmlns:a="http://schemas.openxmlformats.org/drawingml/2006/main" xmlns:pic="http://schemas.openxmlformats.org/drawingml/2006/picture">
            <wp:extent cx="5303520" cy="6890893"/>
            <wp:docPr id="33" name="Picture 33"/>
            <wp:cNvGraphicFramePr>
              <a:graphicFrameLocks noChangeAspect="1"/>
            </wp:cNvGraphicFramePr>
            <a:graphic>
              <a:graphicData uri="http://schemas.openxmlformats.org/drawingml/2006/picture">
                <pic:pic>
                  <pic:nvPicPr>
                    <pic:cNvPr id="0" name="19b_case_explanation_full.png"/>
                    <pic:cNvPicPr/>
                  </pic:nvPicPr>
                  <pic:blipFill>
                    <a:blip r:embed="rId42"/>
                    <a:stretch>
                      <a:fillRect/>
                    </a:stretch>
                  </pic:blipFill>
                  <pic:spPr>
                    <a:xfrm>
                      <a:off x="0" y="0"/>
                      <a:ext cx="5303520" cy="6890893"/>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33</w:t>
      </w:r>
      <w:r>
        <w:rPr>
          <w:rFonts w:ascii="Times New Roman" w:hAnsi="Times New Roman" w:cs="Times New Roman" w:eastAsia="Times New Roman"/>
          <w:b/>
        </w:rPr>
        <w:fldChar w:fldCharType="end"/>
      </w:r>
      <w:r>
        <w:rPr>
          <w:rFonts w:ascii="Times New Roman" w:hAnsi="Times New Roman" w:cs="Times New Roman" w:eastAsia="Times New Roman"/>
          <w:b/>
          <w:sz w:val="22"/>
        </w:rPr>
        <w:t>: Full case page: the three-section note (Summary, Why it was flagged, Suggested next steps) beside the evidence list.</w:t>
      </w:r>
    </w:p>
    <w:p>
      <w:pPr>
        <w:keepNext/>
        <w:spacing w:line="240" w:lineRule="auto"/>
        <w:jc w:val="center"/>
      </w:pPr>
      <w:r>
        <w:drawing>
          <wp:inline xmlns:a="http://schemas.openxmlformats.org/drawingml/2006/main" xmlns:pic="http://schemas.openxmlformats.org/drawingml/2006/picture">
            <wp:extent cx="5303520" cy="7027164"/>
            <wp:docPr id="34" name="Picture 34"/>
            <wp:cNvGraphicFramePr>
              <a:graphicFrameLocks noChangeAspect="1"/>
            </wp:cNvGraphicFramePr>
            <a:graphic>
              <a:graphicData uri="http://schemas.openxmlformats.org/drawingml/2006/picture">
                <pic:pic>
                  <pic:nvPicPr>
                    <pic:cNvPr id="0" name="20b_performance_full.png"/>
                    <pic:cNvPicPr/>
                  </pic:nvPicPr>
                  <pic:blipFill>
                    <a:blip r:embed="rId43"/>
                    <a:stretch>
                      <a:fillRect/>
                    </a:stretch>
                  </pic:blipFill>
                  <pic:spPr>
                    <a:xfrm>
                      <a:off x="0" y="0"/>
                      <a:ext cx="5303520" cy="702716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34</w:t>
      </w:r>
      <w:r>
        <w:rPr>
          <w:rFonts w:ascii="Times New Roman" w:hAnsi="Times New Roman" w:cs="Times New Roman" w:eastAsia="Times New Roman"/>
          <w:b/>
        </w:rPr>
        <w:fldChar w:fldCharType="end"/>
      </w:r>
      <w:r>
        <w:rPr>
          <w:rFonts w:ascii="Times New Roman" w:hAnsi="Times New Roman" w:cs="Times New Roman" w:eastAsia="Times New Roman"/>
          <w:b/>
          <w:sz w:val="22"/>
        </w:rPr>
        <w:t>: Full model-performance page: taxpayer-level table with ablations, per-pattern recall, invoice-level and ring results.</w:t>
      </w:r>
    </w:p>
    <w:p>
      <w:pPr>
        <w:keepNext/>
        <w:spacing w:line="240" w:lineRule="auto"/>
        <w:jc w:val="center"/>
      </w:pPr>
      <w:r>
        <w:drawing>
          <wp:inline xmlns:a="http://schemas.openxmlformats.org/drawingml/2006/main" xmlns:pic="http://schemas.openxmlformats.org/drawingml/2006/picture">
            <wp:extent cx="5303520" cy="3314700"/>
            <wp:docPr id="35" name="Picture 35"/>
            <wp:cNvGraphicFramePr>
              <a:graphicFrameLocks noChangeAspect="1"/>
            </wp:cNvGraphicFramePr>
            <a:graphic>
              <a:graphicData uri="http://schemas.openxmlformats.org/drawingml/2006/picture">
                <pic:pic>
                  <pic:nvPicPr>
                    <pic:cNvPr id="0" name="22_overview_dark.png"/>
                    <pic:cNvPicPr/>
                  </pic:nvPicPr>
                  <pic:blipFill>
                    <a:blip r:embed="rId44"/>
                    <a:stretch>
                      <a:fillRect/>
                    </a:stretch>
                  </pic:blipFill>
                  <pic:spPr>
                    <a:xfrm>
                      <a:off x="0" y="0"/>
                      <a:ext cx="5303520" cy="33147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35</w:t>
      </w:r>
      <w:r>
        <w:rPr>
          <w:rFonts w:ascii="Times New Roman" w:hAnsi="Times New Roman" w:cs="Times New Roman" w:eastAsia="Times New Roman"/>
          <w:b/>
        </w:rPr>
        <w:fldChar w:fldCharType="end"/>
      </w:r>
      <w:r>
        <w:rPr>
          <w:rFonts w:ascii="Times New Roman" w:hAnsi="Times New Roman" w:cs="Times New Roman" w:eastAsia="Times New Roman"/>
          <w:b/>
          <w:sz w:val="22"/>
        </w:rPr>
        <w:t>: Overview in dark mode (the theme follows the operating-system setting and can be toggled).</w:t>
      </w:r>
    </w:p>
    <w:p>
      <w:pPr>
        <w:keepNext/>
        <w:spacing w:line="240" w:lineRule="auto"/>
        <w:jc w:val="center"/>
      </w:pPr>
      <w:r>
        <w:drawing>
          <wp:inline xmlns:a="http://schemas.openxmlformats.org/drawingml/2006/main" xmlns:pic="http://schemas.openxmlformats.org/drawingml/2006/picture">
            <wp:extent cx="5303520" cy="3314700"/>
            <wp:docPr id="36" name="Picture 36"/>
            <wp:cNvGraphicFramePr>
              <a:graphicFrameLocks noChangeAspect="1"/>
            </wp:cNvGraphicFramePr>
            <a:graphic>
              <a:graphicData uri="http://schemas.openxmlformats.org/drawingml/2006/picture">
                <pic:pic>
                  <pic:nvPicPr>
                    <pic:cNvPr id="0" name="23_command_palette.png"/>
                    <pic:cNvPicPr/>
                  </pic:nvPicPr>
                  <pic:blipFill>
                    <a:blip r:embed="rId45"/>
                    <a:stretch>
                      <a:fillRect/>
                    </a:stretch>
                  </pic:blipFill>
                  <pic:spPr>
                    <a:xfrm>
                      <a:off x="0" y="0"/>
                      <a:ext cx="5303520" cy="331470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36</w:t>
      </w:r>
      <w:r>
        <w:rPr>
          <w:rFonts w:ascii="Times New Roman" w:hAnsi="Times New Roman" w:cs="Times New Roman" w:eastAsia="Times New Roman"/>
          <w:b/>
        </w:rPr>
        <w:fldChar w:fldCharType="end"/>
      </w:r>
      <w:r>
        <w:rPr>
          <w:rFonts w:ascii="Times New Roman" w:hAnsi="Times New Roman" w:cs="Times New Roman" w:eastAsia="Times New Roman"/>
          <w:b/>
          <w:sz w:val="22"/>
        </w:rPr>
        <w:t>: Command palette (key /): search taxpayers or jump to a screen from the keyboard.</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80" w:after="200"/>
      <w:jc w:val="center"/>
    </w:pPr>
    <w:rPr>
      <w:rFonts w:ascii="Times New Roman" w:hAnsi="Times New Roman" w:cs="Times New Roman" w:eastAsia="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