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Department of Computer Science and Engineering (Data Science)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CSDS-A  |  Batch A5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JEPA-LLM Tuning Framework for Combating GST and Sales Tax Input Tax Credit Fraud Pattern Detection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CONCLUSION, FUTURE SCOPE AND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152"/>
            <w:shd w:val="clear" w:color="auto" w:fill="DCFCE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S.No.</w:t>
            </w:r>
          </w:p>
        </w:tc>
        <w:tc>
          <w:tcPr>
            <w:tcW w:type="dxa" w:w="4320"/>
            <w:shd w:val="clear" w:color="auto" w:fill="DCFCE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Name of the student</w:t>
            </w:r>
          </w:p>
        </w:tc>
        <w:tc>
          <w:tcPr>
            <w:tcW w:type="dxa" w:w="2592"/>
            <w:shd w:val="clear" w:color="auto" w:fill="DCFCE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Hall ticket no.</w:t>
            </w:r>
          </w:p>
        </w:tc>
      </w:tr>
      <w:tr>
        <w:tc>
          <w:tcPr>
            <w:tcW w:type="dxa" w:w="115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43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B.ASHRITHA</w:t>
            </w:r>
          </w:p>
        </w:tc>
        <w:tc>
          <w:tcPr>
            <w:tcW w:type="dxa" w:w="259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23K91A6732</w:t>
            </w:r>
          </w:p>
        </w:tc>
      </w:tr>
      <w:tr>
        <w:tc>
          <w:tcPr>
            <w:tcW w:type="dxa" w:w="115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43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B.DIVYA</w:t>
            </w:r>
          </w:p>
        </w:tc>
        <w:tc>
          <w:tcPr>
            <w:tcW w:type="dxa" w:w="259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23K91A6739</w:t>
            </w:r>
          </w:p>
        </w:tc>
      </w:tr>
      <w:tr>
        <w:tc>
          <w:tcPr>
            <w:tcW w:type="dxa" w:w="115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A.KISHORE</w:t>
            </w:r>
          </w:p>
        </w:tc>
        <w:tc>
          <w:tcPr>
            <w:tcW w:type="dxa" w:w="259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23K91A6716</w:t>
            </w:r>
          </w:p>
        </w:tc>
      </w:tr>
      <w:tr>
        <w:tc>
          <w:tcPr>
            <w:tcW w:type="dxa" w:w="115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A.YAGNESH</w:t>
            </w:r>
          </w:p>
        </w:tc>
        <w:tc>
          <w:tcPr>
            <w:tcW w:type="dxa" w:w="2592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23K91A6711</w:t>
            </w:r>
          </w:p>
        </w:tc>
      </w:tr>
    </w:tbl>
    <w:p>
      <w:pPr>
        <w:spacing w:before="120" w:after="4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Project guide: Dr. N. Ch. Ravi, Professor in CSE (Data Science)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TKR College of Engineering and Technology (Autonomous)  |  A.Y. 2026-27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i/>
          <w:sz w:val="21"/>
        </w:rPr>
        <w:t>This document gives the conclusions of the project, its future scope and the numbered reference list (base paper first, then the literature-survey sources).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i/>
          <w:sz w:val="21"/>
        </w:rPr>
        <w:t>Section, table and figure numbers in this document follow the Final Document (17.Final Document.docx) where a section is cited; tables and figures are numbered within this document.</w:t>
      </w:r>
    </w:p>
    <w:p>
      <w:pPr>
        <w:pStyle w:val="Heading2"/>
      </w:pPr>
      <w:r>
        <w:t>9.1 Summary</w:t>
      </w:r>
    </w:p>
    <w:p>
      <w:r>
        <w:rPr>
          <w:rFonts w:ascii="Times New Roman" w:hAnsi="Times New Roman" w:cs="Times New Roman" w:eastAsia="Times New Roman"/>
        </w:rPr>
        <w:t>TaxSentinel is a working prototype of a self-supervised, explainable framework for ITC-fraud detection in GST. It generates a labelled synthetic ecosystem, learns normal behaviour with a 53,420-value JEPA in 11.7 s on a CPU, combines that signal with circular-trading and shell-cluster detection and invoice-level scoring in a noisy-OR risk, ranks taxpayers and invoice chains, and explains each flag with a cited, automatically checked note, all behind a secured web application that was tested end to end.</w:t>
      </w:r>
    </w:p>
    <w:p>
      <w:pPr>
        <w:pStyle w:val="Heading2"/>
      </w:pPr>
      <w:r>
        <w:t>9.2 Objectives Achieved</w:t>
      </w:r>
    </w:p>
    <w:p>
      <w:r>
        <w:rPr>
          <w:rFonts w:ascii="Times New Roman" w:hAnsi="Times New Roman" w:cs="Times New Roman" w:eastAsia="Times New Roman"/>
        </w:rPr>
        <w:t>All six objectives were met on synthetic data, with one deviation: the LLM is prompted and checked, not fine-tuned (Section 8.8). The system ranks the 600-taxpayer ecosystem with precision@79 of 0.949 and ROC-AUC 0.997, recovers all five injected rings, finds anomalous invoices with F1 0.924, and produces notes with no invalid citations.</w:t>
      </w:r>
    </w:p>
    <w:p>
      <w:pPr>
        <w:pStyle w:val="Heading2"/>
      </w:pPr>
      <w:r>
        <w:t>9.3 Key Findings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b/>
        </w:rPr>
        <w:t>Several layers beat one.</w:t>
      </w:r>
      <w:r>
        <w:rPr>
          <w:rFonts w:ascii="Times New Roman" w:hAnsi="Times New Roman" w:cs="Times New Roman" w:eastAsia="Times New Roman"/>
        </w:rPr>
        <w:t xml:space="preserve"> JEPA plus behaviour alone has F1 0.327; graph plus invoice 0.887; all layers 0.955. Self-supervised deviation is a useful but partial signal, strongest as a complement to network and invoice evidence.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b/>
        </w:rPr>
        <w:t>Structure matters more than amounts for circular trading and shells.</w:t>
      </w:r>
      <w:r>
        <w:rPr>
          <w:rFonts w:ascii="Times New Roman" w:hAnsi="Times New Roman" w:cs="Times New Roman" w:eastAsia="Times New Roman"/>
        </w:rPr>
        <w:t xml:space="preserve"> Balance, recurrence and concentration of a loop, and shared identity of a cluster, find what a per-taxpayer score cannot.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b/>
        </w:rPr>
        <w:t>Rules are good at what they were written for.</w:t>
      </w:r>
      <w:r>
        <w:rPr>
          <w:rFonts w:ascii="Times New Roman" w:hAnsi="Times New Roman" w:cs="Times New Roman" w:eastAsia="Times New Roman"/>
        </w:rPr>
        <w:t xml:space="preserve"> The rule baseline beats the model on one-month ITC spikes (recall 1.00 against 0.83) but flags 236 taxpayers with 168 false alarms.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b/>
        </w:rPr>
        <w:t>Headline accuracy does not fully generalise.</w:t>
      </w:r>
      <w:r>
        <w:rPr>
          <w:rFonts w:ascii="Times New Roman" w:hAnsi="Times New Roman" w:cs="Times New Roman" w:eastAsia="Times New Roman"/>
        </w:rPr>
        <w:t xml:space="preserve"> On five other generated ecosystems the mean F1 is 0.888 (range 0.790 to 0.933), lower than 0.955, while the ranking quality (ROC-AUC mean 0.988) and the advantage over rules hold. The fixed weights and threshold are the weak point.</w:t>
      </w:r>
    </w:p>
    <w:p>
      <w:pPr>
        <w:pStyle w:val="ListNumber"/>
        <w:numPr>
          <w:ilvl w:val="0"/>
          <w:numId w:val="10"/>
        </w:numPr>
      </w:pPr>
      <w:r>
        <w:rPr>
          <w:rFonts w:ascii="Times New Roman" w:hAnsi="Times New Roman" w:cs="Times New Roman" w:eastAsia="Times New Roman"/>
          <w:b/>
        </w:rPr>
        <w:t>Citation-constrained generation works, and can be measured.</w:t>
      </w:r>
      <w:r>
        <w:rPr>
          <w:rFonts w:ascii="Times New Roman" w:hAnsi="Times New Roman" w:cs="Times New Roman" w:eastAsia="Times New Roman"/>
        </w:rPr>
        <w:t xml:space="preserve"> No invalid citations and full evidence coverage in six notes; 84 % numeric grounding shows where the remaining risk lies.</w:t>
      </w:r>
    </w:p>
    <w:p>
      <w:pPr>
        <w:pStyle w:val="Heading2"/>
      </w:pPr>
      <w:r>
        <w:t>9.4 Practical Applications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Prioritising audit and enquiry lists in a state tax-administration analytics unit.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Preparing the starting file for an investigation: ranked evidence, loops and a first-draft note.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Supplier-network audits by large businesses (a buyer can check whether its suppliers sit in a shell cluster).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Teaching and evaluation: the seeded generator provides labelled ecosystems for comparing detection methods.</w:t>
      </w:r>
    </w:p>
    <w:p>
      <w:pPr>
        <w:pStyle w:val="Heading2"/>
      </w:pPr>
      <w:r>
        <w:t>9.5 Known Limitations</w:t>
      </w:r>
    </w:p>
    <w:p>
      <w:r>
        <w:rPr>
          <w:rFonts w:ascii="Times New Roman" w:hAnsi="Times New Roman" w:cs="Times New Roman" w:eastAsia="Times New Roman"/>
        </w:rPr>
        <w:t>The data is synthetic; thresholds and weights need recalibration on real returns; the headline F1 is a best case; the LLM is prompted and depends on an external quota; and testing has no unit, UI or user-acceptance layer (Section 1.8 and Chapter 7). The output is a risk indication for review, never a finding of fraud.</w:t>
      </w:r>
    </w:p>
    <w:p>
      <w:pPr>
        <w:pStyle w:val="Heading1"/>
      </w:pPr>
      <w:r>
        <w:t>FUTURE SCOPE</w:t>
      </w:r>
    </w:p>
    <w:p>
      <w:pPr>
        <w:pStyle w:val="Heading2"/>
      </w:pPr>
      <w:r>
        <w:t>10.1 Improvements to the Method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Head-to-head baselines.</w:t>
      </w:r>
      <w:r>
        <w:rPr>
          <w:rFonts w:ascii="Times New Roman" w:hAnsi="Times New Roman" w:cs="Times New Roman" w:eastAsia="Times New Roman"/>
        </w:rPr>
        <w:t xml:space="preserve"> Train an isolation forest [14] and an autoencoder on the same 19 features and compare them with the JEPA, so that the choice of JEPA is supported by measurement and not only by design argument.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Calibration on real returns.</w:t>
      </w:r>
      <w:r>
        <w:rPr>
          <w:rFonts w:ascii="Times New Roman" w:hAnsi="Times New Roman" w:cs="Times New Roman" w:eastAsia="Times New Roman"/>
        </w:rPr>
        <w:t xml:space="preserve"> Replace the hand-set weights (0.75, 0.6, 0.7, 0.6) and thresholds with values fitted on a small set of confirmed cases, or learn the combination with a few labels (semi-supervised), while keeping the self-supervised encoder label-free. The cross-seed study in Chapter 8 shows that the present weights are not stable across generated ecosystems, which makes this the most important method improvement.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Longer and richer temporal context.</w:t>
      </w:r>
      <w:r>
        <w:rPr>
          <w:rFonts w:ascii="Times New Roman" w:hAnsi="Times New Roman" w:cs="Times New Roman" w:eastAsia="Times New Roman"/>
        </w:rPr>
        <w:t xml:space="preserve"> Extend the three-month window, add seasonality features and treat sector-specific norms explicitly, so that legitimate seasonal swings are less likely to look like deviations.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Learned graph representations.</w:t>
      </w:r>
      <w:r>
        <w:rPr>
          <w:rFonts w:ascii="Times New Roman" w:hAnsi="Times New Roman" w:cs="Times New Roman" w:eastAsia="Times New Roman"/>
        </w:rPr>
        <w:t xml:space="preserve"> Add node embeddings [18], [19] or a graph-level JEPA to complement the explicit loop and cluster detectors, keeping the explicit loop as the citable evidence.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Robustness to adaptive fraud.</w:t>
      </w:r>
      <w:r>
        <w:rPr>
          <w:rFonts w:ascii="Times New Roman" w:hAnsi="Times New Roman" w:cs="Times New Roman" w:eastAsia="Times New Roman"/>
        </w:rPr>
        <w:t xml:space="preserve"> Test the system against fraud that has been generated to avoid its signals (for example loops with unbalanced edge values or irregular months) and strengthen the detectors accordingly.</w:t>
      </w:r>
    </w:p>
    <w:p>
      <w:pPr>
        <w:pStyle w:val="Heading2"/>
      </w:pPr>
      <w:r>
        <w:t>10.2 Additional Features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Role-based access.</w:t>
      </w:r>
      <w:r>
        <w:rPr>
          <w:rFonts w:ascii="Times New Roman" w:hAnsi="Times New Roman" w:cs="Times New Roman" w:eastAsia="Times New Roman"/>
        </w:rPr>
        <w:t xml:space="preserve"> Add reviewer and administrator roles, user management and a configurable threshold page.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Case management.</w:t>
      </w:r>
      <w:r>
        <w:rPr>
          <w:rFonts w:ascii="Times New Roman" w:hAnsi="Times New Roman" w:cs="Times New Roman" w:eastAsia="Times New Roman"/>
        </w:rPr>
        <w:t xml:space="preserve"> Let analysts assign, annotate and close cases and feed their decisions back as labels; export a case file (evidence and note) as a PDF.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More data sources.</w:t>
      </w:r>
      <w:r>
        <w:rPr>
          <w:rFonts w:ascii="Times New Roman" w:hAnsi="Times New Roman" w:cs="Times New Roman" w:eastAsia="Times New Roman"/>
        </w:rPr>
        <w:t xml:space="preserve"> Incorporate e-invoice (IRN) and e-way-bill records, annual returns (GSTR-9 and 9C), bank and payment data and registration verification history, which the base paper identifies as parts of a unified intelligence grid [1].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Language support.</w:t>
      </w:r>
      <w:r>
        <w:rPr>
          <w:rFonts w:ascii="Times New Roman" w:hAnsi="Times New Roman" w:cs="Times New Roman" w:eastAsia="Times New Roman"/>
        </w:rPr>
        <w:t xml:space="preserve"> Generate notes in regional languages used by state tax units.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Reports and alerts.</w:t>
      </w:r>
      <w:r>
        <w:rPr>
          <w:rFonts w:ascii="Times New Roman" w:hAnsi="Times New Roman" w:cs="Times New Roman" w:eastAsia="Times New Roman"/>
        </w:rPr>
        <w:t xml:space="preserve"> Scheduled reports and notifications for newly flagged taxpayers or rings.</w:t>
      </w:r>
    </w:p>
    <w:p>
      <w:pPr>
        <w:pStyle w:val="Heading2"/>
      </w:pPr>
      <w:r>
        <w:t>10.3 Scalability and Deployment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Storage.</w:t>
      </w:r>
      <w:r>
        <w:rPr>
          <w:rFonts w:ascii="Times New Roman" w:hAnsi="Times New Roman" w:cs="Times New Roman" w:eastAsia="Times New Roman"/>
        </w:rPr>
        <w:t xml:space="preserve"> Move the analytical data from CSV and a pickle to a columnar store or PostgreSQL, and the application tables from SQLite to a server database.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State scale.</w:t>
      </w:r>
      <w:r>
        <w:rPr>
          <w:rFonts w:ascii="Times New Roman" w:hAnsi="Times New Roman" w:cs="Times New Roman" w:eastAsia="Times New Roman"/>
        </w:rPr>
        <w:t xml:space="preserve"> Real state data is several orders of magnitude larger: Mehta et al. [6] work with 77.8 million invoices and 388,448 taxpayers. The present in-memory design and the full cycle search would need sparse graph structures, partitioning by region or sector, incremental updates each filing cycle and bounded cycle enumeration with sampling.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Operations.</w:t>
      </w:r>
      <w:r>
        <w:rPr>
          <w:rFonts w:ascii="Times New Roman" w:hAnsi="Times New Roman" w:cs="Times New Roman" w:eastAsia="Times New Roman"/>
        </w:rPr>
        <w:t xml:space="preserve"> Package with containers, add HTTPS, rate limiting, account lockout, audit logging and monitoring, and move the generation to a job queue with workers.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</w:rPr>
        <w:t>LLM hosting.</w:t>
      </w:r>
      <w:r>
        <w:rPr>
          <w:rFonts w:ascii="Times New Roman" w:hAnsi="Times New Roman" w:cs="Times New Roman" w:eastAsia="Times New Roman"/>
        </w:rPr>
        <w:t xml:space="preserve"> Use a paid or self-hosted model for volume and data-residency reasons; the grounding checks and the evidence-only prompt are model-independent.</w:t>
      </w:r>
    </w:p>
    <w:p>
      <w:pPr>
        <w:pStyle w:val="Heading2"/>
      </w:pPr>
      <w:r>
        <w:t>10.4 Further Research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Fine-tune a model on real investigator notes with human feedback, and compare it with the prompted approach on the same grounding metrics.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Run a human evaluation of explanations (clarity, usefulness, effort saved) in addition to the automatic checks.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Validate the whole framework on real, anonymised returns with the co-operation of a tax administration, and report results with confidence intervals across several periods.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Study fairness and error costs: which honest taxpayers are most likely to be flagged (for example new registrations, group companies, late filers), and how to limit the burden on them.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Compare the approach with other jurisdictions' VAT carousel-fraud detection, as the base paper suggests [1].</w:t>
      </w:r>
    </w:p>
    <w:p>
      <w:pPr>
        <w:pStyle w:val="Heading1"/>
      </w:pPr>
      <w:r>
        <w:t>REFERENCES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[1]</w:t>
        <w:tab/>
        <w:t xml:space="preserve">S. Datta, H. Thakkar and S. Dabhade, "Combating GST input tax credit fraud in India: Forensic accounting, data analytics, and legal enforcement strategies," </w:t>
      </w:r>
      <w:r>
        <w:rPr>
          <w:rFonts w:ascii="Times New Roman" w:hAnsi="Times New Roman" w:cs="Times New Roman" w:eastAsia="Times New Roman"/>
          <w:i/>
          <w:sz w:val="22"/>
        </w:rPr>
        <w:t>Int. J. Manage., Public Policy Res.</w:t>
      </w:r>
      <w:r>
        <w:rPr>
          <w:rFonts w:ascii="Times New Roman" w:hAnsi="Times New Roman" w:cs="Times New Roman" w:eastAsia="Times New Roman"/>
          <w:sz w:val="22"/>
        </w:rPr>
        <w:t>, vol. 5, no. 1, pp. 37-46, Jan.-Mar. 2026, doi: 10.55829/ykz3ea41.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[2]</w:t>
        <w:tab/>
        <w:t xml:space="preserve">"The role of artificial intelligence and machine learning in enhancing tax compliance and fraud detection in India," </w:t>
      </w:r>
      <w:r>
        <w:rPr>
          <w:rFonts w:ascii="Times New Roman" w:hAnsi="Times New Roman" w:cs="Times New Roman" w:eastAsia="Times New Roman"/>
          <w:i/>
          <w:sz w:val="22"/>
        </w:rPr>
        <w:t>J. Informatics Educ. Res.</w:t>
      </w:r>
      <w:r>
        <w:rPr>
          <w:rFonts w:ascii="Times New Roman" w:hAnsi="Times New Roman" w:cs="Times New Roman" w:eastAsia="Times New Roman"/>
          <w:sz w:val="22"/>
        </w:rPr>
        <w:t>, 2025.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[3]</w:t>
        <w:tab/>
        <w:t xml:space="preserve">"Income tax fraud detection using machine learning," in </w:t>
      </w:r>
      <w:r>
        <w:rPr>
          <w:rFonts w:ascii="Times New Roman" w:hAnsi="Times New Roman" w:cs="Times New Roman" w:eastAsia="Times New Roman"/>
          <w:i/>
          <w:sz w:val="22"/>
        </w:rPr>
        <w:t>Proc. 8th Int. Conf. Trends Electron. Informatics (ICOEI)</w:t>
      </w:r>
      <w:r>
        <w:rPr>
          <w:rFonts w:ascii="Times New Roman" w:hAnsi="Times New Roman" w:cs="Times New Roman" w:eastAsia="Times New Roman"/>
          <w:sz w:val="22"/>
        </w:rPr>
        <w:t>, 2025.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[4]</w:t>
        <w:tab/>
        <w:t xml:space="preserve">"Income tax fraud detection system using AI and machine learning," in </w:t>
      </w:r>
      <w:r>
        <w:rPr>
          <w:rFonts w:ascii="Times New Roman" w:hAnsi="Times New Roman" w:cs="Times New Roman" w:eastAsia="Times New Roman"/>
          <w:i/>
          <w:sz w:val="22"/>
        </w:rPr>
        <w:t>Proc. Int. Conf. Comput. Commun. (COMPUTINGCON)</w:t>
      </w:r>
      <w:r>
        <w:rPr>
          <w:rFonts w:ascii="Times New Roman" w:hAnsi="Times New Roman" w:cs="Times New Roman" w:eastAsia="Times New Roman"/>
          <w:sz w:val="22"/>
        </w:rPr>
        <w:t>, 2025.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[5]</w:t>
        <w:tab/>
        <w:t xml:space="preserve">"Boosting-based machine learning for efficient income tax fraud detection," </w:t>
      </w:r>
      <w:r>
        <w:rPr>
          <w:rFonts w:ascii="Times New Roman" w:hAnsi="Times New Roman" w:cs="Times New Roman" w:eastAsia="Times New Roman"/>
          <w:i/>
          <w:sz w:val="22"/>
        </w:rPr>
        <w:t>Int. J. Res. Trends Innov.</w:t>
      </w:r>
      <w:r>
        <w:rPr>
          <w:rFonts w:ascii="Times New Roman" w:hAnsi="Times New Roman" w:cs="Times New Roman" w:eastAsia="Times New Roman"/>
          <w:sz w:val="22"/>
        </w:rPr>
        <w:t>, 2026.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[6]</w:t>
        <w:tab/>
        <w:t>P. Mehta, S. Bhargava, M. R. Kumar, K. S. Kumar and C. S. Babu, "Representation learning on graphs to identifying circular trading in Goods and Services Tax," arXiv:2208.07660, Aug. 2022.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[7]</w:t>
        <w:tab/>
        <w:t>Y. Xu, B. Shi, B. Dong, J. Wang, H. Wei and Q. Zheng, "TED: Related party transaction guided tax evasion detection on heterogeneous graph," arXiv:2605.26984, May 2026.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[8]</w:t>
        <w:tab/>
        <w:t xml:space="preserve">M. Assran </w:t>
      </w:r>
      <w:r>
        <w:rPr>
          <w:rFonts w:ascii="Times New Roman" w:hAnsi="Times New Roman" w:cs="Times New Roman" w:eastAsia="Times New Roman"/>
          <w:i/>
          <w:sz w:val="22"/>
        </w:rPr>
        <w:t>et al.</w:t>
      </w:r>
      <w:r>
        <w:rPr>
          <w:rFonts w:ascii="Times New Roman" w:hAnsi="Times New Roman" w:cs="Times New Roman" w:eastAsia="Times New Roman"/>
          <w:sz w:val="22"/>
        </w:rPr>
        <w:t xml:space="preserve">, "Self-supervised learning from images with a joint-embedding predictive architecture," in </w:t>
      </w:r>
      <w:r>
        <w:rPr>
          <w:rFonts w:ascii="Times New Roman" w:hAnsi="Times New Roman" w:cs="Times New Roman" w:eastAsia="Times New Roman"/>
          <w:i/>
          <w:sz w:val="22"/>
        </w:rPr>
        <w:t>Proc. IEEE/CVF Conf. Comput. Vis. Pattern Recognit. (CVPR)</w:t>
      </w:r>
      <w:r>
        <w:rPr>
          <w:rFonts w:ascii="Times New Roman" w:hAnsi="Times New Roman" w:cs="Times New Roman" w:eastAsia="Times New Roman"/>
          <w:sz w:val="22"/>
        </w:rPr>
        <w:t>, 2023, pp. 15619-15629.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[9]</w:t>
        <w:tab/>
        <w:t>Y. LeCun, "A path towards autonomous machine intelligence," version 0.9.2, OpenReview, Jun. 2022.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[10]</w:t>
        <w:tab/>
        <w:t xml:space="preserve">A. Bardes </w:t>
      </w:r>
      <w:r>
        <w:rPr>
          <w:rFonts w:ascii="Times New Roman" w:hAnsi="Times New Roman" w:cs="Times New Roman" w:eastAsia="Times New Roman"/>
          <w:i/>
          <w:sz w:val="22"/>
        </w:rPr>
        <w:t>et al.</w:t>
      </w:r>
      <w:r>
        <w:rPr>
          <w:rFonts w:ascii="Times New Roman" w:hAnsi="Times New Roman" w:cs="Times New Roman" w:eastAsia="Times New Roman"/>
          <w:sz w:val="22"/>
        </w:rPr>
        <w:t>, "Revisiting feature prediction for learning visual representations from video," arXiv:2404.08471, 2024.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[11]</w:t>
        <w:tab/>
        <w:t xml:space="preserve">J.-B. Grill </w:t>
      </w:r>
      <w:r>
        <w:rPr>
          <w:rFonts w:ascii="Times New Roman" w:hAnsi="Times New Roman" w:cs="Times New Roman" w:eastAsia="Times New Roman"/>
          <w:i/>
          <w:sz w:val="22"/>
        </w:rPr>
        <w:t>et al.</w:t>
      </w:r>
      <w:r>
        <w:rPr>
          <w:rFonts w:ascii="Times New Roman" w:hAnsi="Times New Roman" w:cs="Times New Roman" w:eastAsia="Times New Roman"/>
          <w:sz w:val="22"/>
        </w:rPr>
        <w:t xml:space="preserve">, "Bootstrap your own latent: A new approach to self-supervised learning," in </w:t>
      </w:r>
      <w:r>
        <w:rPr>
          <w:rFonts w:ascii="Times New Roman" w:hAnsi="Times New Roman" w:cs="Times New Roman" w:eastAsia="Times New Roman"/>
          <w:i/>
          <w:sz w:val="22"/>
        </w:rPr>
        <w:t>Adv. Neural Inf. Process. Syst. (NeurIPS)</w:t>
      </w:r>
      <w:r>
        <w:rPr>
          <w:rFonts w:ascii="Times New Roman" w:hAnsi="Times New Roman" w:cs="Times New Roman" w:eastAsia="Times New Roman"/>
          <w:sz w:val="22"/>
        </w:rPr>
        <w:t>, vol. 33, 2020, pp. 21271-21284.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[12]</w:t>
        <w:tab/>
        <w:t xml:space="preserve">A. Bardes, J. Ponce and Y. LeCun, "VICReg: Variance-invariance-covariance regularization for self-supervised learning," in </w:t>
      </w:r>
      <w:r>
        <w:rPr>
          <w:rFonts w:ascii="Times New Roman" w:hAnsi="Times New Roman" w:cs="Times New Roman" w:eastAsia="Times New Roman"/>
          <w:i/>
          <w:sz w:val="22"/>
        </w:rPr>
        <w:t>Proc. Int. Conf. Learn. Represent. (ICLR)</w:t>
      </w:r>
      <w:r>
        <w:rPr>
          <w:rFonts w:ascii="Times New Roman" w:hAnsi="Times New Roman" w:cs="Times New Roman" w:eastAsia="Times New Roman"/>
          <w:sz w:val="22"/>
        </w:rPr>
        <w:t>, 2022.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[13]</w:t>
        <w:tab/>
        <w:t xml:space="preserve">V. Chandola, A. Banerjee and V. Kumar, "Anomaly detection: A survey," </w:t>
      </w:r>
      <w:r>
        <w:rPr>
          <w:rFonts w:ascii="Times New Roman" w:hAnsi="Times New Roman" w:cs="Times New Roman" w:eastAsia="Times New Roman"/>
          <w:i/>
          <w:sz w:val="22"/>
        </w:rPr>
        <w:t>ACM Comput. Surv.</w:t>
      </w:r>
      <w:r>
        <w:rPr>
          <w:rFonts w:ascii="Times New Roman" w:hAnsi="Times New Roman" w:cs="Times New Roman" w:eastAsia="Times New Roman"/>
          <w:sz w:val="22"/>
        </w:rPr>
        <w:t>, vol. 41, no. 3, pp. 1-58, 2009.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[14]</w:t>
        <w:tab/>
        <w:t xml:space="preserve">F. T. Liu, K. M. Ting and Z.-H. Zhou, "Isolation forest," in </w:t>
      </w:r>
      <w:r>
        <w:rPr>
          <w:rFonts w:ascii="Times New Roman" w:hAnsi="Times New Roman" w:cs="Times New Roman" w:eastAsia="Times New Roman"/>
          <w:i/>
          <w:sz w:val="22"/>
        </w:rPr>
        <w:t>Proc. IEEE Int. Conf. Data Mining (ICDM)</w:t>
      </w:r>
      <w:r>
        <w:rPr>
          <w:rFonts w:ascii="Times New Roman" w:hAnsi="Times New Roman" w:cs="Times New Roman" w:eastAsia="Times New Roman"/>
          <w:sz w:val="22"/>
        </w:rPr>
        <w:t>, 2008, pp. 413-422.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[15]</w:t>
        <w:tab/>
        <w:t xml:space="preserve">V. D. Blondel, J.-L. Guillaume, R. Lambiotte and E. Lefebvre, "Fast unfolding of communities in large networks," </w:t>
      </w:r>
      <w:r>
        <w:rPr>
          <w:rFonts w:ascii="Times New Roman" w:hAnsi="Times New Roman" w:cs="Times New Roman" w:eastAsia="Times New Roman"/>
          <w:i/>
          <w:sz w:val="22"/>
        </w:rPr>
        <w:t>J. Stat. Mech.</w:t>
      </w:r>
      <w:r>
        <w:rPr>
          <w:rFonts w:ascii="Times New Roman" w:hAnsi="Times New Roman" w:cs="Times New Roman" w:eastAsia="Times New Roman"/>
          <w:sz w:val="22"/>
        </w:rPr>
        <w:t>, vol. 2008, no. 10, P10008, 2008.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[16]</w:t>
        <w:tab/>
        <w:t xml:space="preserve">A. A. Hagberg, D. A. Schult and P. J. Swart, "Exploring network structure, dynamics, and function using NetworkX," in </w:t>
      </w:r>
      <w:r>
        <w:rPr>
          <w:rFonts w:ascii="Times New Roman" w:hAnsi="Times New Roman" w:cs="Times New Roman" w:eastAsia="Times New Roman"/>
          <w:i/>
          <w:sz w:val="22"/>
        </w:rPr>
        <w:t>Proc. 7th Python Sci. Conf. (SciPy)</w:t>
      </w:r>
      <w:r>
        <w:rPr>
          <w:rFonts w:ascii="Times New Roman" w:hAnsi="Times New Roman" w:cs="Times New Roman" w:eastAsia="Times New Roman"/>
          <w:sz w:val="22"/>
        </w:rPr>
        <w:t>, 2008, pp. 11-15.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[17]</w:t>
        <w:tab/>
        <w:t xml:space="preserve">D. B. Johnson, "Finding all the elementary circuits of a directed graph," </w:t>
      </w:r>
      <w:r>
        <w:rPr>
          <w:rFonts w:ascii="Times New Roman" w:hAnsi="Times New Roman" w:cs="Times New Roman" w:eastAsia="Times New Roman"/>
          <w:i/>
          <w:sz w:val="22"/>
        </w:rPr>
        <w:t>SIAM J. Comput.</w:t>
      </w:r>
      <w:r>
        <w:rPr>
          <w:rFonts w:ascii="Times New Roman" w:hAnsi="Times New Roman" w:cs="Times New Roman" w:eastAsia="Times New Roman"/>
          <w:sz w:val="22"/>
        </w:rPr>
        <w:t>, vol. 4, no. 1, pp. 77-84, 1975.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[18]</w:t>
        <w:tab/>
        <w:t xml:space="preserve">A. Grover and J. Leskovec, "node2vec: Scalable feature learning for networks," in </w:t>
      </w:r>
      <w:r>
        <w:rPr>
          <w:rFonts w:ascii="Times New Roman" w:hAnsi="Times New Roman" w:cs="Times New Roman" w:eastAsia="Times New Roman"/>
          <w:i/>
          <w:sz w:val="22"/>
        </w:rPr>
        <w:t>Proc. 22nd ACM SIGKDD Int. Conf. Knowl. Discovery Data Mining</w:t>
      </w:r>
      <w:r>
        <w:rPr>
          <w:rFonts w:ascii="Times New Roman" w:hAnsi="Times New Roman" w:cs="Times New Roman" w:eastAsia="Times New Roman"/>
          <w:sz w:val="22"/>
        </w:rPr>
        <w:t>, 2016, pp. 855-864.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[19]</w:t>
        <w:tab/>
        <w:t xml:space="preserve">T. N. Kipf and M. Welling, "Semi-supervised classification with graph convolutional networks," in </w:t>
      </w:r>
      <w:r>
        <w:rPr>
          <w:rFonts w:ascii="Times New Roman" w:hAnsi="Times New Roman" w:cs="Times New Roman" w:eastAsia="Times New Roman"/>
          <w:i/>
          <w:sz w:val="22"/>
        </w:rPr>
        <w:t>Proc. Int. Conf. Learn. Represent. (ICLR)</w:t>
      </w:r>
      <w:r>
        <w:rPr>
          <w:rFonts w:ascii="Times New Roman" w:hAnsi="Times New Roman" w:cs="Times New Roman" w:eastAsia="Times New Roman"/>
          <w:sz w:val="22"/>
        </w:rPr>
        <w:t>, 2017.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[20]</w:t>
        <w:tab/>
        <w:t xml:space="preserve">A. Paszke </w:t>
      </w:r>
      <w:r>
        <w:rPr>
          <w:rFonts w:ascii="Times New Roman" w:hAnsi="Times New Roman" w:cs="Times New Roman" w:eastAsia="Times New Roman"/>
          <w:i/>
          <w:sz w:val="22"/>
        </w:rPr>
        <w:t>et al.</w:t>
      </w:r>
      <w:r>
        <w:rPr>
          <w:rFonts w:ascii="Times New Roman" w:hAnsi="Times New Roman" w:cs="Times New Roman" w:eastAsia="Times New Roman"/>
          <w:sz w:val="22"/>
        </w:rPr>
        <w:t xml:space="preserve">, "PyTorch: An imperative style, high-performance deep learning library," in </w:t>
      </w:r>
      <w:r>
        <w:rPr>
          <w:rFonts w:ascii="Times New Roman" w:hAnsi="Times New Roman" w:cs="Times New Roman" w:eastAsia="Times New Roman"/>
          <w:i/>
          <w:sz w:val="22"/>
        </w:rPr>
        <w:t>Adv. Neural Inf. Process. Syst. (NeurIPS)</w:t>
      </w:r>
      <w:r>
        <w:rPr>
          <w:rFonts w:ascii="Times New Roman" w:hAnsi="Times New Roman" w:cs="Times New Roman" w:eastAsia="Times New Roman"/>
          <w:sz w:val="22"/>
        </w:rPr>
        <w:t>, vol. 32, 2019, pp. 8024-8035.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[21]</w:t>
        <w:tab/>
        <w:t xml:space="preserve">E. A. Lopez-Rojas, A. Elmir and S. Axelsson, "PaySim: A financial mobile money simulator for fraud detection," in </w:t>
      </w:r>
      <w:r>
        <w:rPr>
          <w:rFonts w:ascii="Times New Roman" w:hAnsi="Times New Roman" w:cs="Times New Roman" w:eastAsia="Times New Roman"/>
          <w:i/>
          <w:sz w:val="22"/>
        </w:rPr>
        <w:t>Proc. 28th Eur. Model. Simul. Symp. (EMSS)</w:t>
      </w:r>
      <w:r>
        <w:rPr>
          <w:rFonts w:ascii="Times New Roman" w:hAnsi="Times New Roman" w:cs="Times New Roman" w:eastAsia="Times New Roman"/>
          <w:sz w:val="22"/>
        </w:rPr>
        <w:t>, 2016.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[22]</w:t>
        <w:tab/>
        <w:t xml:space="preserve">J. Pearl, </w:t>
      </w:r>
      <w:r>
        <w:rPr>
          <w:rFonts w:ascii="Times New Roman" w:hAnsi="Times New Roman" w:cs="Times New Roman" w:eastAsia="Times New Roman"/>
          <w:i/>
          <w:sz w:val="22"/>
        </w:rPr>
        <w:t>Probabilistic Reasoning in Intelligent Systems: Networks of Plausible Inference</w:t>
      </w:r>
      <w:r>
        <w:rPr>
          <w:rFonts w:ascii="Times New Roman" w:hAnsi="Times New Roman" w:cs="Times New Roman" w:eastAsia="Times New Roman"/>
          <w:sz w:val="22"/>
        </w:rPr>
        <w:t>. San Mateo, CA, USA: Morgan Kaufmann, 1988.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[23]</w:t>
        <w:tab/>
        <w:t xml:space="preserve">P. Lewis </w:t>
      </w:r>
      <w:r>
        <w:rPr>
          <w:rFonts w:ascii="Times New Roman" w:hAnsi="Times New Roman" w:cs="Times New Roman" w:eastAsia="Times New Roman"/>
          <w:i/>
          <w:sz w:val="22"/>
        </w:rPr>
        <w:t>et al.</w:t>
      </w:r>
      <w:r>
        <w:rPr>
          <w:rFonts w:ascii="Times New Roman" w:hAnsi="Times New Roman" w:cs="Times New Roman" w:eastAsia="Times New Roman"/>
          <w:sz w:val="22"/>
        </w:rPr>
        <w:t xml:space="preserve">, "Retrieval-augmented generation for knowledge-intensive NLP tasks," in </w:t>
      </w:r>
      <w:r>
        <w:rPr>
          <w:rFonts w:ascii="Times New Roman" w:hAnsi="Times New Roman" w:cs="Times New Roman" w:eastAsia="Times New Roman"/>
          <w:i/>
          <w:sz w:val="22"/>
        </w:rPr>
        <w:t>Adv. Neural Inf. Process. Syst. (NeurIPS)</w:t>
      </w:r>
      <w:r>
        <w:rPr>
          <w:rFonts w:ascii="Times New Roman" w:hAnsi="Times New Roman" w:cs="Times New Roman" w:eastAsia="Times New Roman"/>
          <w:sz w:val="22"/>
        </w:rPr>
        <w:t>, vol. 33, 2020, pp. 9459-9474.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[24]</w:t>
        <w:tab/>
        <w:t xml:space="preserve">Z. Ji </w:t>
      </w:r>
      <w:r>
        <w:rPr>
          <w:rFonts w:ascii="Times New Roman" w:hAnsi="Times New Roman" w:cs="Times New Roman" w:eastAsia="Times New Roman"/>
          <w:i/>
          <w:sz w:val="22"/>
        </w:rPr>
        <w:t>et al.</w:t>
      </w:r>
      <w:r>
        <w:rPr>
          <w:rFonts w:ascii="Times New Roman" w:hAnsi="Times New Roman" w:cs="Times New Roman" w:eastAsia="Times New Roman"/>
          <w:sz w:val="22"/>
        </w:rPr>
        <w:t xml:space="preserve">, "Survey of hallucination in natural language generation," </w:t>
      </w:r>
      <w:r>
        <w:rPr>
          <w:rFonts w:ascii="Times New Roman" w:hAnsi="Times New Roman" w:cs="Times New Roman" w:eastAsia="Times New Roman"/>
          <w:i/>
          <w:sz w:val="22"/>
        </w:rPr>
        <w:t>ACM Comput. Surv.</w:t>
      </w:r>
      <w:r>
        <w:rPr>
          <w:rFonts w:ascii="Times New Roman" w:hAnsi="Times New Roman" w:cs="Times New Roman" w:eastAsia="Times New Roman"/>
          <w:sz w:val="22"/>
        </w:rPr>
        <w:t>, vol. 55, no. 12, pp. 1-38, 2023.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[25]</w:t>
        <w:tab/>
        <w:t>Gemini Team, Google, "Gemini: A family of highly capable multimodal models," arXiv:2312.11805, 2023.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[26]</w:t>
        <w:tab/>
        <w:t xml:space="preserve">I. Loshchilov and F. Hutter, "Decoupled weight decay regularization," in </w:t>
      </w:r>
      <w:r>
        <w:rPr>
          <w:rFonts w:ascii="Times New Roman" w:hAnsi="Times New Roman" w:cs="Times New Roman" w:eastAsia="Times New Roman"/>
          <w:i/>
          <w:sz w:val="22"/>
        </w:rPr>
        <w:t>Proc. Int. Conf. Learn. Represent. (ICLR)</w:t>
      </w:r>
      <w:r>
        <w:rPr>
          <w:rFonts w:ascii="Times New Roman" w:hAnsi="Times New Roman" w:cs="Times New Roman" w:eastAsia="Times New Roman"/>
          <w:sz w:val="22"/>
        </w:rPr>
        <w:t>, 2019.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[27]</w:t>
        <w:tab/>
        <w:t>M. Jones, J. Bradley and N. Sakimura, "JSON Web Token (JWT)," IETF RFC 7519, May 2015.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[28]</w:t>
        <w:tab/>
        <w:t xml:space="preserve">N. Provos and D. Mazieres, "A future-adaptable password scheme," in </w:t>
      </w:r>
      <w:r>
        <w:rPr>
          <w:rFonts w:ascii="Times New Roman" w:hAnsi="Times New Roman" w:cs="Times New Roman" w:eastAsia="Times New Roman"/>
          <w:i/>
          <w:sz w:val="22"/>
        </w:rPr>
        <w:t>Proc. USENIX Annu. Tech. Conf.</w:t>
      </w:r>
      <w:r>
        <w:rPr>
          <w:rFonts w:ascii="Times New Roman" w:hAnsi="Times New Roman" w:cs="Times New Roman" w:eastAsia="Times New Roman"/>
          <w:sz w:val="22"/>
        </w:rPr>
        <w:t>, 1999, pp. 81-91.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[29]</w:t>
        <w:tab/>
        <w:t xml:space="preserve">D. R. Cressey, </w:t>
      </w:r>
      <w:r>
        <w:rPr>
          <w:rFonts w:ascii="Times New Roman" w:hAnsi="Times New Roman" w:cs="Times New Roman" w:eastAsia="Times New Roman"/>
          <w:i/>
          <w:sz w:val="22"/>
        </w:rPr>
        <w:t>Other People's Money: A Study in the Social Psychology of Embezzlement</w:t>
      </w:r>
      <w:r>
        <w:rPr>
          <w:rFonts w:ascii="Times New Roman" w:hAnsi="Times New Roman" w:cs="Times New Roman" w:eastAsia="Times New Roman"/>
          <w:sz w:val="22"/>
        </w:rPr>
        <w:t>. Glencoe, IL, USA: Free Press, 1953.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[30]</w:t>
        <w:tab/>
        <w:t>J. L. Ba, J. R. Kiros and G. E. Hinton, "Layer normalization," arXiv:1607.06450, 2016.</w:t>
      </w:r>
    </w:p>
    <w:p>
      <w:pPr>
        <w:spacing w:line="276" w:lineRule="auto" w:after="100"/>
        <w:ind w:left="648" w:hanging="648"/>
        <w:jc w:val="left"/>
      </w:pPr>
      <w:r>
        <w:rPr>
          <w:rFonts w:ascii="Times New Roman" w:hAnsi="Times New Roman" w:cs="Times New Roman" w:eastAsia="Times New Roman"/>
          <w:sz w:val="22"/>
        </w:rPr>
        <w:t>[31]</w:t>
        <w:tab/>
        <w:t>D. Hendrycks and K. Gimpel, "Gaussian error linear units (GELUs)," arXiv:1606.08415, 2016.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</w:r>
    <w:r>
      <w:rPr>
        <w:rFonts w:ascii="Times New Roman" w:hAnsi="Times New Roman" w:cs="Times New Roman" w:eastAsia="Times New Roman"/>
        <w:sz w:val="22"/>
      </w:rPr>
      <w:instrText xml:space="preserve"> PAGE </w:instrText>
    </w:r>
    <w:r>
      <w:rPr>
        <w:rFonts w:ascii="Times New Roman" w:hAnsi="Times New Roman" w:cs="Times New Roman" w:eastAsia="Times New Roman"/>
        <w:sz w:val="22"/>
      </w:rPr>
      <w:fldChar w:fldCharType="separate"/>
    </w:r>
    <w:r>
      <w:rPr>
        <w:rFonts w:ascii="Times New Roman" w:hAnsi="Times New Roman" w:cs="Times New Roman" w:eastAsia="Times New Roman"/>
        <w:sz w:val="22"/>
      </w:rPr>
      <w:t>1</w:t>
    </w:r>
    <w:r>
      <w:rPr>
        <w:rFonts w:ascii="Times New Roman" w:hAnsi="Times New Roman" w:cs="Times New Roman" w:eastAsia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  <w:jc w:val="both"/>
    </w:pPr>
    <w:rPr>
      <w:rFonts w:ascii="Times New Roman" w:hAnsi="Times New Roman" w:cs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  <w:jc w:val="both"/>
    </w:pPr>
    <w:rPr>
      <w:rFonts w:ascii="Times New Roman" w:hAnsi="Times New Roman" w:cs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20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