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Mosaic: Basic and Compound Emotion Recognition from Facial Images with a Conditional GAN and a Multi-Label CNN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 SHIRISHA</w:t>
            </w:r>
          </w:p>
          <w:p>
            <w:pPr>
              <w:spacing w:after="0"/>
              <w:jc w:val="center"/>
            </w:pPr>
            <w:r>
              <w:rPr>
                <w:rFonts w:ascii="Times New Roman" w:hAnsi="Times New Roman" w:cs="Times New Roman" w:eastAsia="Times New Roman"/>
                <w:b w:val="0"/>
                <w:sz w:val="18"/>
              </w:rPr>
              <w:t>Roll No. 23K91A6730</w:t>
            </w:r>
          </w:p>
          <w:p>
            <w:pPr>
              <w:spacing w:after="0"/>
              <w:jc w:val="center"/>
            </w:pPr>
            <w:r>
              <w:rPr>
                <w:rFonts w:ascii="Times New Roman" w:hAnsi="Times New Roman" w:cs="Times New Roman" w:eastAsia="Times New Roman"/>
                <w:b w:val="0"/>
                <w:sz w:val="18"/>
              </w:rPr>
              <w:t>Dept. of CSE (Data Science)</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ASHRITH</w:t>
            </w:r>
          </w:p>
          <w:p>
            <w:pPr>
              <w:spacing w:after="0"/>
              <w:jc w:val="center"/>
            </w:pPr>
            <w:r>
              <w:rPr>
                <w:rFonts w:ascii="Times New Roman" w:hAnsi="Times New Roman" w:cs="Times New Roman" w:eastAsia="Times New Roman"/>
                <w:b w:val="0"/>
                <w:sz w:val="18"/>
              </w:rPr>
              <w:t>Roll No. 23K91A6731</w:t>
            </w:r>
          </w:p>
          <w:p>
            <w:pPr>
              <w:spacing w:after="0"/>
              <w:jc w:val="center"/>
            </w:pPr>
            <w:r>
              <w:rPr>
                <w:rFonts w:ascii="Times New Roman" w:hAnsi="Times New Roman" w:cs="Times New Roman" w:eastAsia="Times New Roman"/>
                <w:b w:val="0"/>
                <w:sz w:val="18"/>
              </w:rPr>
              <w:t>Dept. of CSE (Data Science)</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MURALI</w:t>
            </w:r>
          </w:p>
          <w:p>
            <w:pPr>
              <w:spacing w:after="0"/>
              <w:jc w:val="center"/>
            </w:pPr>
            <w:r>
              <w:rPr>
                <w:rFonts w:ascii="Times New Roman" w:hAnsi="Times New Roman" w:cs="Times New Roman" w:eastAsia="Times New Roman"/>
                <w:b w:val="0"/>
                <w:sz w:val="18"/>
              </w:rPr>
              <w:t>Roll No. 23K91A6724</w:t>
            </w:r>
          </w:p>
          <w:p>
            <w:pPr>
              <w:spacing w:after="0"/>
              <w:jc w:val="center"/>
            </w:pPr>
            <w:r>
              <w:rPr>
                <w:rFonts w:ascii="Times New Roman" w:hAnsi="Times New Roman" w:cs="Times New Roman" w:eastAsia="Times New Roman"/>
                <w:b w:val="0"/>
                <w:sz w:val="18"/>
              </w:rPr>
              <w:t>Dept. of CSE (Data Science)</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 GOUTHAM</w:t>
            </w:r>
          </w:p>
          <w:p>
            <w:pPr>
              <w:spacing w:after="0"/>
              <w:jc w:val="center"/>
            </w:pPr>
            <w:r>
              <w:rPr>
                <w:rFonts w:ascii="Times New Roman" w:hAnsi="Times New Roman" w:cs="Times New Roman" w:eastAsia="Times New Roman"/>
                <w:b w:val="0"/>
                <w:sz w:val="18"/>
              </w:rPr>
              <w:t>Roll No. 23K91A6727</w:t>
            </w:r>
          </w:p>
          <w:p>
            <w:pPr>
              <w:spacing w:after="0"/>
              <w:jc w:val="center"/>
            </w:pPr>
            <w:r>
              <w:rPr>
                <w:rFonts w:ascii="Times New Roman" w:hAnsi="Times New Roman" w:cs="Times New Roman" w:eastAsia="Times New Roman"/>
                <w:b w:val="0"/>
                <w:sz w:val="18"/>
              </w:rPr>
              <w:t>Dept. of CSE (Data Science)</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[GUIDE NAME]</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CSE (Data Science)</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Most facial-emotion recognisers assign one basic label to a face, although real expressions often blend emotions and labelled blends are scarce. This paper documents Mosaic, a working implementation of the analysis-by-synthesis idea of the base paper: a conditional GAN trained on FER2013 synthesises faces for eleven compound emotions, and a 770k-parameter CNN with eighteen sigmoid outputs (seven basic, eleven compound) is trained on real and synthetic faces and served by a FastAPI and Next.js application with face detection, accounts and history. On the 7,178-image FER2013 test set the multi-label model reaches 58.1 % basic-emotion accuracy against 50.6 % for a single-label baseline, but a three-seed ablation shows the gain comes from additional training, not from the synthetic images (58.1 ± 1.6 % without them, 58.9 ± 0.6 % with them). The compound outputs stay near zero on real faces and cannot rank synthetic compound classes (ROC-AUC 0.50), and the generator follows its condition at chance level. We report these negative results, the serving defects found and the limits of the evidence.</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compound emotions, conditional GAN, data augmentation, facial expression recognition, FER2013, multi-label classification.</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Facial expressions are a main cue to emotional state, and automatic recognition serves driver monitoring, well-being applications and human-computer interaction [2]. Most systems classify one of the six basic emotions of Ekman and Friesen plus neutral [3], and on unconstrained data they do so modestly: a lightweight CNN reaches only 51.6 % on FER2013 [4]. The single label is also a simplification. Du et al. showed that people reliably produce and recognise compound expressions such as happily surprised or sadly fearful [5], yet a one-label classifier must force such a face into one class and cannot say that two emotions are present.</w:t>
      </w:r>
    </w:p>
    <w:p>
      <w:pPr>
        <w:keepNext w:val="0"/>
        <w:spacing w:after="0" w:before="0" w:line="240" w:lineRule="auto"/>
        <w:ind w:firstLine="288"/>
        <w:jc w:val="both"/>
      </w:pPr>
      <w:r>
        <w:rPr>
          <w:rFonts w:ascii="Times New Roman" w:hAnsi="Times New Roman" w:cs="Times New Roman" w:eastAsia="Times New Roman"/>
          <w:sz w:val="20"/>
        </w:rPr>
        <w:t>The cost of the usual practice is therefore twofold: mixed emotions are invisible, and the data needed to learn them are scarce. Real compound labels exist only in small, licensed collections such as the compound subset of RAF-DB [6], and recent compound-recognition work trains ensembles on them and reaches an F1 of about 52-55 % on seven compound classes [7]. The base paper of this project [1] proposes analysis by synthesis: generate identity-preserving mixed-emotion faces with conditioned GANs, then train a multi-label CNN on them. Its recogniser, however, is scored on images produced by its own generator, and recognition on real photographs is shown only qualitatively. The gap addressed here is an open, end-to-end implementation of that pipeline in which the effect of the synthetic images is isolated with a control on a real test set.</w:t>
      </w:r>
    </w:p>
    <w:p>
      <w:pPr>
        <w:keepNext w:val="0"/>
        <w:spacing w:after="0" w:before="0" w:line="240" w:lineRule="auto"/>
        <w:ind w:firstLine="288"/>
        <w:jc w:val="both"/>
      </w:pPr>
      <w:r>
        <w:rPr>
          <w:rFonts w:ascii="Times New Roman" w:hAnsi="Times New Roman" w:cs="Times New Roman" w:eastAsia="Times New Roman"/>
          <w:sz w:val="20"/>
        </w:rPr>
        <w:t>The contributions are: (1) Mosaic, a tested application with eighteen outputs (seven basic, eleven compound), a conditional GAN, Haar face detection, JWT accounts, a SQLite history and a web console; (2) a seeded ablation that separates the effect of synthetic compound faces from the effect of additional training; (3) diagnostics for the generator (conditional fidelity, feature-space Fréchet distance) and for the compound outputs (real-face behaviour, ROC-AUC on a synthetic hold-out); and (4) a list of serving defects and an honest statement of what the evidence does not show. Section II surveys related work,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Everything was trained and measured on one CPU-only desktop: Intel Core i5-12500 (6 cores, 12 threads), 15.7 GB RAM, Windows 11, no GPU. Other jobs shared the processor during training and timing, so the durations reported here are upper bounds. The final classifier trained in about 10.6 minutes for five epochs.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 PyTorch 2.14 (CPU) [8], OpenCV 4.11, scikit-learn 1.5 for metrics, FastAPI 0.143 with pydantic 2.14, SQLAlchemy 2.0, python-jose, bcrypt 4.0.1 (pinned in requirements.txt because bcrypt 5 breaks passlib), pytest 8.2, and Next.js 16.3 with React 19 and Recharts for the console. The repository pins older library versions in requirements.txt; the versions above are those used in this run.</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Khine et al. [1] introduce Conditioned Emotion GANs (cEmoGANs). An encoder maps an image to a latent code that carries identity, and a conditional generator receives that code plus a six-dimensional multi-hot label (anger, disgust, fear, happiness, sadness, surprise), so that setting two bits yields a compound expression of the same person. The generator is trained with learning rates of 1e-4 (generator) and 1e-5 (discriminator). Ground truth for compound faces is built by morphing pairs of expression images from CK+, JAFFE and MUG; 15,000 generated images are split 7:3 to train and test a small multi-label CNN with sigmoid outputs. Generation quality is measured with an Inception-style score, Fréchet distance and BRISQUE, identity preservation with a face-recognition embedding (98 %, 94 % and 99 % of generated faces above a cosine similarity of 0.7), and recognition with the f-beta score and the exact-match ratio (EMR). The reported f-beta is 0.99, 0.99 and 0.80 and the EMR 100 %, 99 % and 68.7 % on CK+, JAFFE and MUG, against 0.45, 0.60 and 0.51 for EfficientNet-B0. These recognition numbers are measured on the generator's own output; real unconstrained photographs are shown only as qualitative examples.</w:t>
      </w:r>
    </w:p>
    <w:p>
      <w:pPr>
        <w:keepNext w:val="0"/>
        <w:spacing w:after="0" w:before="0" w:line="240" w:lineRule="auto"/>
        <w:ind w:firstLine="288"/>
        <w:jc w:val="both"/>
      </w:pPr>
      <w:r>
        <w:rPr>
          <w:rFonts w:ascii="Times New Roman" w:hAnsi="Times New Roman" w:cs="Times New Roman" w:eastAsia="Times New Roman"/>
          <w:b/>
          <w:sz w:val="20"/>
        </w:rPr>
        <w:t>GANs for expression recognition.</w:t>
      </w:r>
      <w:r>
        <w:rPr>
          <w:rFonts w:ascii="Times New Roman" w:hAnsi="Times New Roman" w:cs="Times New Roman" w:eastAsia="Times New Roman"/>
          <w:sz w:val="20"/>
        </w:rPr>
        <w:t xml:space="preserve"> Conditional GANs [9] extend the original GAN [10] by feeding a label to both networks, and convolutional generators [11] made image-scale generation practical; multi-domain translation and facial-animation GANs can edit expressions but change identity or need action-unit supervision [12]. Recent recognition work therefore uses GANs mainly to remove identity from expression features: contrastive disentangled GANs [13], style-transfer GANs tested on CK+, FER-2013 and JAFFE [14], and a face-cycle GAN for cross-domain recognition [15] (the last known to us by title only). All of them still output a single basic label.</w:t>
      </w:r>
    </w:p>
    <w:p>
      <w:pPr>
        <w:keepNext w:val="0"/>
        <w:spacing w:after="0" w:before="0" w:line="240" w:lineRule="auto"/>
        <w:ind w:firstLine="288"/>
        <w:jc w:val="both"/>
      </w:pPr>
      <w:r>
        <w:rPr>
          <w:rFonts w:ascii="Times New Roman" w:hAnsi="Times New Roman" w:cs="Times New Roman" w:eastAsia="Times New Roman"/>
          <w:b/>
          <w:sz w:val="20"/>
        </w:rPr>
        <w:t>Datasets and baselines.</w:t>
      </w:r>
      <w:r>
        <w:rPr>
          <w:rFonts w:ascii="Times New Roman" w:hAnsi="Times New Roman" w:cs="Times New Roman" w:eastAsia="Times New Roman"/>
          <w:sz w:val="20"/>
        </w:rPr>
        <w:t xml:space="preserve"> FER2013 holds 35,887 48x48 grayscale faces in seven classes and is the usual in-the-wild benchmark [16]; accuracy on it is far below that on laboratory sets. A recent comparison finds HOG with an SVM at 44.0 %, LBP with logistic regression at 25.0 % and a small CNN at 51.6 % on FER2013 [4]. Compound labels come from RAF-DB [6], and ensembles of vision transformers and CNNs reach an F1 of 51.5-55.4 % on its seven compound classes [7]. Because a face may carry several emotions, the natural formulation is multi-label learning [17], evaluated with per-label and exact-match measures rather than single-label accuracy.</w:t>
      </w:r>
    </w:p>
    <w:p>
      <w:pPr>
        <w:keepNext w:val="0"/>
        <w:spacing w:after="0" w:before="0" w:line="240" w:lineRule="auto"/>
        <w:ind w:firstLine="288"/>
        <w:jc w:val="both"/>
      </w:pPr>
      <w:r>
        <w:rPr>
          <w:rFonts w:ascii="Times New Roman" w:hAnsi="Times New Roman" w:cs="Times New Roman" w:eastAsia="Times New Roman"/>
          <w:b/>
          <w:sz w:val="20"/>
        </w:rPr>
        <w:t>Generation metrics.</w:t>
      </w:r>
      <w:r>
        <w:rPr>
          <w:rFonts w:ascii="Times New Roman" w:hAnsi="Times New Roman" w:cs="Times New Roman" w:eastAsia="Times New Roman"/>
          <w:sz w:val="20"/>
        </w:rPr>
        <w:t xml:space="preserve"> GAN output is usually judged with the Inception score and the Fréchet distance between feature distributions [18]. We cannot use the Inception network on 64x64 grayscale faces without changing the task, so Section IV uses the Fréchet distance in the feature space of our own stage-1 CNN, which is not comparable with published values.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792"/>
          </w:tcPr>
          <w:p>
            <w:pPr>
              <w:keepNext/>
              <w:jc w:val="center"/>
            </w:pPr>
            <w:r/>
            <w:r>
              <w:rPr>
                <w:rFonts w:ascii="Times New Roman" w:hAnsi="Times New Roman" w:cs="Times New Roman" w:eastAsia="Times New Roman"/>
                <w:b/>
                <w:sz w:val="12"/>
              </w:rPr>
              <w:t>Work</w:t>
            </w:r>
          </w:p>
        </w:tc>
        <w:tc>
          <w:tcPr>
            <w:tcW w:type="dxa" w:w="979"/>
          </w:tcPr>
          <w:p>
            <w:pPr>
              <w:keepNext/>
              <w:jc w:val="center"/>
            </w:pPr>
            <w:r/>
            <w:r>
              <w:rPr>
                <w:rFonts w:ascii="Times New Roman" w:hAnsi="Times New Roman" w:cs="Times New Roman" w:eastAsia="Times New Roman"/>
                <w:b/>
                <w:sz w:val="12"/>
              </w:rPr>
              <w:t>Approach</w:t>
            </w:r>
          </w:p>
        </w:tc>
        <w:tc>
          <w:tcPr>
            <w:tcW w:type="dxa" w:w="979"/>
          </w:tcPr>
          <w:p>
            <w:pPr>
              <w:keepNext/>
              <w:jc w:val="center"/>
            </w:pPr>
            <w:r/>
            <w:r>
              <w:rPr>
                <w:rFonts w:ascii="Times New Roman" w:hAnsi="Times New Roman" w:cs="Times New Roman" w:eastAsia="Times New Roman"/>
                <w:b/>
                <w:sz w:val="12"/>
              </w:rPr>
              <w:t>Data</w:t>
            </w:r>
          </w:p>
        </w:tc>
        <w:tc>
          <w:tcPr>
            <w:tcW w:type="dxa" w:w="1008"/>
          </w:tcPr>
          <w:p>
            <w:pPr>
              <w:keepNext/>
              <w:jc w:val="center"/>
            </w:pPr>
            <w:r/>
            <w:r>
              <w:rPr>
                <w:rFonts w:ascii="Times New Roman" w:hAnsi="Times New Roman" w:cs="Times New Roman" w:eastAsia="Times New Roman"/>
                <w:b/>
                <w:sz w:val="12"/>
              </w:rPr>
              <w:t>Reported result</w:t>
            </w:r>
          </w:p>
        </w:tc>
        <w:tc>
          <w:tcPr>
            <w:tcW w:type="dxa" w:w="979"/>
          </w:tcPr>
          <w:p>
            <w:pPr>
              <w:keepNext/>
              <w:jc w:val="center"/>
            </w:pPr>
            <w:r/>
            <w:r>
              <w:rPr>
                <w:rFonts w:ascii="Times New Roman" w:hAnsi="Times New Roman" w:cs="Times New Roman" w:eastAsia="Times New Roman"/>
                <w:b/>
                <w:sz w:val="12"/>
              </w:rPr>
              <w:t>Limitation</w:t>
            </w:r>
          </w:p>
        </w:tc>
      </w:tr>
      <w:tr>
        <w:trPr>
          <w:cantSplit w:val="true"/>
        </w:trPr>
        <w:tc>
          <w:tcPr>
            <w:tcW w:type="dxa" w:w="792"/>
          </w:tcPr>
          <w:p>
            <w:pPr>
              <w:keepNext/>
              <w:jc w:val="left"/>
            </w:pPr>
            <w:r/>
            <w:r>
              <w:rPr>
                <w:rFonts w:ascii="Times New Roman" w:hAnsi="Times New Roman" w:cs="Times New Roman" w:eastAsia="Times New Roman"/>
                <w:sz w:val="12"/>
              </w:rPr>
              <w:t>Khine [1]</w:t>
            </w:r>
          </w:p>
        </w:tc>
        <w:tc>
          <w:tcPr>
            <w:tcW w:type="dxa" w:w="979"/>
          </w:tcPr>
          <w:p>
            <w:pPr>
              <w:keepNext/>
              <w:jc w:val="left"/>
            </w:pPr>
            <w:r/>
            <w:r>
              <w:rPr>
                <w:rFonts w:ascii="Times New Roman" w:hAnsi="Times New Roman" w:cs="Times New Roman" w:eastAsia="Times New Roman"/>
                <w:sz w:val="12"/>
              </w:rPr>
              <w:t>cEmoGANs + CNN, multi-label</w:t>
            </w:r>
          </w:p>
        </w:tc>
        <w:tc>
          <w:tcPr>
            <w:tcW w:type="dxa" w:w="979"/>
          </w:tcPr>
          <w:p>
            <w:pPr>
              <w:keepNext/>
              <w:jc w:val="left"/>
            </w:pPr>
            <w:r/>
            <w:r>
              <w:rPr>
                <w:rFonts w:ascii="Times New Roman" w:hAnsi="Times New Roman" w:cs="Times New Roman" w:eastAsia="Times New Roman"/>
                <w:sz w:val="12"/>
              </w:rPr>
              <w:t>CK+, JAFFE, MUG (morphed)</w:t>
            </w:r>
          </w:p>
        </w:tc>
        <w:tc>
          <w:tcPr>
            <w:tcW w:type="dxa" w:w="1008"/>
          </w:tcPr>
          <w:p>
            <w:pPr>
              <w:keepNext/>
              <w:jc w:val="left"/>
            </w:pPr>
            <w:r/>
            <w:r>
              <w:rPr>
                <w:rFonts w:ascii="Times New Roman" w:hAnsi="Times New Roman" w:cs="Times New Roman" w:eastAsia="Times New Roman"/>
                <w:sz w:val="12"/>
              </w:rPr>
              <w:t>f-beta 0.99/0.99/0.80</w:t>
            </w:r>
          </w:p>
        </w:tc>
        <w:tc>
          <w:tcPr>
            <w:tcW w:type="dxa" w:w="979"/>
          </w:tcPr>
          <w:p>
            <w:pPr>
              <w:keepNext/>
              <w:jc w:val="left"/>
            </w:pPr>
            <w:r/>
            <w:r>
              <w:rPr>
                <w:rFonts w:ascii="Times New Roman" w:hAnsi="Times New Roman" w:cs="Times New Roman" w:eastAsia="Times New Roman"/>
                <w:sz w:val="12"/>
              </w:rPr>
              <w:t>Scored on generated faces</w:t>
            </w:r>
          </w:p>
        </w:tc>
      </w:tr>
      <w:tr>
        <w:trPr>
          <w:cantSplit w:val="true"/>
        </w:trPr>
        <w:tc>
          <w:tcPr>
            <w:tcW w:type="dxa" w:w="792"/>
          </w:tcPr>
          <w:p>
            <w:pPr>
              <w:keepNext/>
              <w:jc w:val="left"/>
            </w:pPr>
            <w:r/>
            <w:r>
              <w:rPr>
                <w:rFonts w:ascii="Times New Roman" w:hAnsi="Times New Roman" w:cs="Times New Roman" w:eastAsia="Times New Roman"/>
                <w:sz w:val="12"/>
              </w:rPr>
              <w:t>Liu [13]</w:t>
            </w:r>
          </w:p>
        </w:tc>
        <w:tc>
          <w:tcPr>
            <w:tcW w:type="dxa" w:w="979"/>
          </w:tcPr>
          <w:p>
            <w:pPr>
              <w:keepNext/>
              <w:jc w:val="left"/>
            </w:pPr>
            <w:r/>
            <w:r>
              <w:rPr>
                <w:rFonts w:ascii="Times New Roman" w:hAnsi="Times New Roman" w:cs="Times New Roman" w:eastAsia="Times New Roman"/>
                <w:sz w:val="12"/>
              </w:rPr>
              <w:t>Identity/expression disentangling</w:t>
            </w:r>
          </w:p>
        </w:tc>
        <w:tc>
          <w:tcPr>
            <w:tcW w:type="dxa" w:w="979"/>
          </w:tcPr>
          <w:p>
            <w:pPr>
              <w:keepNext/>
              <w:jc w:val="left"/>
            </w:pPr>
            <w:r/>
            <w:r>
              <w:rPr>
                <w:rFonts w:ascii="Times New Roman" w:hAnsi="Times New Roman" w:cs="Times New Roman" w:eastAsia="Times New Roman"/>
                <w:sz w:val="12"/>
              </w:rPr>
              <w:t>Lab and field sets</w:t>
            </w:r>
          </w:p>
        </w:tc>
        <w:tc>
          <w:tcPr>
            <w:tcW w:type="dxa" w:w="1008"/>
          </w:tcPr>
          <w:p>
            <w:pPr>
              <w:keepNext/>
              <w:jc w:val="left"/>
            </w:pPr>
            <w:r/>
            <w:r>
              <w:rPr>
                <w:rFonts w:ascii="Times New Roman" w:hAnsi="Times New Roman" w:cs="Times New Roman" w:eastAsia="Times New Roman"/>
                <w:sz w:val="12"/>
              </w:rPr>
              <w:t>Comparable to SOTA</w:t>
            </w:r>
          </w:p>
        </w:tc>
        <w:tc>
          <w:tcPr>
            <w:tcW w:type="dxa" w:w="979"/>
          </w:tcPr>
          <w:p>
            <w:pPr>
              <w:keepNext/>
              <w:jc w:val="left"/>
            </w:pPr>
            <w:r/>
            <w:r>
              <w:rPr>
                <w:rFonts w:ascii="Times New Roman" w:hAnsi="Times New Roman" w:cs="Times New Roman" w:eastAsia="Times New Roman"/>
                <w:sz w:val="12"/>
              </w:rPr>
              <w:t>Single basic label</w:t>
            </w:r>
          </w:p>
        </w:tc>
      </w:tr>
      <w:tr>
        <w:trPr>
          <w:cantSplit w:val="true"/>
        </w:trPr>
        <w:tc>
          <w:tcPr>
            <w:tcW w:type="dxa" w:w="792"/>
          </w:tcPr>
          <w:p>
            <w:pPr>
              <w:keepNext/>
              <w:jc w:val="left"/>
            </w:pPr>
            <w:r/>
            <w:r>
              <w:rPr>
                <w:rFonts w:ascii="Times New Roman" w:hAnsi="Times New Roman" w:cs="Times New Roman" w:eastAsia="Times New Roman"/>
                <w:sz w:val="12"/>
              </w:rPr>
              <w:t>Khemakhem [14]</w:t>
            </w:r>
          </w:p>
        </w:tc>
        <w:tc>
          <w:tcPr>
            <w:tcW w:type="dxa" w:w="979"/>
          </w:tcPr>
          <w:p>
            <w:pPr>
              <w:keepNext/>
              <w:jc w:val="left"/>
            </w:pPr>
            <w:r/>
            <w:r>
              <w:rPr>
                <w:rFonts w:ascii="Times New Roman" w:hAnsi="Times New Roman" w:cs="Times New Roman" w:eastAsia="Times New Roman"/>
                <w:sz w:val="12"/>
              </w:rPr>
              <w:t>Style-transfer GAN</w:t>
            </w:r>
          </w:p>
        </w:tc>
        <w:tc>
          <w:tcPr>
            <w:tcW w:type="dxa" w:w="979"/>
          </w:tcPr>
          <w:p>
            <w:pPr>
              <w:keepNext/>
              <w:jc w:val="left"/>
            </w:pPr>
            <w:r/>
            <w:r>
              <w:rPr>
                <w:rFonts w:ascii="Times New Roman" w:hAnsi="Times New Roman" w:cs="Times New Roman" w:eastAsia="Times New Roman"/>
                <w:sz w:val="12"/>
              </w:rPr>
              <w:t>CK+, FER-2013, JAFFE</w:t>
            </w:r>
          </w:p>
        </w:tc>
        <w:tc>
          <w:tcPr>
            <w:tcW w:type="dxa" w:w="1008"/>
          </w:tcPr>
          <w:p>
            <w:pPr>
              <w:keepNext/>
              <w:jc w:val="left"/>
            </w:pPr>
            <w:r/>
            <w:r>
              <w:rPr>
                <w:rFonts w:ascii="Times New Roman" w:hAnsi="Times New Roman" w:cs="Times New Roman" w:eastAsia="Times New Roman"/>
                <w:sz w:val="12"/>
              </w:rPr>
              <w:t>Above baselines (abstract)</w:t>
            </w:r>
          </w:p>
        </w:tc>
        <w:tc>
          <w:tcPr>
            <w:tcW w:type="dxa" w:w="979"/>
          </w:tcPr>
          <w:p>
            <w:pPr>
              <w:keepNext/>
              <w:jc w:val="left"/>
            </w:pPr>
            <w:r/>
            <w:r>
              <w:rPr>
                <w:rFonts w:ascii="Times New Roman" w:hAnsi="Times New Roman" w:cs="Times New Roman" w:eastAsia="Times New Roman"/>
                <w:sz w:val="12"/>
              </w:rPr>
              <w:t>Single basic label</w:t>
            </w:r>
          </w:p>
        </w:tc>
      </w:tr>
      <w:tr>
        <w:trPr>
          <w:cantSplit w:val="true"/>
        </w:trPr>
        <w:tc>
          <w:tcPr>
            <w:tcW w:type="dxa" w:w="792"/>
          </w:tcPr>
          <w:p>
            <w:pPr>
              <w:keepNext/>
              <w:jc w:val="left"/>
            </w:pPr>
            <w:r/>
            <w:r>
              <w:rPr>
                <w:rFonts w:ascii="Times New Roman" w:hAnsi="Times New Roman" w:cs="Times New Roman" w:eastAsia="Times New Roman"/>
                <w:sz w:val="12"/>
              </w:rPr>
              <w:t>Galkaduwa [4]</w:t>
            </w:r>
          </w:p>
        </w:tc>
        <w:tc>
          <w:tcPr>
            <w:tcW w:type="dxa" w:w="979"/>
          </w:tcPr>
          <w:p>
            <w:pPr>
              <w:keepNext/>
              <w:jc w:val="left"/>
            </w:pPr>
            <w:r/>
            <w:r>
              <w:rPr>
                <w:rFonts w:ascii="Times New Roman" w:hAnsi="Times New Roman" w:cs="Times New Roman" w:eastAsia="Times New Roman"/>
                <w:sz w:val="12"/>
              </w:rPr>
              <w:t>HOG+SVM vs. light CNN</w:t>
            </w:r>
          </w:p>
        </w:tc>
        <w:tc>
          <w:tcPr>
            <w:tcW w:type="dxa" w:w="979"/>
          </w:tcPr>
          <w:p>
            <w:pPr>
              <w:keepNext/>
              <w:jc w:val="left"/>
            </w:pPr>
            <w:r/>
            <w:r>
              <w:rPr>
                <w:rFonts w:ascii="Times New Roman" w:hAnsi="Times New Roman" w:cs="Times New Roman" w:eastAsia="Times New Roman"/>
                <w:sz w:val="12"/>
              </w:rPr>
              <w:t>FER-2013, CK+, KDEF</w:t>
            </w:r>
          </w:p>
        </w:tc>
        <w:tc>
          <w:tcPr>
            <w:tcW w:type="dxa" w:w="1008"/>
          </w:tcPr>
          <w:p>
            <w:pPr>
              <w:keepNext/>
              <w:jc w:val="left"/>
            </w:pPr>
            <w:r/>
            <w:r>
              <w:rPr>
                <w:rFonts w:ascii="Times New Roman" w:hAnsi="Times New Roman" w:cs="Times New Roman" w:eastAsia="Times New Roman"/>
                <w:sz w:val="12"/>
              </w:rPr>
              <w:t>CNN 51.6 % on FER-2013</w:t>
            </w:r>
          </w:p>
        </w:tc>
        <w:tc>
          <w:tcPr>
            <w:tcW w:type="dxa" w:w="979"/>
          </w:tcPr>
          <w:p>
            <w:pPr>
              <w:keepNext/>
              <w:jc w:val="left"/>
            </w:pPr>
            <w:r/>
            <w:r>
              <w:rPr>
                <w:rFonts w:ascii="Times New Roman" w:hAnsi="Times New Roman" w:cs="Times New Roman" w:eastAsia="Times New Roman"/>
                <w:sz w:val="12"/>
              </w:rPr>
              <w:t>Basic labels only</w:t>
            </w:r>
          </w:p>
        </w:tc>
      </w:tr>
      <w:tr>
        <w:trPr>
          <w:cantSplit w:val="true"/>
        </w:trPr>
        <w:tc>
          <w:tcPr>
            <w:tcW w:type="dxa" w:w="792"/>
          </w:tcPr>
          <w:p>
            <w:pPr>
              <w:keepNext/>
              <w:jc w:val="left"/>
            </w:pPr>
            <w:r/>
            <w:r>
              <w:rPr>
                <w:rFonts w:ascii="Times New Roman" w:hAnsi="Times New Roman" w:cs="Times New Roman" w:eastAsia="Times New Roman"/>
                <w:sz w:val="12"/>
              </w:rPr>
              <w:t>Liu [7]</w:t>
            </w:r>
          </w:p>
        </w:tc>
        <w:tc>
          <w:tcPr>
            <w:tcW w:type="dxa" w:w="979"/>
          </w:tcPr>
          <w:p>
            <w:pPr>
              <w:keepNext/>
              <w:jc w:val="left"/>
            </w:pPr>
            <w:r/>
            <w:r>
              <w:rPr>
                <w:rFonts w:ascii="Times New Roman" w:hAnsi="Times New Roman" w:cs="Times New Roman" w:eastAsia="Times New Roman"/>
                <w:sz w:val="12"/>
              </w:rPr>
              <w:t>ViT/PosterV2/ResNet ensemble</w:t>
            </w:r>
          </w:p>
        </w:tc>
        <w:tc>
          <w:tcPr>
            <w:tcW w:type="dxa" w:w="979"/>
          </w:tcPr>
          <w:p>
            <w:pPr>
              <w:keepNext/>
              <w:jc w:val="left"/>
            </w:pPr>
            <w:r/>
            <w:r>
              <w:rPr>
                <w:rFonts w:ascii="Times New Roman" w:hAnsi="Times New Roman" w:cs="Times New Roman" w:eastAsia="Times New Roman"/>
                <w:sz w:val="12"/>
              </w:rPr>
              <w:t>RAF-DB compound, 7 classes</w:t>
            </w:r>
          </w:p>
        </w:tc>
        <w:tc>
          <w:tcPr>
            <w:tcW w:type="dxa" w:w="1008"/>
          </w:tcPr>
          <w:p>
            <w:pPr>
              <w:keepNext/>
              <w:jc w:val="left"/>
            </w:pPr>
            <w:r/>
            <w:r>
              <w:rPr>
                <w:rFonts w:ascii="Times New Roman" w:hAnsi="Times New Roman" w:cs="Times New Roman" w:eastAsia="Times New Roman"/>
                <w:sz w:val="12"/>
              </w:rPr>
              <w:t>F1 51.5-55.4 %</w:t>
            </w:r>
          </w:p>
        </w:tc>
        <w:tc>
          <w:tcPr>
            <w:tcW w:type="dxa" w:w="979"/>
          </w:tcPr>
          <w:p>
            <w:pPr>
              <w:keepNext/>
              <w:jc w:val="left"/>
            </w:pPr>
            <w:r/>
            <w:r>
              <w:rPr>
                <w:rFonts w:ascii="Times New Roman" w:hAnsi="Times New Roman" w:cs="Times New Roman" w:eastAsia="Times New Roman"/>
                <w:sz w:val="12"/>
              </w:rPr>
              <w:t>Needs real compound labels</w:t>
            </w:r>
          </w:p>
        </w:tc>
      </w:tr>
      <w:tr>
        <w:trPr>
          <w:cantSplit w:val="true"/>
        </w:trPr>
        <w:tc>
          <w:tcPr>
            <w:tcW w:type="dxa" w:w="792"/>
          </w:tcPr>
          <w:p>
            <w:pPr>
              <w:keepNext/>
              <w:jc w:val="left"/>
            </w:pPr>
            <w:r/>
            <w:r>
              <w:rPr>
                <w:rFonts w:ascii="Times New Roman" w:hAnsi="Times New Roman" w:cs="Times New Roman" w:eastAsia="Times New Roman"/>
                <w:sz w:val="12"/>
              </w:rPr>
              <w:t>Li, Deng [2]</w:t>
            </w:r>
          </w:p>
        </w:tc>
        <w:tc>
          <w:tcPr>
            <w:tcW w:type="dxa" w:w="979"/>
          </w:tcPr>
          <w:p>
            <w:pPr>
              <w:keepNext/>
              <w:jc w:val="left"/>
            </w:pPr>
            <w:r/>
            <w:r>
              <w:rPr>
                <w:rFonts w:ascii="Times New Roman" w:hAnsi="Times New Roman" w:cs="Times New Roman" w:eastAsia="Times New Roman"/>
                <w:sz w:val="12"/>
              </w:rPr>
              <w:t>Survey of deep FER</w:t>
            </w:r>
          </w:p>
        </w:tc>
        <w:tc>
          <w:tcPr>
            <w:tcW w:type="dxa" w:w="979"/>
          </w:tcPr>
          <w:p>
            <w:pPr>
              <w:keepNext/>
              <w:jc w:val="left"/>
            </w:pPr>
            <w:r/>
            <w:r>
              <w:rPr>
                <w:rFonts w:ascii="Times New Roman" w:hAnsi="Times New Roman" w:cs="Times New Roman" w:eastAsia="Times New Roman"/>
                <w:sz w:val="12"/>
              </w:rPr>
              <w:t>Many datasets</w:t>
            </w:r>
          </w:p>
        </w:tc>
        <w:tc>
          <w:tcPr>
            <w:tcW w:type="dxa" w:w="1008"/>
          </w:tcPr>
          <w:p>
            <w:pPr>
              <w:keepNext/>
              <w:jc w:val="left"/>
            </w:pPr>
            <w:r/>
            <w:r>
              <w:rPr>
                <w:rFonts w:ascii="Times New Roman" w:hAnsi="Times New Roman" w:cs="Times New Roman" w:eastAsia="Times New Roman"/>
                <w:sz w:val="12"/>
              </w:rPr>
              <w:t>Taxonomy of methods</w:t>
            </w:r>
          </w:p>
        </w:tc>
        <w:tc>
          <w:tcPr>
            <w:tcW w:type="dxa" w:w="979"/>
          </w:tcPr>
          <w:p>
            <w:pPr>
              <w:keepNext/>
              <w:jc w:val="left"/>
            </w:pPr>
            <w:r/>
            <w:r>
              <w:rPr>
                <w:rFonts w:ascii="Times New Roman" w:hAnsi="Times New Roman" w:cs="Times New Roman" w:eastAsia="Times New Roman"/>
                <w:sz w:val="12"/>
              </w:rPr>
              <w:t>Mostly single-label</w:t>
            </w:r>
          </w:p>
        </w:tc>
      </w:tr>
      <w:tr>
        <w:trPr>
          <w:cantSplit w:val="true"/>
        </w:trPr>
        <w:tc>
          <w:tcPr>
            <w:tcW w:type="dxa" w:w="792"/>
          </w:tcPr>
          <w:p>
            <w:pPr>
              <w:jc w:val="left"/>
            </w:pPr>
            <w:r/>
            <w:r>
              <w:rPr>
                <w:rFonts w:ascii="Times New Roman" w:hAnsi="Times New Roman" w:cs="Times New Roman" w:eastAsia="Times New Roman"/>
                <w:sz w:val="12"/>
              </w:rPr>
              <w:t>This work</w:t>
            </w:r>
          </w:p>
        </w:tc>
        <w:tc>
          <w:tcPr>
            <w:tcW w:type="dxa" w:w="979"/>
          </w:tcPr>
          <w:p>
            <w:pPr>
              <w:jc w:val="left"/>
            </w:pPr>
            <w:r/>
            <w:r>
              <w:rPr>
                <w:rFonts w:ascii="Times New Roman" w:hAnsi="Times New Roman" w:cs="Times New Roman" w:eastAsia="Times New Roman"/>
                <w:sz w:val="12"/>
              </w:rPr>
              <w:t>cEmoGAN + 18-output CNN</w:t>
            </w:r>
          </w:p>
        </w:tc>
        <w:tc>
          <w:tcPr>
            <w:tcW w:type="dxa" w:w="979"/>
          </w:tcPr>
          <w:p>
            <w:pPr>
              <w:jc w:val="left"/>
            </w:pPr>
            <w:r/>
            <w:r>
              <w:rPr>
                <w:rFonts w:ascii="Times New Roman" w:hAnsi="Times New Roman" w:cs="Times New Roman" w:eastAsia="Times New Roman"/>
                <w:sz w:val="12"/>
              </w:rPr>
              <w:t>FER2013 (7 basic labels)</w:t>
            </w:r>
          </w:p>
        </w:tc>
        <w:tc>
          <w:tcPr>
            <w:tcW w:type="dxa" w:w="1008"/>
          </w:tcPr>
          <w:p>
            <w:pPr>
              <w:jc w:val="left"/>
            </w:pPr>
            <w:r/>
            <w:r>
              <w:rPr>
                <w:rFonts w:ascii="Times New Roman" w:hAnsi="Times New Roman" w:cs="Times New Roman" w:eastAsia="Times New Roman"/>
                <w:sz w:val="12"/>
              </w:rPr>
              <w:t>Section IV</w:t>
            </w:r>
          </w:p>
        </w:tc>
        <w:tc>
          <w:tcPr>
            <w:tcW w:type="dxa" w:w="979"/>
          </w:tcPr>
          <w:p>
            <w:pPr>
              <w:jc w:val="left"/>
            </w:pPr>
            <w:r/>
            <w:r>
              <w:rPr>
                <w:rFonts w:ascii="Times New Roman" w:hAnsi="Times New Roman" w:cs="Times New Roman" w:eastAsia="Times New Roman"/>
                <w:sz w:val="12"/>
              </w:rPr>
              <w:t>No real compound labels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Recognition of compound emotions needs either scarce real labels or synthetic data; the literature shows synthetic data only scored on itself. What is missing is an open implementation that trains on synthetic compound faces, evaluates on real faces against a no-synthesis control, and reports what does not work.</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 and Preprocessing</w:t>
      </w:r>
    </w:p>
    <w:p>
      <w:pPr>
        <w:keepNext w:val="0"/>
        <w:spacing w:after="0" w:before="0" w:line="240" w:lineRule="auto"/>
        <w:ind w:firstLine="288"/>
        <w:jc w:val="both"/>
      </w:pPr>
      <w:r>
        <w:rPr>
          <w:rFonts w:ascii="Times New Roman" w:hAnsi="Times New Roman" w:cs="Times New Roman" w:eastAsia="Times New Roman"/>
          <w:sz w:val="20"/>
        </w:rPr>
        <w:t>The data are the FER2013 pickles of a public Hugging Face mirror (tagged apache-2.0 there): 28,709 training and 7,178 test faces, 48x48 grayscale, seven classes. The classes are imbalanced: happy has 7,215 training faces, disgust only 436 (1.5 %). Always predicting happy would score 24.7 % on the test set. Faces are resized to 64x64 and scaled to [-1, 1]. FER2013 has no compound labels, so the eleven compound outputs have no real test labels at all: compound training data come only from the generator, and compound recognition on real faces cannot be scored.</w:t>
      </w:r>
    </w:p>
    <w:p>
      <w:pPr>
        <w:keepNext/>
        <w:spacing w:before="80" w:after="40"/>
      </w:pPr>
      <w:r>
        <w:rPr>
          <w:rFonts w:ascii="Times New Roman" w:hAnsi="Times New Roman" w:cs="Times New Roman" w:eastAsia="Times New Roman"/>
          <w:b w:val="0"/>
          <w:i/>
          <w:sz w:val="20"/>
        </w:rPr>
        <w:t>B. Backbone and Conditional GAN</w:t>
      </w:r>
    </w:p>
    <w:p>
      <w:pPr>
        <w:keepNext w:val="0"/>
        <w:spacing w:after="0" w:before="0" w:line="240" w:lineRule="auto"/>
        <w:ind w:firstLine="288"/>
        <w:jc w:val="both"/>
      </w:pPr>
      <w:r>
        <w:rPr>
          <w:rFonts w:ascii="Times New Roman" w:hAnsi="Times New Roman" w:cs="Times New Roman" w:eastAsia="Times New Roman"/>
          <w:sz w:val="20"/>
        </w:rPr>
        <w:t>Stage 1 trains a CNN with four Conv-BatchNorm-ReLU-MaxPool blocks (32, 64, 128, 128 channels) and a head of FC 2048-256, dropout 0.4 and a seven-way output with class-weighted cross-entropy, Adam [19] at 1e-3, batch 256 and five epochs. The same body with eighteen outputs is the final classifier (770,130 parameters). The cEmoGAN of this implementation is a conditional DCGAN-style pair: the generator maps noise z (100-d) and a 7-d condition vector c through five transposed convolutions to a 64x64 image (1,128,353 parameters); the discriminator scores an image and a projected condition. Training uses 400 real faces per class (2,800), Adam 2e-4 with beta1 0.5, batch 64, ten epochs, one-hot conditions and a real-label target of 0.9:</w:t>
      </w:r>
    </w:p>
    <w:p>
      <w:pPr>
        <w:keepLines/>
        <w:spacing w:before="40" w:after="40"/>
        <w:jc w:val="center"/>
      </w:pPr>
      <w:r>
        <w:rPr>
          <w:rFonts w:ascii="Times New Roman" w:hAnsi="Times New Roman" w:cs="Times New Roman" w:eastAsia="Times New Roman"/>
          <w:b w:val="0"/>
          <w:i/>
          <w:sz w:val="20"/>
        </w:rPr>
        <w:t>L</w:t>
      </w:r>
      <w:r>
        <w:rPr>
          <w:rFonts w:ascii="Times New Roman" w:hAnsi="Times New Roman" w:cs="Times New Roman" w:eastAsia="Times New Roman"/>
          <w:b w:val="0"/>
          <w:i/>
          <w:sz w:val="20"/>
          <w:vertAlign w:val="subscript"/>
        </w:rPr>
        <w:t>D</w:t>
      </w:r>
      <w:r>
        <w:rPr>
          <w:rFonts w:ascii="Times New Roman" w:hAnsi="Times New Roman" w:cs="Times New Roman" w:eastAsia="Times New Roman"/>
          <w:b w:val="0"/>
          <w:i/>
          <w:sz w:val="20"/>
        </w:rPr>
        <w:t xml:space="preserve"> = BCE(D(x|c), 0.9) + BCE(D(G(z|c)|c), 0)</w:t>
      </w:r>
      <w:r>
        <w:rPr>
          <w:rFonts w:ascii="Times New Roman" w:hAnsi="Times New Roman" w:cs="Times New Roman" w:eastAsia="Times New Roman"/>
          <w:sz w:val="20"/>
        </w:rPr>
        <w:t xml:space="preserve">        (1)</w:t>
      </w:r>
    </w:p>
    <w:p>
      <w:pPr>
        <w:keepLines/>
        <w:spacing w:before="40" w:after="40"/>
        <w:jc w:val="center"/>
      </w:pPr>
      <w:r>
        <w:rPr>
          <w:rFonts w:ascii="Times New Roman" w:hAnsi="Times New Roman" w:cs="Times New Roman" w:eastAsia="Times New Roman"/>
          <w:b w:val="0"/>
          <w:i/>
          <w:sz w:val="20"/>
        </w:rPr>
        <w:t>L</w:t>
      </w:r>
      <w:r>
        <w:rPr>
          <w:rFonts w:ascii="Times New Roman" w:hAnsi="Times New Roman" w:cs="Times New Roman" w:eastAsia="Times New Roman"/>
          <w:b w:val="0"/>
          <w:i/>
          <w:sz w:val="20"/>
          <w:vertAlign w:val="subscript"/>
        </w:rPr>
        <w:t>G</w:t>
      </w:r>
      <w:r>
        <w:rPr>
          <w:rFonts w:ascii="Times New Roman" w:hAnsi="Times New Roman" w:cs="Times New Roman" w:eastAsia="Times New Roman"/>
          <w:b w:val="0"/>
          <w:i/>
          <w:sz w:val="20"/>
        </w:rPr>
        <w:t xml:space="preserve"> = BCE(D(G(z|c)|c), 0.9)</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final discriminator and generator losses were 0.7731 and 3.724 (the product's training log). Unlike the base paper, there is no encoder, so identity preservation is not implemented here.</w:t>
      </w:r>
    </w:p>
    <w:p>
      <w:pPr>
        <w:keepNext/>
        <w:spacing w:before="80" w:after="40"/>
      </w:pPr>
      <w:r>
        <w:rPr>
          <w:rFonts w:ascii="Times New Roman" w:hAnsi="Times New Roman" w:cs="Times New Roman" w:eastAsia="Times New Roman"/>
          <w:b w:val="0"/>
          <w:i/>
          <w:sz w:val="20"/>
        </w:rPr>
        <w:t>C. Compound Synthesis and Multi-Label Classifier</w:t>
      </w:r>
    </w:p>
    <w:p>
      <w:pPr>
        <w:keepNext w:val="0"/>
        <w:spacing w:after="0" w:before="0" w:line="240" w:lineRule="auto"/>
        <w:ind w:firstLine="288"/>
        <w:jc w:val="both"/>
      </w:pPr>
      <w:r>
        <w:rPr>
          <w:rFonts w:ascii="Times New Roman" w:hAnsi="Times New Roman" w:cs="Times New Roman" w:eastAsia="Times New Roman"/>
          <w:sz w:val="20"/>
        </w:rPr>
        <w:t>For each of eleven compound classes (a subset of the categories of Du et al. [5]) the generator receives a condition with 0.5 on each of the two component emotions and is sampled 200 times, giving 2,200 synthetic faces. Each synthetic face has three active targets: its two basic emotions and the compound; each real face has one active basic target. The final classifier is initialised with the convolutional weights of the backbone and trained on the 28,709 real plus 2,200 synthetic faces with binary cross-entropy over the eighteen logits z (index k):</w:t>
      </w:r>
    </w:p>
    <w:p>
      <w:pPr>
        <w:keepLines/>
        <w:spacing w:before="40" w:after="40"/>
        <w:jc w:val="center"/>
      </w:pPr>
      <w:r>
        <w:rPr>
          <w:rFonts w:ascii="Times New Roman" w:hAnsi="Times New Roman" w:cs="Times New Roman" w:eastAsia="Times New Roman"/>
          <w:b w:val="0"/>
          <w:i/>
          <w:sz w:val="20"/>
        </w:rPr>
        <w:t>L = -(1/18)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 y</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log σ(z</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 (1 - y</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log(1 - σ(z</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Adam 5e-4, batch 256, five epochs. At inference the dominant emotion is the arg max over all eighteen sigmoid outputs, and the basic and compound lists are returned sorted. No decision threshold is applied: the code has a threshold parameter that is never used.</w:t>
      </w:r>
    </w:p>
    <w:p>
      <w:pPr>
        <w:keepNext/>
        <w:spacing w:before="80" w:after="40"/>
      </w:pPr>
      <w:r>
        <w:rPr>
          <w:rFonts w:ascii="Times New Roman" w:hAnsi="Times New Roman" w:cs="Times New Roman" w:eastAsia="Times New Roman"/>
          <w:b w:val="0"/>
          <w:i/>
          <w:sz w:val="20"/>
        </w:rPr>
        <w:t>D. Application and Serving Path</w:t>
      </w:r>
    </w:p>
    <w:p>
      <w:pPr>
        <w:keepNext w:val="0"/>
        <w:spacing w:after="0" w:before="0" w:line="240" w:lineRule="auto"/>
        <w:ind w:firstLine="288"/>
        <w:jc w:val="both"/>
      </w:pPr>
      <w:r>
        <w:rPr>
          <w:rFonts w:ascii="Times New Roman" w:hAnsi="Times New Roman" w:cs="Times New Roman" w:eastAsia="Times New Roman"/>
          <w:sz w:val="20"/>
        </w:rPr>
        <w:t>A request carries a JPEG or PNG. The OpenCV Haar cascade [20] (scale factor 1.1, five neighbours, minimum 40x40 px) finds faces, the largest is cropped in grayscale, resized and classified. A signed-in user's result and cropped-face thumbnail are stored; an anonymous call returns the result only. Passwords are hashed with bcrypt, tokens are HS256 JWTs valid for seven days and history is private per user. If no face is found the API still answers 200 with face_detected false, although its contract says 422.</w:t>
      </w:r>
    </w:p>
    <w:p>
      <w:pPr>
        <w:keepNext/>
        <w:spacing w:before="80"/>
        <w:jc w:val="center"/>
      </w:pPr>
      <w:r>
        <w:drawing>
          <wp:inline xmlns:a="http://schemas.openxmlformats.org/drawingml/2006/main" xmlns:pic="http://schemas.openxmlformats.org/drawingml/2006/picture">
            <wp:extent cx="3017520" cy="2672661"/>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672661"/>
                    </a:xfrm>
                    <a:prstGeom prst="rect"/>
                  </pic:spPr>
                </pic:pic>
              </a:graphicData>
            </a:graphic>
          </wp:inline>
        </w:drawing>
      </w:r>
    </w:p>
    <w:p>
      <w:pPr>
        <w:spacing w:after="100"/>
        <w:jc w:val="both"/>
      </w:pPr>
      <w:r>
        <w:rPr>
          <w:rFonts w:ascii="Times New Roman" w:hAnsi="Times New Roman" w:cs="Times New Roman" w:eastAsia="Times New Roman"/>
          <w:sz w:val="16"/>
        </w:rPr>
        <w:t>Fig. 1. Mosaic architecture: browser, FastAPI service, ML modules and local files.</w:t>
      </w:r>
    </w:p>
    <w:p>
      <w:pPr>
        <w:keepNext/>
        <w:spacing w:before="80"/>
        <w:jc w:val="center"/>
      </w:pPr>
      <w:r>
        <w:drawing>
          <wp:inline xmlns:a="http://schemas.openxmlformats.org/drawingml/2006/main" xmlns:pic="http://schemas.openxmlformats.org/drawingml/2006/picture">
            <wp:extent cx="3017520" cy="2327801"/>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327801"/>
                    </a:xfrm>
                    <a:prstGeom prst="rect"/>
                  </pic:spPr>
                </pic:pic>
              </a:graphicData>
            </a:graphic>
          </wp:inline>
        </w:drawing>
      </w:r>
    </w:p>
    <w:p>
      <w:pPr>
        <w:spacing w:after="100"/>
        <w:jc w:val="both"/>
      </w:pPr>
      <w:r>
        <w:rPr>
          <w:rFonts w:ascii="Times New Roman" w:hAnsi="Times New Roman" w:cs="Times New Roman" w:eastAsia="Times New Roman"/>
          <w:sz w:val="16"/>
        </w:rPr>
        <w:t>Fig. 2. Main flow: (A) one analysis request and (B) the offline training pipeline.</w:t>
      </w:r>
    </w:p>
    <w:p>
      <w:pPr>
        <w:keepNext/>
        <w:spacing w:before="80" w:after="40"/>
      </w:pPr>
      <w:r>
        <w:rPr>
          <w:rFonts w:ascii="Times New Roman" w:hAnsi="Times New Roman" w:cs="Times New Roman" w:eastAsia="Times New Roman"/>
          <w:b w:val="0"/>
          <w:i/>
          <w:sz w:val="20"/>
        </w:rPr>
        <w:t>E. Implementation Notes</w:t>
      </w:r>
    </w:p>
    <w:p>
      <w:pPr>
        <w:keepNext w:val="0"/>
        <w:spacing w:after="0" w:before="0" w:line="240" w:lineRule="auto"/>
        <w:ind w:firstLine="288"/>
        <w:jc w:val="both"/>
      </w:pPr>
      <w:r>
        <w:rPr>
          <w:rFonts w:ascii="Times New Roman" w:hAnsi="Times New Roman" w:cs="Times New Roman" w:eastAsia="Times New Roman"/>
          <w:sz w:val="20"/>
        </w:rPr>
        <w:t>The console offers an upload tab and a webcam tab (a captured frame is posted like an uploaded file). The result view shows the dominant emotion with its confidence, a Recharts bar chart of the seven basic scores and horizontal bars for the six highest of the eleven compound scores. The access token is persisted in the browser by a small zustand store, history is paged by limit and offset, and every analysis row keeps the seven basic scores, the eleven compound scores and the dominant emotion as JSON, so a history entry can be redrawn exactly. Classifier, generator and backbone checkpoints are plain PyTorch state dictionaries loaded with the model in evaluation mode; the model is loaded once when the server starts, and the health endpoint reports whether that succeeded. The final classifier had never been trained when this project was received, so the API reported that no model was loaded until stage 3 of the pipeline was run unchanged.</w:t>
      </w:r>
    </w:p>
    <w:p>
      <w:pPr>
        <w:keepNext/>
        <w:spacing w:before="80" w:after="40"/>
      </w:pPr>
      <w:r>
        <w:rPr>
          <w:rFonts w:ascii="Times New Roman" w:hAnsi="Times New Roman" w:cs="Times New Roman" w:eastAsia="Times New Roman"/>
          <w:b w:val="0"/>
          <w:i/>
          <w:sz w:val="20"/>
        </w:rPr>
        <w:t>F. Evaluation Protocol</w:t>
      </w:r>
    </w:p>
    <w:p>
      <w:pPr>
        <w:keepNext w:val="0"/>
        <w:spacing w:after="0" w:before="0" w:line="240" w:lineRule="auto"/>
        <w:ind w:firstLine="288"/>
        <w:jc w:val="both"/>
      </w:pPr>
      <w:r>
        <w:rPr>
          <w:rFonts w:ascii="Times New Roman" w:hAnsi="Times New Roman" w:cs="Times New Roman" w:eastAsia="Times New Roman"/>
          <w:sz w:val="20"/>
        </w:rPr>
        <w:t>Basic-emotion accuracy and macro-F1 are computed on the FER2013 test set by arg max over the seven basic outputs. A three-seed ablation retrains the final classifier from the same backbone with and without the synthetic faces; the GAN is fixed. Compound behaviour is examined in two ways that need no real compound labels: the compound scores of real test faces, and a hold-out of 1,100 freshly generated compound faces scored with micro-F1, exact-match ratio and macro ROC-AUC over the eleven compound columns. Generator fidelity is the accuracy of the stage-1 CNN on 500 generated faces per condition and the Fréchet distance between 256-d stage-1 features of generated and real faces.</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All numbers come from the 7,178-image FER2013 test set unless stated; the test set was also printed per epoch but never used to select a model. The ablation used seeds 1-3 and five epochs per run (about nine minutes each on the shared CPU). 28 automated tests (pytest) pass. Latencies are medians over HTTP on 127.0.0.1.</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BASIC-EMOTION RESULTS ON FER2013 TEST (7,178 IMAGES)</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2808"/>
          </w:tcPr>
          <w:p>
            <w:pPr>
              <w:keepNext/>
              <w:jc w:val="center"/>
            </w:pPr>
            <w:r/>
            <w:r>
              <w:rPr>
                <w:rFonts w:ascii="Times New Roman" w:hAnsi="Times New Roman" w:cs="Times New Roman" w:eastAsia="Times New Roman"/>
                <w:b/>
                <w:sz w:val="12"/>
              </w:rPr>
              <w:t>Model</w:t>
            </w:r>
          </w:p>
        </w:tc>
        <w:tc>
          <w:tcPr>
            <w:tcW w:type="dxa" w:w="1152"/>
          </w:tcPr>
          <w:p>
            <w:pPr>
              <w:keepNext/>
              <w:jc w:val="center"/>
            </w:pPr>
            <w:r/>
            <w:r>
              <w:rPr>
                <w:rFonts w:ascii="Times New Roman" w:hAnsi="Times New Roman" w:cs="Times New Roman" w:eastAsia="Times New Roman"/>
                <w:b/>
                <w:sz w:val="12"/>
              </w:rPr>
              <w:t>Accuracy %</w:t>
            </w:r>
          </w:p>
        </w:tc>
        <w:tc>
          <w:tcPr>
            <w:tcW w:type="dxa" w:w="936"/>
          </w:tcPr>
          <w:p>
            <w:pPr>
              <w:keepNext/>
              <w:jc w:val="center"/>
            </w:pPr>
            <w:r/>
            <w:r>
              <w:rPr>
                <w:rFonts w:ascii="Times New Roman" w:hAnsi="Times New Roman" w:cs="Times New Roman" w:eastAsia="Times New Roman"/>
                <w:b/>
                <w:sz w:val="12"/>
              </w:rPr>
              <w:t>Macro-F1</w:t>
            </w:r>
          </w:p>
        </w:tc>
      </w:tr>
      <w:tr>
        <w:trPr>
          <w:cantSplit w:val="true"/>
        </w:trPr>
        <w:tc>
          <w:tcPr>
            <w:tcW w:type="dxa" w:w="2808"/>
          </w:tcPr>
          <w:p>
            <w:pPr>
              <w:keepNext/>
              <w:jc w:val="left"/>
            </w:pPr>
            <w:r/>
            <w:r>
              <w:rPr>
                <w:rFonts w:ascii="Times New Roman" w:hAnsi="Times New Roman" w:cs="Times New Roman" w:eastAsia="Times New Roman"/>
                <w:sz w:val="12"/>
              </w:rPr>
              <w:t>Always predict happy</w:t>
            </w:r>
          </w:p>
        </w:tc>
        <w:tc>
          <w:tcPr>
            <w:tcW w:type="dxa" w:w="1152"/>
          </w:tcPr>
          <w:p>
            <w:pPr>
              <w:keepNext/>
              <w:jc w:val="center"/>
            </w:pPr>
            <w:r/>
            <w:r>
              <w:rPr>
                <w:rFonts w:ascii="Times New Roman" w:hAnsi="Times New Roman" w:cs="Times New Roman" w:eastAsia="Times New Roman"/>
                <w:sz w:val="12"/>
              </w:rPr>
              <w:t>24.71</w:t>
            </w:r>
          </w:p>
        </w:tc>
        <w:tc>
          <w:tcPr>
            <w:tcW w:type="dxa" w:w="936"/>
          </w:tcPr>
          <w:p>
            <w:pPr>
              <w:keepNext/>
              <w:jc w:val="center"/>
            </w:pPr>
            <w:r/>
            <w:r>
              <w:rPr>
                <w:rFonts w:ascii="Times New Roman" w:hAnsi="Times New Roman" w:cs="Times New Roman" w:eastAsia="Times New Roman"/>
                <w:sz w:val="12"/>
              </w:rPr>
              <w:t>-</w:t>
            </w:r>
          </w:p>
        </w:tc>
      </w:tr>
      <w:tr>
        <w:trPr>
          <w:cantSplit w:val="true"/>
        </w:trPr>
        <w:tc>
          <w:tcPr>
            <w:tcW w:type="dxa" w:w="2808"/>
          </w:tcPr>
          <w:p>
            <w:pPr>
              <w:keepNext/>
              <w:jc w:val="left"/>
            </w:pPr>
            <w:r/>
            <w:r>
              <w:rPr>
                <w:rFonts w:ascii="Times New Roman" w:hAnsi="Times New Roman" w:cs="Times New Roman" w:eastAsia="Times New Roman"/>
                <w:sz w:val="12"/>
              </w:rPr>
              <w:t>Stage-1 single-label CNN (shipped)</w:t>
            </w:r>
          </w:p>
        </w:tc>
        <w:tc>
          <w:tcPr>
            <w:tcW w:type="dxa" w:w="1152"/>
          </w:tcPr>
          <w:p>
            <w:pPr>
              <w:keepNext/>
              <w:jc w:val="center"/>
            </w:pPr>
            <w:r/>
            <w:r>
              <w:rPr>
                <w:rFonts w:ascii="Times New Roman" w:hAnsi="Times New Roman" w:cs="Times New Roman" w:eastAsia="Times New Roman"/>
                <w:sz w:val="12"/>
              </w:rPr>
              <w:t>50.56</w:t>
            </w:r>
          </w:p>
        </w:tc>
        <w:tc>
          <w:tcPr>
            <w:tcW w:type="dxa" w:w="936"/>
          </w:tcPr>
          <w:p>
            <w:pPr>
              <w:keepNext/>
              <w:jc w:val="center"/>
            </w:pPr>
            <w:r/>
            <w:r>
              <w:rPr>
                <w:rFonts w:ascii="Times New Roman" w:hAnsi="Times New Roman" w:cs="Times New Roman" w:eastAsia="Times New Roman"/>
                <w:sz w:val="12"/>
              </w:rPr>
              <w:t>0.473</w:t>
            </w:r>
          </w:p>
        </w:tc>
      </w:tr>
      <w:tr>
        <w:trPr>
          <w:cantSplit w:val="true"/>
        </w:trPr>
        <w:tc>
          <w:tcPr>
            <w:tcW w:type="dxa" w:w="2808"/>
          </w:tcPr>
          <w:p>
            <w:pPr>
              <w:keepNext/>
              <w:jc w:val="left"/>
            </w:pPr>
            <w:r/>
            <w:r>
              <w:rPr>
                <w:rFonts w:ascii="Times New Roman" w:hAnsi="Times New Roman" w:cs="Times New Roman" w:eastAsia="Times New Roman"/>
                <w:sz w:val="12"/>
              </w:rPr>
              <w:t>Final 18-output CNN (shipped)</w:t>
            </w:r>
          </w:p>
        </w:tc>
        <w:tc>
          <w:tcPr>
            <w:tcW w:type="dxa" w:w="1152"/>
          </w:tcPr>
          <w:p>
            <w:pPr>
              <w:keepNext/>
              <w:jc w:val="center"/>
            </w:pPr>
            <w:r/>
            <w:r>
              <w:rPr>
                <w:rFonts w:ascii="Times New Roman" w:hAnsi="Times New Roman" w:cs="Times New Roman" w:eastAsia="Times New Roman"/>
                <w:sz w:val="12"/>
              </w:rPr>
              <w:t>58.14</w:t>
            </w:r>
          </w:p>
        </w:tc>
        <w:tc>
          <w:tcPr>
            <w:tcW w:type="dxa" w:w="936"/>
          </w:tcPr>
          <w:p>
            <w:pPr>
              <w:keepNext/>
              <w:jc w:val="center"/>
            </w:pPr>
            <w:r/>
            <w:r>
              <w:rPr>
                <w:rFonts w:ascii="Times New Roman" w:hAnsi="Times New Roman" w:cs="Times New Roman" w:eastAsia="Times New Roman"/>
                <w:sz w:val="12"/>
              </w:rPr>
              <w:t>0.538</w:t>
            </w:r>
          </w:p>
        </w:tc>
      </w:tr>
      <w:tr>
        <w:trPr>
          <w:cantSplit w:val="true"/>
        </w:trPr>
        <w:tc>
          <w:tcPr>
            <w:tcW w:type="dxa" w:w="2808"/>
          </w:tcPr>
          <w:p>
            <w:pPr>
              <w:keepNext/>
              <w:jc w:val="left"/>
            </w:pPr>
            <w:r/>
            <w:r>
              <w:rPr>
                <w:rFonts w:ascii="Times New Roman" w:hAnsi="Times New Roman" w:cs="Times New Roman" w:eastAsia="Times New Roman"/>
                <w:sz w:val="12"/>
              </w:rPr>
              <w:t>18 outputs, real faces only (3 seeds)</w:t>
            </w:r>
          </w:p>
        </w:tc>
        <w:tc>
          <w:tcPr>
            <w:tcW w:type="dxa" w:w="1152"/>
          </w:tcPr>
          <w:p>
            <w:pPr>
              <w:keepNext/>
              <w:jc w:val="center"/>
            </w:pPr>
            <w:r/>
            <w:r>
              <w:rPr>
                <w:rFonts w:ascii="Times New Roman" w:hAnsi="Times New Roman" w:cs="Times New Roman" w:eastAsia="Times New Roman"/>
                <w:sz w:val="12"/>
              </w:rPr>
              <w:t>58.10 ± 1.59</w:t>
            </w:r>
          </w:p>
        </w:tc>
        <w:tc>
          <w:tcPr>
            <w:tcW w:type="dxa" w:w="936"/>
          </w:tcPr>
          <w:p>
            <w:pPr>
              <w:keepNext/>
              <w:jc w:val="center"/>
            </w:pPr>
            <w:r/>
            <w:r>
              <w:rPr>
                <w:rFonts w:ascii="Times New Roman" w:hAnsi="Times New Roman" w:cs="Times New Roman" w:eastAsia="Times New Roman"/>
                <w:sz w:val="12"/>
              </w:rPr>
              <w:t>0.547 ± 0.009</w:t>
            </w:r>
          </w:p>
        </w:tc>
      </w:tr>
      <w:tr>
        <w:trPr>
          <w:cantSplit w:val="true"/>
        </w:trPr>
        <w:tc>
          <w:tcPr>
            <w:tcW w:type="dxa" w:w="2808"/>
          </w:tcPr>
          <w:p>
            <w:pPr>
              <w:jc w:val="left"/>
            </w:pPr>
            <w:r/>
            <w:r>
              <w:rPr>
                <w:rFonts w:ascii="Times New Roman" w:hAnsi="Times New Roman" w:cs="Times New Roman" w:eastAsia="Times New Roman"/>
                <w:sz w:val="12"/>
              </w:rPr>
              <w:t>18 outputs, real + synthetic (3 seeds)</w:t>
            </w:r>
          </w:p>
        </w:tc>
        <w:tc>
          <w:tcPr>
            <w:tcW w:type="dxa" w:w="1152"/>
          </w:tcPr>
          <w:p>
            <w:pPr>
              <w:jc w:val="center"/>
            </w:pPr>
            <w:r/>
            <w:r>
              <w:rPr>
                <w:rFonts w:ascii="Times New Roman" w:hAnsi="Times New Roman" w:cs="Times New Roman" w:eastAsia="Times New Roman"/>
                <w:sz w:val="12"/>
              </w:rPr>
              <w:t>58.86 ± 0.57</w:t>
            </w:r>
          </w:p>
        </w:tc>
        <w:tc>
          <w:tcPr>
            <w:tcW w:type="dxa" w:w="936"/>
          </w:tcPr>
          <w:p>
            <w:pPr>
              <w:jc w:val="center"/>
            </w:pPr>
            <w:r/>
            <w:r>
              <w:rPr>
                <w:rFonts w:ascii="Times New Roman" w:hAnsi="Times New Roman" w:cs="Times New Roman" w:eastAsia="Times New Roman"/>
                <w:sz w:val="12"/>
              </w:rPr>
              <w:t>0.535 ± 0.008</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Basic Emotions and the Ablation</w:t>
      </w:r>
    </w:p>
    <w:p>
      <w:pPr>
        <w:keepNext w:val="0"/>
        <w:spacing w:after="0" w:before="0" w:line="240" w:lineRule="auto"/>
        <w:ind w:firstLine="288"/>
        <w:jc w:val="both"/>
      </w:pPr>
      <w:r>
        <w:rPr>
          <w:rFonts w:ascii="Times New Roman" w:hAnsi="Times New Roman" w:cs="Times New Roman" w:eastAsia="Times New Roman"/>
          <w:sz w:val="20"/>
        </w:rPr>
        <w:t>The shipped multi-label model scores 58.1 % against 50.6 % for the single-label stage-1 network (macro-F1 0.538 against 0.473), in line with the 51.6 % that a lightweight CNN reached on FER2013 in [4] under its own protocol. The gain, however, is not a synthetic-data effect. A model trained on real faces only, with the same initialisation and epochs, scores 58.10 ± 1.59 % over three seeds, and adding the synthetic faces gives 58.86 ± 0.57 %: the difference is within one standard deviation of the unsynthesised runs, and macro-F1 is slightly lower with synthetic faces (0.535 against 0.547). The extra five epochs of fine-tuning, not the GAN, explain the improvement over the baseline. Per class, happy (80.5 F1) and surprise (73.6) are recognised best; disgust has perfect precision but only 18.9 % recall because it is 1.5 % of the training data; fear is confused with sad and angry.</w:t>
      </w:r>
    </w:p>
    <w:p>
      <w:pPr>
        <w:keepNext/>
        <w:spacing w:before="80"/>
        <w:jc w:val="center"/>
      </w:pPr>
      <w:r>
        <w:drawing>
          <wp:inline xmlns:a="http://schemas.openxmlformats.org/drawingml/2006/main" xmlns:pic="http://schemas.openxmlformats.org/drawingml/2006/picture">
            <wp:extent cx="3108960" cy="190979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909790"/>
                    </a:xfrm>
                    <a:prstGeom prst="rect"/>
                  </pic:spPr>
                </pic:pic>
              </a:graphicData>
            </a:graphic>
          </wp:inline>
        </w:drawing>
      </w:r>
    </w:p>
    <w:p>
      <w:pPr>
        <w:spacing w:after="100"/>
        <w:jc w:val="both"/>
      </w:pPr>
      <w:r>
        <w:rPr>
          <w:rFonts w:ascii="Times New Roman" w:hAnsi="Times New Roman" w:cs="Times New Roman" w:eastAsia="Times New Roman"/>
          <w:sz w:val="16"/>
        </w:rPr>
        <w:t>Fig. 3. (a) Basic-emotion accuracy with the no-synthesis control; error bars are one standard deviation over three seeds. (b) Compound ROC-AUC on the synthetic hold-out and generator condition accuracy, each against chance.</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PER-CLASS RESULTS OF THE SHIPPED FINAL MODEL</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893"/>
          </w:tcPr>
          <w:p>
            <w:pPr>
              <w:keepNext/>
              <w:jc w:val="center"/>
            </w:pPr>
            <w:r/>
            <w:r>
              <w:rPr>
                <w:rFonts w:ascii="Times New Roman" w:hAnsi="Times New Roman" w:cs="Times New Roman" w:eastAsia="Times New Roman"/>
                <w:b/>
                <w:sz w:val="12"/>
              </w:rPr>
              <w:t>Emotion</w:t>
            </w:r>
          </w:p>
        </w:tc>
        <w:tc>
          <w:tcPr>
            <w:tcW w:type="dxa" w:w="720"/>
          </w:tcPr>
          <w:p>
            <w:pPr>
              <w:keepNext/>
              <w:jc w:val="center"/>
            </w:pPr>
            <w:r/>
            <w:r>
              <w:rPr>
                <w:rFonts w:ascii="Times New Roman" w:hAnsi="Times New Roman" w:cs="Times New Roman" w:eastAsia="Times New Roman"/>
                <w:b/>
                <w:sz w:val="12"/>
              </w:rPr>
              <w:t>Test n</w:t>
            </w:r>
          </w:p>
        </w:tc>
        <w:tc>
          <w:tcPr>
            <w:tcW w:type="dxa" w:w="835"/>
          </w:tcPr>
          <w:p>
            <w:pPr>
              <w:keepNext/>
              <w:jc w:val="center"/>
            </w:pPr>
            <w:r/>
            <w:r>
              <w:rPr>
                <w:rFonts w:ascii="Times New Roman" w:hAnsi="Times New Roman" w:cs="Times New Roman" w:eastAsia="Times New Roman"/>
                <w:b/>
                <w:sz w:val="12"/>
              </w:rPr>
              <w:t>Precision</w:t>
            </w:r>
          </w:p>
        </w:tc>
        <w:tc>
          <w:tcPr>
            <w:tcW w:type="dxa" w:w="720"/>
          </w:tcPr>
          <w:p>
            <w:pPr>
              <w:keepNext/>
              <w:jc w:val="center"/>
            </w:pPr>
            <w:r/>
            <w:r>
              <w:rPr>
                <w:rFonts w:ascii="Times New Roman" w:hAnsi="Times New Roman" w:cs="Times New Roman" w:eastAsia="Times New Roman"/>
                <w:b/>
                <w:sz w:val="12"/>
              </w:rPr>
              <w:t>Recall</w:t>
            </w:r>
          </w:p>
        </w:tc>
        <w:tc>
          <w:tcPr>
            <w:tcW w:type="dxa" w:w="648"/>
          </w:tcPr>
          <w:p>
            <w:pPr>
              <w:keepNext/>
              <w:jc w:val="center"/>
            </w:pPr>
            <w:r/>
            <w:r>
              <w:rPr>
                <w:rFonts w:ascii="Times New Roman" w:hAnsi="Times New Roman" w:cs="Times New Roman" w:eastAsia="Times New Roman"/>
                <w:b/>
                <w:sz w:val="12"/>
              </w:rPr>
              <w:t>F1</w:t>
            </w:r>
          </w:p>
        </w:tc>
        <w:tc>
          <w:tcPr>
            <w:tcW w:type="dxa" w:w="893"/>
          </w:tcPr>
          <w:p>
            <w:pPr>
              <w:keepNext/>
              <w:jc w:val="center"/>
            </w:pPr>
            <w:r/>
            <w:r>
              <w:rPr>
                <w:rFonts w:ascii="Times New Roman" w:hAnsi="Times New Roman" w:cs="Times New Roman" w:eastAsia="Times New Roman"/>
                <w:b/>
                <w:sz w:val="12"/>
              </w:rPr>
              <w:t>Baseline F1</w:t>
            </w:r>
          </w:p>
        </w:tc>
      </w:tr>
      <w:tr>
        <w:trPr>
          <w:cantSplit w:val="true"/>
        </w:trPr>
        <w:tc>
          <w:tcPr>
            <w:tcW w:type="dxa" w:w="893"/>
          </w:tcPr>
          <w:p>
            <w:pPr>
              <w:keepNext/>
              <w:jc w:val="left"/>
            </w:pPr>
            <w:r/>
            <w:r>
              <w:rPr>
                <w:rFonts w:ascii="Times New Roman" w:hAnsi="Times New Roman" w:cs="Times New Roman" w:eastAsia="Times New Roman"/>
                <w:sz w:val="12"/>
              </w:rPr>
              <w:t>Angry</w:t>
            </w:r>
          </w:p>
        </w:tc>
        <w:tc>
          <w:tcPr>
            <w:tcW w:type="dxa" w:w="720"/>
          </w:tcPr>
          <w:p>
            <w:pPr>
              <w:keepNext/>
              <w:jc w:val="center"/>
            </w:pPr>
            <w:r/>
            <w:r>
              <w:rPr>
                <w:rFonts w:ascii="Times New Roman" w:hAnsi="Times New Roman" w:cs="Times New Roman" w:eastAsia="Times New Roman"/>
                <w:sz w:val="12"/>
              </w:rPr>
              <w:t>958</w:t>
            </w:r>
          </w:p>
        </w:tc>
        <w:tc>
          <w:tcPr>
            <w:tcW w:type="dxa" w:w="835"/>
          </w:tcPr>
          <w:p>
            <w:pPr>
              <w:keepNext/>
              <w:jc w:val="center"/>
            </w:pPr>
            <w:r/>
            <w:r>
              <w:rPr>
                <w:rFonts w:ascii="Times New Roman" w:hAnsi="Times New Roman" w:cs="Times New Roman" w:eastAsia="Times New Roman"/>
                <w:sz w:val="12"/>
              </w:rPr>
              <w:t>0.505</w:t>
            </w:r>
          </w:p>
        </w:tc>
        <w:tc>
          <w:tcPr>
            <w:tcW w:type="dxa" w:w="720"/>
          </w:tcPr>
          <w:p>
            <w:pPr>
              <w:keepNext/>
              <w:jc w:val="center"/>
            </w:pPr>
            <w:r/>
            <w:r>
              <w:rPr>
                <w:rFonts w:ascii="Times New Roman" w:hAnsi="Times New Roman" w:cs="Times New Roman" w:eastAsia="Times New Roman"/>
                <w:sz w:val="12"/>
              </w:rPr>
              <w:t>0.507</w:t>
            </w:r>
          </w:p>
        </w:tc>
        <w:tc>
          <w:tcPr>
            <w:tcW w:type="dxa" w:w="648"/>
          </w:tcPr>
          <w:p>
            <w:pPr>
              <w:keepNext/>
              <w:jc w:val="center"/>
            </w:pPr>
            <w:r/>
            <w:r>
              <w:rPr>
                <w:rFonts w:ascii="Times New Roman" w:hAnsi="Times New Roman" w:cs="Times New Roman" w:eastAsia="Times New Roman"/>
                <w:sz w:val="12"/>
              </w:rPr>
              <w:t>0.506</w:t>
            </w:r>
          </w:p>
        </w:tc>
        <w:tc>
          <w:tcPr>
            <w:tcW w:type="dxa" w:w="893"/>
          </w:tcPr>
          <w:p>
            <w:pPr>
              <w:keepNext/>
              <w:jc w:val="center"/>
            </w:pPr>
            <w:r/>
            <w:r>
              <w:rPr>
                <w:rFonts w:ascii="Times New Roman" w:hAnsi="Times New Roman" w:cs="Times New Roman" w:eastAsia="Times New Roman"/>
                <w:sz w:val="12"/>
              </w:rPr>
              <w:t>0.386</w:t>
            </w:r>
          </w:p>
        </w:tc>
      </w:tr>
      <w:tr>
        <w:trPr>
          <w:cantSplit w:val="true"/>
        </w:trPr>
        <w:tc>
          <w:tcPr>
            <w:tcW w:type="dxa" w:w="893"/>
          </w:tcPr>
          <w:p>
            <w:pPr>
              <w:keepNext/>
              <w:jc w:val="left"/>
            </w:pPr>
            <w:r/>
            <w:r>
              <w:rPr>
                <w:rFonts w:ascii="Times New Roman" w:hAnsi="Times New Roman" w:cs="Times New Roman" w:eastAsia="Times New Roman"/>
                <w:sz w:val="12"/>
              </w:rPr>
              <w:t>Disgust</w:t>
            </w:r>
          </w:p>
        </w:tc>
        <w:tc>
          <w:tcPr>
            <w:tcW w:type="dxa" w:w="720"/>
          </w:tcPr>
          <w:p>
            <w:pPr>
              <w:keepNext/>
              <w:jc w:val="center"/>
            </w:pPr>
            <w:r/>
            <w:r>
              <w:rPr>
                <w:rFonts w:ascii="Times New Roman" w:hAnsi="Times New Roman" w:cs="Times New Roman" w:eastAsia="Times New Roman"/>
                <w:sz w:val="12"/>
              </w:rPr>
              <w:t>111</w:t>
            </w:r>
          </w:p>
        </w:tc>
        <w:tc>
          <w:tcPr>
            <w:tcW w:type="dxa" w:w="835"/>
          </w:tcPr>
          <w:p>
            <w:pPr>
              <w:keepNext/>
              <w:jc w:val="center"/>
            </w:pPr>
            <w:r/>
            <w:r>
              <w:rPr>
                <w:rFonts w:ascii="Times New Roman" w:hAnsi="Times New Roman" w:cs="Times New Roman" w:eastAsia="Times New Roman"/>
                <w:sz w:val="12"/>
              </w:rPr>
              <w:t>1.000</w:t>
            </w:r>
          </w:p>
        </w:tc>
        <w:tc>
          <w:tcPr>
            <w:tcW w:type="dxa" w:w="720"/>
          </w:tcPr>
          <w:p>
            <w:pPr>
              <w:keepNext/>
              <w:jc w:val="center"/>
            </w:pPr>
            <w:r/>
            <w:r>
              <w:rPr>
                <w:rFonts w:ascii="Times New Roman" w:hAnsi="Times New Roman" w:cs="Times New Roman" w:eastAsia="Times New Roman"/>
                <w:sz w:val="12"/>
              </w:rPr>
              <w:t>0.189</w:t>
            </w:r>
          </w:p>
        </w:tc>
        <w:tc>
          <w:tcPr>
            <w:tcW w:type="dxa" w:w="648"/>
          </w:tcPr>
          <w:p>
            <w:pPr>
              <w:keepNext/>
              <w:jc w:val="center"/>
            </w:pPr>
            <w:r/>
            <w:r>
              <w:rPr>
                <w:rFonts w:ascii="Times New Roman" w:hAnsi="Times New Roman" w:cs="Times New Roman" w:eastAsia="Times New Roman"/>
                <w:sz w:val="12"/>
              </w:rPr>
              <w:t>0.318</w:t>
            </w:r>
          </w:p>
        </w:tc>
        <w:tc>
          <w:tcPr>
            <w:tcW w:type="dxa" w:w="893"/>
          </w:tcPr>
          <w:p>
            <w:pPr>
              <w:keepNext/>
              <w:jc w:val="center"/>
            </w:pPr>
            <w:r/>
            <w:r>
              <w:rPr>
                <w:rFonts w:ascii="Times New Roman" w:hAnsi="Times New Roman" w:cs="Times New Roman" w:eastAsia="Times New Roman"/>
                <w:sz w:val="12"/>
              </w:rPr>
              <w:t>0.370</w:t>
            </w:r>
          </w:p>
        </w:tc>
      </w:tr>
      <w:tr>
        <w:trPr>
          <w:cantSplit w:val="true"/>
        </w:trPr>
        <w:tc>
          <w:tcPr>
            <w:tcW w:type="dxa" w:w="893"/>
          </w:tcPr>
          <w:p>
            <w:pPr>
              <w:keepNext/>
              <w:jc w:val="left"/>
            </w:pPr>
            <w:r/>
            <w:r>
              <w:rPr>
                <w:rFonts w:ascii="Times New Roman" w:hAnsi="Times New Roman" w:cs="Times New Roman" w:eastAsia="Times New Roman"/>
                <w:sz w:val="12"/>
              </w:rPr>
              <w:t>Fear</w:t>
            </w:r>
          </w:p>
        </w:tc>
        <w:tc>
          <w:tcPr>
            <w:tcW w:type="dxa" w:w="720"/>
          </w:tcPr>
          <w:p>
            <w:pPr>
              <w:keepNext/>
              <w:jc w:val="center"/>
            </w:pPr>
            <w:r/>
            <w:r>
              <w:rPr>
                <w:rFonts w:ascii="Times New Roman" w:hAnsi="Times New Roman" w:cs="Times New Roman" w:eastAsia="Times New Roman"/>
                <w:sz w:val="12"/>
              </w:rPr>
              <w:t>1,024</w:t>
            </w:r>
          </w:p>
        </w:tc>
        <w:tc>
          <w:tcPr>
            <w:tcW w:type="dxa" w:w="835"/>
          </w:tcPr>
          <w:p>
            <w:pPr>
              <w:keepNext/>
              <w:jc w:val="center"/>
            </w:pPr>
            <w:r/>
            <w:r>
              <w:rPr>
                <w:rFonts w:ascii="Times New Roman" w:hAnsi="Times New Roman" w:cs="Times New Roman" w:eastAsia="Times New Roman"/>
                <w:sz w:val="12"/>
              </w:rPr>
              <w:t>0.356</w:t>
            </w:r>
          </w:p>
        </w:tc>
        <w:tc>
          <w:tcPr>
            <w:tcW w:type="dxa" w:w="720"/>
          </w:tcPr>
          <w:p>
            <w:pPr>
              <w:keepNext/>
              <w:jc w:val="center"/>
            </w:pPr>
            <w:r/>
            <w:r>
              <w:rPr>
                <w:rFonts w:ascii="Times New Roman" w:hAnsi="Times New Roman" w:cs="Times New Roman" w:eastAsia="Times New Roman"/>
                <w:sz w:val="12"/>
              </w:rPr>
              <w:t>0.408</w:t>
            </w:r>
          </w:p>
        </w:tc>
        <w:tc>
          <w:tcPr>
            <w:tcW w:type="dxa" w:w="648"/>
          </w:tcPr>
          <w:p>
            <w:pPr>
              <w:keepNext/>
              <w:jc w:val="center"/>
            </w:pPr>
            <w:r/>
            <w:r>
              <w:rPr>
                <w:rFonts w:ascii="Times New Roman" w:hAnsi="Times New Roman" w:cs="Times New Roman" w:eastAsia="Times New Roman"/>
                <w:sz w:val="12"/>
              </w:rPr>
              <w:t>0.381</w:t>
            </w:r>
          </w:p>
        </w:tc>
        <w:tc>
          <w:tcPr>
            <w:tcW w:type="dxa" w:w="893"/>
          </w:tcPr>
          <w:p>
            <w:pPr>
              <w:keepNext/>
              <w:jc w:val="center"/>
            </w:pPr>
            <w:r/>
            <w:r>
              <w:rPr>
                <w:rFonts w:ascii="Times New Roman" w:hAnsi="Times New Roman" w:cs="Times New Roman" w:eastAsia="Times New Roman"/>
                <w:sz w:val="12"/>
              </w:rPr>
              <w:t>0.232</w:t>
            </w:r>
          </w:p>
        </w:tc>
      </w:tr>
      <w:tr>
        <w:trPr>
          <w:cantSplit w:val="true"/>
        </w:trPr>
        <w:tc>
          <w:tcPr>
            <w:tcW w:type="dxa" w:w="893"/>
          </w:tcPr>
          <w:p>
            <w:pPr>
              <w:keepNext/>
              <w:jc w:val="left"/>
            </w:pPr>
            <w:r/>
            <w:r>
              <w:rPr>
                <w:rFonts w:ascii="Times New Roman" w:hAnsi="Times New Roman" w:cs="Times New Roman" w:eastAsia="Times New Roman"/>
                <w:sz w:val="12"/>
              </w:rPr>
              <w:t>Happy</w:t>
            </w:r>
          </w:p>
        </w:tc>
        <w:tc>
          <w:tcPr>
            <w:tcW w:type="dxa" w:w="720"/>
          </w:tcPr>
          <w:p>
            <w:pPr>
              <w:keepNext/>
              <w:jc w:val="center"/>
            </w:pPr>
            <w:r/>
            <w:r>
              <w:rPr>
                <w:rFonts w:ascii="Times New Roman" w:hAnsi="Times New Roman" w:cs="Times New Roman" w:eastAsia="Times New Roman"/>
                <w:sz w:val="12"/>
              </w:rPr>
              <w:t>1,774</w:t>
            </w:r>
          </w:p>
        </w:tc>
        <w:tc>
          <w:tcPr>
            <w:tcW w:type="dxa" w:w="835"/>
          </w:tcPr>
          <w:p>
            <w:pPr>
              <w:keepNext/>
              <w:jc w:val="center"/>
            </w:pPr>
            <w:r/>
            <w:r>
              <w:rPr>
                <w:rFonts w:ascii="Times New Roman" w:hAnsi="Times New Roman" w:cs="Times New Roman" w:eastAsia="Times New Roman"/>
                <w:sz w:val="12"/>
              </w:rPr>
              <w:t>0.881</w:t>
            </w:r>
          </w:p>
        </w:tc>
        <w:tc>
          <w:tcPr>
            <w:tcW w:type="dxa" w:w="720"/>
          </w:tcPr>
          <w:p>
            <w:pPr>
              <w:keepNext/>
              <w:jc w:val="center"/>
            </w:pPr>
            <w:r/>
            <w:r>
              <w:rPr>
                <w:rFonts w:ascii="Times New Roman" w:hAnsi="Times New Roman" w:cs="Times New Roman" w:eastAsia="Times New Roman"/>
                <w:sz w:val="12"/>
              </w:rPr>
              <w:t>0.740</w:t>
            </w:r>
          </w:p>
        </w:tc>
        <w:tc>
          <w:tcPr>
            <w:tcW w:type="dxa" w:w="648"/>
          </w:tcPr>
          <w:p>
            <w:pPr>
              <w:keepNext/>
              <w:jc w:val="center"/>
            </w:pPr>
            <w:r/>
            <w:r>
              <w:rPr>
                <w:rFonts w:ascii="Times New Roman" w:hAnsi="Times New Roman" w:cs="Times New Roman" w:eastAsia="Times New Roman"/>
                <w:sz w:val="12"/>
              </w:rPr>
              <w:t>0.805</w:t>
            </w:r>
          </w:p>
        </w:tc>
        <w:tc>
          <w:tcPr>
            <w:tcW w:type="dxa" w:w="893"/>
          </w:tcPr>
          <w:p>
            <w:pPr>
              <w:keepNext/>
              <w:jc w:val="center"/>
            </w:pPr>
            <w:r/>
            <w:r>
              <w:rPr>
                <w:rFonts w:ascii="Times New Roman" w:hAnsi="Times New Roman" w:cs="Times New Roman" w:eastAsia="Times New Roman"/>
                <w:sz w:val="12"/>
              </w:rPr>
              <w:t>0.744</w:t>
            </w:r>
          </w:p>
        </w:tc>
      </w:tr>
      <w:tr>
        <w:trPr>
          <w:cantSplit w:val="true"/>
        </w:trPr>
        <w:tc>
          <w:tcPr>
            <w:tcW w:type="dxa" w:w="893"/>
          </w:tcPr>
          <w:p>
            <w:pPr>
              <w:keepNext/>
              <w:jc w:val="left"/>
            </w:pPr>
            <w:r/>
            <w:r>
              <w:rPr>
                <w:rFonts w:ascii="Times New Roman" w:hAnsi="Times New Roman" w:cs="Times New Roman" w:eastAsia="Times New Roman"/>
                <w:sz w:val="12"/>
              </w:rPr>
              <w:t>Sad</w:t>
            </w:r>
          </w:p>
        </w:tc>
        <w:tc>
          <w:tcPr>
            <w:tcW w:type="dxa" w:w="720"/>
          </w:tcPr>
          <w:p>
            <w:pPr>
              <w:keepNext/>
              <w:jc w:val="center"/>
            </w:pPr>
            <w:r/>
            <w:r>
              <w:rPr>
                <w:rFonts w:ascii="Times New Roman" w:hAnsi="Times New Roman" w:cs="Times New Roman" w:eastAsia="Times New Roman"/>
                <w:sz w:val="12"/>
              </w:rPr>
              <w:t>1,247</w:t>
            </w:r>
          </w:p>
        </w:tc>
        <w:tc>
          <w:tcPr>
            <w:tcW w:type="dxa" w:w="835"/>
          </w:tcPr>
          <w:p>
            <w:pPr>
              <w:keepNext/>
              <w:jc w:val="center"/>
            </w:pPr>
            <w:r/>
            <w:r>
              <w:rPr>
                <w:rFonts w:ascii="Times New Roman" w:hAnsi="Times New Roman" w:cs="Times New Roman" w:eastAsia="Times New Roman"/>
                <w:sz w:val="12"/>
              </w:rPr>
              <w:t>0.429</w:t>
            </w:r>
          </w:p>
        </w:tc>
        <w:tc>
          <w:tcPr>
            <w:tcW w:type="dxa" w:w="720"/>
          </w:tcPr>
          <w:p>
            <w:pPr>
              <w:keepNext/>
              <w:jc w:val="center"/>
            </w:pPr>
            <w:r/>
            <w:r>
              <w:rPr>
                <w:rFonts w:ascii="Times New Roman" w:hAnsi="Times New Roman" w:cs="Times New Roman" w:eastAsia="Times New Roman"/>
                <w:sz w:val="12"/>
              </w:rPr>
              <w:t>0.576</w:t>
            </w:r>
          </w:p>
        </w:tc>
        <w:tc>
          <w:tcPr>
            <w:tcW w:type="dxa" w:w="648"/>
          </w:tcPr>
          <w:p>
            <w:pPr>
              <w:keepNext/>
              <w:jc w:val="center"/>
            </w:pPr>
            <w:r/>
            <w:r>
              <w:rPr>
                <w:rFonts w:ascii="Times New Roman" w:hAnsi="Times New Roman" w:cs="Times New Roman" w:eastAsia="Times New Roman"/>
                <w:sz w:val="12"/>
              </w:rPr>
              <w:t>0.492</w:t>
            </w:r>
          </w:p>
        </w:tc>
        <w:tc>
          <w:tcPr>
            <w:tcW w:type="dxa" w:w="893"/>
          </w:tcPr>
          <w:p>
            <w:pPr>
              <w:keepNext/>
              <w:jc w:val="center"/>
            </w:pPr>
            <w:r/>
            <w:r>
              <w:rPr>
                <w:rFonts w:ascii="Times New Roman" w:hAnsi="Times New Roman" w:cs="Times New Roman" w:eastAsia="Times New Roman"/>
                <w:sz w:val="12"/>
              </w:rPr>
              <w:t>0.394</w:t>
            </w:r>
          </w:p>
        </w:tc>
      </w:tr>
      <w:tr>
        <w:trPr>
          <w:cantSplit w:val="true"/>
        </w:trPr>
        <w:tc>
          <w:tcPr>
            <w:tcW w:type="dxa" w:w="893"/>
          </w:tcPr>
          <w:p>
            <w:pPr>
              <w:keepNext/>
              <w:jc w:val="left"/>
            </w:pPr>
            <w:r/>
            <w:r>
              <w:rPr>
                <w:rFonts w:ascii="Times New Roman" w:hAnsi="Times New Roman" w:cs="Times New Roman" w:eastAsia="Times New Roman"/>
                <w:sz w:val="12"/>
              </w:rPr>
              <w:t>Surprise</w:t>
            </w:r>
          </w:p>
        </w:tc>
        <w:tc>
          <w:tcPr>
            <w:tcW w:type="dxa" w:w="720"/>
          </w:tcPr>
          <w:p>
            <w:pPr>
              <w:keepNext/>
              <w:jc w:val="center"/>
            </w:pPr>
            <w:r/>
            <w:r>
              <w:rPr>
                <w:rFonts w:ascii="Times New Roman" w:hAnsi="Times New Roman" w:cs="Times New Roman" w:eastAsia="Times New Roman"/>
                <w:sz w:val="12"/>
              </w:rPr>
              <w:t>831</w:t>
            </w:r>
          </w:p>
        </w:tc>
        <w:tc>
          <w:tcPr>
            <w:tcW w:type="dxa" w:w="835"/>
          </w:tcPr>
          <w:p>
            <w:pPr>
              <w:keepNext/>
              <w:jc w:val="center"/>
            </w:pPr>
            <w:r/>
            <w:r>
              <w:rPr>
                <w:rFonts w:ascii="Times New Roman" w:hAnsi="Times New Roman" w:cs="Times New Roman" w:eastAsia="Times New Roman"/>
                <w:sz w:val="12"/>
              </w:rPr>
              <w:t>0.708</w:t>
            </w:r>
          </w:p>
        </w:tc>
        <w:tc>
          <w:tcPr>
            <w:tcW w:type="dxa" w:w="720"/>
          </w:tcPr>
          <w:p>
            <w:pPr>
              <w:keepNext/>
              <w:jc w:val="center"/>
            </w:pPr>
            <w:r/>
            <w:r>
              <w:rPr>
                <w:rFonts w:ascii="Times New Roman" w:hAnsi="Times New Roman" w:cs="Times New Roman" w:eastAsia="Times New Roman"/>
                <w:sz w:val="12"/>
              </w:rPr>
              <w:t>0.765</w:t>
            </w:r>
          </w:p>
        </w:tc>
        <w:tc>
          <w:tcPr>
            <w:tcW w:type="dxa" w:w="648"/>
          </w:tcPr>
          <w:p>
            <w:pPr>
              <w:keepNext/>
              <w:jc w:val="center"/>
            </w:pPr>
            <w:r/>
            <w:r>
              <w:rPr>
                <w:rFonts w:ascii="Times New Roman" w:hAnsi="Times New Roman" w:cs="Times New Roman" w:eastAsia="Times New Roman"/>
                <w:sz w:val="12"/>
              </w:rPr>
              <w:t>0.736</w:t>
            </w:r>
          </w:p>
        </w:tc>
        <w:tc>
          <w:tcPr>
            <w:tcW w:type="dxa" w:w="893"/>
          </w:tcPr>
          <w:p>
            <w:pPr>
              <w:keepNext/>
              <w:jc w:val="center"/>
            </w:pPr>
            <w:r/>
            <w:r>
              <w:rPr>
                <w:rFonts w:ascii="Times New Roman" w:hAnsi="Times New Roman" w:cs="Times New Roman" w:eastAsia="Times New Roman"/>
                <w:sz w:val="12"/>
              </w:rPr>
              <w:t>0.690</w:t>
            </w:r>
          </w:p>
        </w:tc>
      </w:tr>
      <w:tr>
        <w:trPr>
          <w:cantSplit w:val="true"/>
        </w:trPr>
        <w:tc>
          <w:tcPr>
            <w:tcW w:type="dxa" w:w="893"/>
          </w:tcPr>
          <w:p>
            <w:pPr>
              <w:jc w:val="left"/>
            </w:pPr>
            <w:r/>
            <w:r>
              <w:rPr>
                <w:rFonts w:ascii="Times New Roman" w:hAnsi="Times New Roman" w:cs="Times New Roman" w:eastAsia="Times New Roman"/>
                <w:sz w:val="12"/>
              </w:rPr>
              <w:t>Neutral</w:t>
            </w:r>
          </w:p>
        </w:tc>
        <w:tc>
          <w:tcPr>
            <w:tcW w:type="dxa" w:w="720"/>
          </w:tcPr>
          <w:p>
            <w:pPr>
              <w:jc w:val="center"/>
            </w:pPr>
            <w:r/>
            <w:r>
              <w:rPr>
                <w:rFonts w:ascii="Times New Roman" w:hAnsi="Times New Roman" w:cs="Times New Roman" w:eastAsia="Times New Roman"/>
                <w:sz w:val="12"/>
              </w:rPr>
              <w:t>1,233</w:t>
            </w:r>
          </w:p>
        </w:tc>
        <w:tc>
          <w:tcPr>
            <w:tcW w:type="dxa" w:w="835"/>
          </w:tcPr>
          <w:p>
            <w:pPr>
              <w:jc w:val="center"/>
            </w:pPr>
            <w:r/>
            <w:r>
              <w:rPr>
                <w:rFonts w:ascii="Times New Roman" w:hAnsi="Times New Roman" w:cs="Times New Roman" w:eastAsia="Times New Roman"/>
                <w:sz w:val="12"/>
              </w:rPr>
              <w:t>0.605</w:t>
            </w:r>
          </w:p>
        </w:tc>
        <w:tc>
          <w:tcPr>
            <w:tcW w:type="dxa" w:w="720"/>
          </w:tcPr>
          <w:p>
            <w:pPr>
              <w:jc w:val="center"/>
            </w:pPr>
            <w:r/>
            <w:r>
              <w:rPr>
                <w:rFonts w:ascii="Times New Roman" w:hAnsi="Times New Roman" w:cs="Times New Roman" w:eastAsia="Times New Roman"/>
                <w:sz w:val="12"/>
              </w:rPr>
              <w:t>0.471</w:t>
            </w:r>
          </w:p>
        </w:tc>
        <w:tc>
          <w:tcPr>
            <w:tcW w:type="dxa" w:w="648"/>
          </w:tcPr>
          <w:p>
            <w:pPr>
              <w:jc w:val="center"/>
            </w:pPr>
            <w:r/>
            <w:r>
              <w:rPr>
                <w:rFonts w:ascii="Times New Roman" w:hAnsi="Times New Roman" w:cs="Times New Roman" w:eastAsia="Times New Roman"/>
                <w:sz w:val="12"/>
              </w:rPr>
              <w:t>0.530</w:t>
            </w:r>
          </w:p>
        </w:tc>
        <w:tc>
          <w:tcPr>
            <w:tcW w:type="dxa" w:w="893"/>
          </w:tcPr>
          <w:p>
            <w:pPr>
              <w:jc w:val="center"/>
            </w:pPr>
            <w:r/>
            <w:r>
              <w:rPr>
                <w:rFonts w:ascii="Times New Roman" w:hAnsi="Times New Roman" w:cs="Times New Roman" w:eastAsia="Times New Roman"/>
                <w:sz w:val="12"/>
              </w:rPr>
              <w:t>0.497</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confusion matrix shows where the single-label errors lie: 278 of the 1,024 fearful faces are read as sad and 113 as angry, 303 of 1,233 neutral faces as sad, and 197 of 958 angry faces as sad. These are the neighbouring negative emotions that compound categories combine, so a model that cannot yet separate the basic classes cleanly (macro-F1 around 0.5) is a weak base for compound recognition regardless of the synthetic data. Disgust illustrates the imbalance problem that synthetic augmentation was meant to ease: it has 111 test faces, precision 1.000 and recall 0.189, and the GAN was not used to oversample it.</w:t>
      </w:r>
    </w:p>
    <w:p>
      <w:pPr>
        <w:keepNext/>
        <w:spacing w:before="80" w:after="40"/>
      </w:pPr>
      <w:r>
        <w:rPr>
          <w:rFonts w:ascii="Times New Roman" w:hAnsi="Times New Roman" w:cs="Times New Roman" w:eastAsia="Times New Roman"/>
          <w:b w:val="0"/>
          <w:i/>
          <w:sz w:val="20"/>
        </w:rPr>
        <w:t>C. Compound Emotions and Generator Fidelity</w:t>
      </w:r>
    </w:p>
    <w:p>
      <w:pPr>
        <w:keepNext w:val="0"/>
        <w:spacing w:after="0" w:before="0" w:line="240" w:lineRule="auto"/>
        <w:ind w:firstLine="288"/>
        <w:jc w:val="both"/>
      </w:pPr>
      <w:r>
        <w:rPr>
          <w:rFonts w:ascii="Times New Roman" w:hAnsi="Times New Roman" w:cs="Times New Roman" w:eastAsia="Times New Roman"/>
          <w:sz w:val="20"/>
        </w:rPr>
        <w:t>On the 7,178 real test faces the largest compound probability averages 0.00019, no face has any compound output above 0.3, and the dominant emotion is never a compound. The mean compound score is the same whether or not the true basic label is a component of the compound (0.000091 against 0.000091). On the synthetic hold-out the final model's macro ROC-AUC is 0.497 (0.507 averaged over the three ablation runs with synthetic faces; 0.501 for the controls without them), the exact-match ratio is 0.000 and compound recall at the 0.5 threshold is 0.0 %. The classifier has learned at most that generated faces differ from real ones (the requested compound gets 0.07 on average), but not which compound was requested.</w:t>
      </w:r>
    </w:p>
    <w:p>
      <w:pPr>
        <w:keepNext w:val="0"/>
        <w:spacing w:after="0" w:before="0" w:line="240" w:lineRule="auto"/>
        <w:ind w:firstLine="288"/>
        <w:jc w:val="both"/>
      </w:pPr>
      <w:r>
        <w:rPr>
          <w:rFonts w:ascii="Times New Roman" w:hAnsi="Times New Roman" w:cs="Times New Roman" w:eastAsia="Times New Roman"/>
          <w:sz w:val="20"/>
        </w:rPr>
        <w:t>The generator explains part of this. Reading 500 faces per one-hot condition with the stage-1 CNN gives 15.0 % agreement with the condition on average (chance 14.3 %), from 45 % for sad to 0 % for happy and 0 % for surprise. For compound conditions the stage-1 top label lies in the requested pair 33.5 % of the time (chance 28.6 %) and the top two labels equal the pair 8.3 % (chance 4.8 %). The Fréchet distance to real training faces is 171 for generated faces against 14.5 for real test faces. Ten epochs on 2,800 faces were not enough for the generator to learn expression control; the samples are blurred face-like patterns (Fig. 4b).</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DIAGNOSTICS OF THE COMPOUND PIPELINE</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168"/>
          </w:tcPr>
          <w:p>
            <w:pPr>
              <w:keepNext/>
              <w:jc w:val="center"/>
            </w:pPr>
            <w:r/>
            <w:r>
              <w:rPr>
                <w:rFonts w:ascii="Times New Roman" w:hAnsi="Times New Roman" w:cs="Times New Roman" w:eastAsia="Times New Roman"/>
                <w:b/>
                <w:sz w:val="12"/>
              </w:rPr>
              <w:t>Measurement</w:t>
            </w:r>
          </w:p>
        </w:tc>
        <w:tc>
          <w:tcPr>
            <w:tcW w:type="dxa" w:w="1728"/>
          </w:tcPr>
          <w:p>
            <w:pPr>
              <w:keepNext/>
              <w:jc w:val="center"/>
            </w:pPr>
            <w:r/>
            <w:r>
              <w:rPr>
                <w:rFonts w:ascii="Times New Roman" w:hAnsi="Times New Roman" w:cs="Times New Roman" w:eastAsia="Times New Roman"/>
                <w:b/>
                <w:sz w:val="12"/>
              </w:rPr>
              <w:t>Value</w:t>
            </w:r>
          </w:p>
        </w:tc>
      </w:tr>
      <w:tr>
        <w:trPr>
          <w:cantSplit w:val="true"/>
        </w:trPr>
        <w:tc>
          <w:tcPr>
            <w:tcW w:type="dxa" w:w="3168"/>
          </w:tcPr>
          <w:p>
            <w:pPr>
              <w:keepNext/>
              <w:jc w:val="left"/>
            </w:pPr>
            <w:r/>
            <w:r>
              <w:rPr>
                <w:rFonts w:ascii="Times New Roman" w:hAnsi="Times New Roman" w:cs="Times New Roman" w:eastAsia="Times New Roman"/>
                <w:sz w:val="12"/>
              </w:rPr>
              <w:t>Max compound prob. on real faces (mean)</w:t>
            </w:r>
          </w:p>
        </w:tc>
        <w:tc>
          <w:tcPr>
            <w:tcW w:type="dxa" w:w="1728"/>
          </w:tcPr>
          <w:p>
            <w:pPr>
              <w:keepNext/>
              <w:jc w:val="center"/>
            </w:pPr>
            <w:r/>
            <w:r>
              <w:rPr>
                <w:rFonts w:ascii="Times New Roman" w:hAnsi="Times New Roman" w:cs="Times New Roman" w:eastAsia="Times New Roman"/>
                <w:sz w:val="12"/>
              </w:rPr>
              <w:t>0.00019</w:t>
            </w:r>
          </w:p>
        </w:tc>
      </w:tr>
      <w:tr>
        <w:trPr>
          <w:cantSplit w:val="true"/>
        </w:trPr>
        <w:tc>
          <w:tcPr>
            <w:tcW w:type="dxa" w:w="3168"/>
          </w:tcPr>
          <w:p>
            <w:pPr>
              <w:keepNext/>
              <w:jc w:val="left"/>
            </w:pPr>
            <w:r/>
            <w:r>
              <w:rPr>
                <w:rFonts w:ascii="Times New Roman" w:hAnsi="Times New Roman" w:cs="Times New Roman" w:eastAsia="Times New Roman"/>
                <w:sz w:val="12"/>
              </w:rPr>
              <w:t>Compound ROC-AUC, synthetic hold-out</w:t>
            </w:r>
          </w:p>
        </w:tc>
        <w:tc>
          <w:tcPr>
            <w:tcW w:type="dxa" w:w="1728"/>
          </w:tcPr>
          <w:p>
            <w:pPr>
              <w:keepNext/>
              <w:jc w:val="center"/>
            </w:pPr>
            <w:r/>
            <w:r>
              <w:rPr>
                <w:rFonts w:ascii="Times New Roman" w:hAnsi="Times New Roman" w:cs="Times New Roman" w:eastAsia="Times New Roman"/>
                <w:sz w:val="12"/>
              </w:rPr>
              <w:t>0.497  (chance 0.5)</w:t>
            </w:r>
          </w:p>
        </w:tc>
      </w:tr>
      <w:tr>
        <w:trPr>
          <w:cantSplit w:val="true"/>
        </w:trPr>
        <w:tc>
          <w:tcPr>
            <w:tcW w:type="dxa" w:w="3168"/>
          </w:tcPr>
          <w:p>
            <w:pPr>
              <w:keepNext/>
              <w:jc w:val="left"/>
            </w:pPr>
            <w:r/>
            <w:r>
              <w:rPr>
                <w:rFonts w:ascii="Times New Roman" w:hAnsi="Times New Roman" w:cs="Times New Roman" w:eastAsia="Times New Roman"/>
                <w:sz w:val="12"/>
              </w:rPr>
              <w:t>GAN condition accuracy, one-hot</w:t>
            </w:r>
          </w:p>
        </w:tc>
        <w:tc>
          <w:tcPr>
            <w:tcW w:type="dxa" w:w="1728"/>
          </w:tcPr>
          <w:p>
            <w:pPr>
              <w:keepNext/>
              <w:jc w:val="center"/>
            </w:pPr>
            <w:r/>
            <w:r>
              <w:rPr>
                <w:rFonts w:ascii="Times New Roman" w:hAnsi="Times New Roman" w:cs="Times New Roman" w:eastAsia="Times New Roman"/>
                <w:sz w:val="12"/>
              </w:rPr>
              <w:t>15.0 %  (chance 14.3 %)</w:t>
            </w:r>
          </w:p>
        </w:tc>
      </w:tr>
      <w:tr>
        <w:trPr>
          <w:cantSplit w:val="true"/>
        </w:trPr>
        <w:tc>
          <w:tcPr>
            <w:tcW w:type="dxa" w:w="3168"/>
          </w:tcPr>
          <w:p>
            <w:pPr>
              <w:keepNext/>
              <w:jc w:val="left"/>
            </w:pPr>
            <w:r/>
            <w:r>
              <w:rPr>
                <w:rFonts w:ascii="Times New Roman" w:hAnsi="Times New Roman" w:cs="Times New Roman" w:eastAsia="Times New Roman"/>
                <w:sz w:val="12"/>
              </w:rPr>
              <w:t>Fréchet dist., generated vs. real</w:t>
            </w:r>
          </w:p>
        </w:tc>
        <w:tc>
          <w:tcPr>
            <w:tcW w:type="dxa" w:w="1728"/>
          </w:tcPr>
          <w:p>
            <w:pPr>
              <w:keepNext/>
              <w:jc w:val="center"/>
            </w:pPr>
            <w:r/>
            <w:r>
              <w:rPr>
                <w:rFonts w:ascii="Times New Roman" w:hAnsi="Times New Roman" w:cs="Times New Roman" w:eastAsia="Times New Roman"/>
                <w:sz w:val="12"/>
              </w:rPr>
              <w:t>171  (real test: 14.5)</w:t>
            </w:r>
          </w:p>
        </w:tc>
      </w:tr>
      <w:tr>
        <w:trPr>
          <w:cantSplit w:val="true"/>
        </w:trPr>
        <w:tc>
          <w:tcPr>
            <w:tcW w:type="dxa" w:w="3168"/>
          </w:tcPr>
          <w:p>
            <w:pPr>
              <w:keepNext/>
              <w:jc w:val="left"/>
            </w:pPr>
            <w:r/>
            <w:r>
              <w:rPr>
                <w:rFonts w:ascii="Times New Roman" w:hAnsi="Times New Roman" w:cs="Times New Roman" w:eastAsia="Times New Roman"/>
                <w:sz w:val="12"/>
              </w:rPr>
              <w:t>Haar detection, native 48 px / 2x / 3x</w:t>
            </w:r>
          </w:p>
        </w:tc>
        <w:tc>
          <w:tcPr>
            <w:tcW w:type="dxa" w:w="1728"/>
          </w:tcPr>
          <w:p>
            <w:pPr>
              <w:keepNext/>
              <w:jc w:val="center"/>
            </w:pPr>
            <w:r/>
            <w:r>
              <w:rPr>
                <w:rFonts w:ascii="Times New Roman" w:hAnsi="Times New Roman" w:cs="Times New Roman" w:eastAsia="Times New Roman"/>
                <w:sz w:val="12"/>
              </w:rPr>
              <w:t>0 % / 54 % / 56 %</w:t>
            </w:r>
          </w:p>
        </w:tc>
      </w:tr>
      <w:tr>
        <w:trPr>
          <w:cantSplit w:val="true"/>
        </w:trPr>
        <w:tc>
          <w:tcPr>
            <w:tcW w:type="dxa" w:w="3168"/>
          </w:tcPr>
          <w:p>
            <w:pPr>
              <w:jc w:val="left"/>
            </w:pPr>
            <w:r/>
            <w:r>
              <w:rPr>
                <w:rFonts w:ascii="Times New Roman" w:hAnsi="Times New Roman" w:cs="Times New Roman" w:eastAsia="Times New Roman"/>
                <w:sz w:val="12"/>
              </w:rPr>
              <w:t>Accuracy on 565 detected faces: Haar crop vs. direct</w:t>
            </w:r>
          </w:p>
        </w:tc>
        <w:tc>
          <w:tcPr>
            <w:tcW w:type="dxa" w:w="1728"/>
          </w:tcPr>
          <w:p>
            <w:pPr>
              <w:jc w:val="center"/>
            </w:pPr>
            <w:r/>
            <w:r>
              <w:rPr>
                <w:rFonts w:ascii="Times New Roman" w:hAnsi="Times New Roman" w:cs="Times New Roman" w:eastAsia="Times New Roman"/>
                <w:sz w:val="12"/>
              </w:rPr>
              <w:t>55.8 % vs. 66.2 %</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D. Serving Path and Interface</w:t>
      </w:r>
    </w:p>
    <w:p>
      <w:pPr>
        <w:keepNext w:val="0"/>
        <w:spacing w:after="0" w:before="0" w:line="240" w:lineRule="auto"/>
        <w:ind w:firstLine="288"/>
        <w:jc w:val="both"/>
      </w:pPr>
      <w:r>
        <w:rPr>
          <w:rFonts w:ascii="Times New Roman" w:hAnsi="Times New Roman" w:cs="Times New Roman" w:eastAsia="Times New Roman"/>
          <w:sz w:val="20"/>
        </w:rPr>
        <w:t>The Haar detector finds 0 % of native 48x48 FER2013 faces (its minimum window is 40 px) and about 56 % after 3x upscaling, so a photo must be larger than the training images. Even where it succeeds there is a train/serve mismatch: through the Haar crop the same faces are classified with 55.8 % accuracy against 66.2 % for a direct resize, because training faces are aligned FER crops. An anonymous analysis takes a median of 19 ms (26 ms at the 95th percentile) and a persisted one 28 ms; login is dominated by bcrypt at 219 ms. All 24 malformed-input probes were handled as intended or characterised, and the service stayed healthy; defects found are an HTTP 500 for undecodable uploads, no e-mail validation, a result thumbnail whose URL is not resolved against the API origin (a broken image in Fig. 4), a history-detail route that nothing links to, and a hard reload of a protected page that returns to the login screen.</w:t>
      </w:r>
    </w:p>
    <w:p>
      <w:pPr>
        <w:keepNext/>
        <w:spacing w:before="80"/>
        <w:jc w:val="center"/>
      </w:pPr>
      <w:r>
        <w:drawing>
          <wp:inline xmlns:a="http://schemas.openxmlformats.org/drawingml/2006/main" xmlns:pic="http://schemas.openxmlformats.org/drawingml/2006/picture">
            <wp:extent cx="3108960" cy="2541917"/>
            <wp:docPr id="4" name="Picture 4"/>
            <wp:cNvGraphicFramePr>
              <a:graphicFrameLocks noChangeAspect="1"/>
            </wp:cNvGraphicFramePr>
            <a:graphic>
              <a:graphicData uri="http://schemas.openxmlformats.org/drawingml/2006/picture">
                <pic:pic>
                  <pic:nvPicPr>
                    <pic:cNvPr id="0" name="paper_shots_a.png"/>
                    <pic:cNvPicPr/>
                  </pic:nvPicPr>
                  <pic:blipFill>
                    <a:blip r:embed="rId12"/>
                    <a:stretch>
                      <a:fillRect/>
                    </a:stretch>
                  </pic:blipFill>
                  <pic:spPr>
                    <a:xfrm>
                      <a:off x="0" y="0"/>
                      <a:ext cx="3108960" cy="2541917"/>
                    </a:xfrm>
                    <a:prstGeom prst="rect"/>
                  </pic:spPr>
                </pic:pic>
              </a:graphicData>
            </a:graphic>
          </wp:inline>
        </w:drawing>
      </w:r>
    </w:p>
    <w:p>
      <w:pPr>
        <w:spacing w:after="100"/>
        <w:jc w:val="both"/>
      </w:pPr>
      <w:r>
        <w:rPr>
          <w:rFonts w:ascii="Times New Roman" w:hAnsi="Times New Roman" w:cs="Times New Roman" w:eastAsia="Times New Roman"/>
          <w:sz w:val="16"/>
        </w:rPr>
        <w:t>Fig. 4. Result screens: (a) a real FER2013 face (dominant: Happy 47 %; all compound bars 0 %) and (b) a cEmoGAN-generated happily-surprised face (dominant: Sad 53 %; compound bars about 1 %).</w:t>
      </w:r>
    </w:p>
    <w:p>
      <w:pPr>
        <w:keepNext/>
        <w:spacing w:before="80"/>
        <w:jc w:val="center"/>
      </w:pPr>
      <w:r>
        <w:drawing>
          <wp:inline xmlns:a="http://schemas.openxmlformats.org/drawingml/2006/main" xmlns:pic="http://schemas.openxmlformats.org/drawingml/2006/picture">
            <wp:extent cx="3108960" cy="2187931"/>
            <wp:docPr id="5" name="Picture 5"/>
            <wp:cNvGraphicFramePr>
              <a:graphicFrameLocks noChangeAspect="1"/>
            </wp:cNvGraphicFramePr>
            <a:graphic>
              <a:graphicData uri="http://schemas.openxmlformats.org/drawingml/2006/picture">
                <pic:pic>
                  <pic:nvPicPr>
                    <pic:cNvPr id="0" name="paper_shots_b.png"/>
                    <pic:cNvPicPr/>
                  </pic:nvPicPr>
                  <pic:blipFill>
                    <a:blip r:embed="rId13"/>
                    <a:stretch>
                      <a:fillRect/>
                    </a:stretch>
                  </pic:blipFill>
                  <pic:spPr>
                    <a:xfrm>
                      <a:off x="0" y="0"/>
                      <a:ext cx="3108960" cy="2187931"/>
                    </a:xfrm>
                    <a:prstGeom prst="rect"/>
                  </pic:spPr>
                </pic:pic>
              </a:graphicData>
            </a:graphic>
          </wp:inline>
        </w:drawing>
      </w:r>
    </w:p>
    <w:p>
      <w:pPr>
        <w:spacing w:after="100"/>
        <w:jc w:val="both"/>
      </w:pPr>
      <w:r>
        <w:rPr>
          <w:rFonts w:ascii="Times New Roman" w:hAnsi="Times New Roman" w:cs="Times New Roman" w:eastAsia="Times New Roman"/>
          <w:sz w:val="16"/>
        </w:rPr>
        <w:t>Fig. 5. (a) A native 48x48 face is not detected (empty result); (b) history list of one user's analyses.</w:t>
      </w:r>
    </w:p>
    <w:p>
      <w:pPr>
        <w:keepNext/>
        <w:spacing w:before="80" w:after="40"/>
      </w:pPr>
      <w:r>
        <w:rPr>
          <w:rFonts w:ascii="Times New Roman" w:hAnsi="Times New Roman" w:cs="Times New Roman" w:eastAsia="Times New Roman"/>
          <w:b w:val="0"/>
          <w:i/>
          <w:sz w:val="20"/>
        </w:rPr>
        <w:t>E. Threats to Validity</w:t>
      </w:r>
    </w:p>
    <w:p>
      <w:pPr>
        <w:keepNext w:val="0"/>
        <w:spacing w:after="0" w:before="0" w:line="240" w:lineRule="auto"/>
        <w:ind w:firstLine="288"/>
        <w:jc w:val="both"/>
      </w:pPr>
      <w:r>
        <w:rPr>
          <w:rFonts w:ascii="Times New Roman" w:hAnsi="Times New Roman" w:cs="Times New Roman" w:eastAsia="Times New Roman"/>
          <w:sz w:val="20"/>
        </w:rPr>
        <w:t>Three threats limit the conclusions. The test set doubles as the validation set printed during training, although no model was selected on it and every number reported is the last epoch; with three seeds, a difference of 0.8 accuracy points between the ablation arms cannot be called significant, and the opposite claim (that synthetic data hurt macro-F1) is equally unsupported. FER2013 labels are noisy and the mirror's licence tag is that of the uploader rather than of the original competition data. Finally, the stage-1 CNN used to judge the generator is itself only 50.6 % accurate, so the fidelity figures are conservative; they show that the generator is not conditionally accurate, not how far it is from a good one.</w:t>
      </w:r>
    </w:p>
    <w:p>
      <w:pPr>
        <w:keepNext/>
        <w:spacing w:before="80" w:after="40"/>
      </w:pPr>
      <w:r>
        <w:rPr>
          <w:rFonts w:ascii="Times New Roman" w:hAnsi="Times New Roman" w:cs="Times New Roman" w:eastAsia="Times New Roman"/>
          <w:b w:val="0"/>
          <w:i/>
          <w:sz w:val="20"/>
        </w:rPr>
        <w:t>F. Comparison with the Base Paper and Limits</w:t>
      </w:r>
    </w:p>
    <w:p>
      <w:pPr>
        <w:keepNext w:val="0"/>
        <w:spacing w:after="0" w:before="0" w:line="240" w:lineRule="auto"/>
        <w:ind w:firstLine="288"/>
        <w:jc w:val="both"/>
      </w:pPr>
      <w:r>
        <w:rPr>
          <w:rFonts w:ascii="Times New Roman" w:hAnsi="Times New Roman" w:cs="Times New Roman" w:eastAsia="Times New Roman"/>
          <w:sz w:val="20"/>
        </w:rPr>
        <w:t>The base paper reports f-beta 0.99, 0.99 and 0.80 and an exact-match ratio of 100 %, 99 % and 68.7 % [1], but on a 30 % split of 15,000 faces generated by its own cEmoGANs from laboratory datasets (CK+, JAFFE, MUG) with morphing-derived labels. Our setting differs in every respect: real in-the-wild FER2013 test faces with basic labels only, a different generator without an identity encoder, and no compound ground truth. The numbers are therefore not comparable and we do not claim to match or beat them; the one analogous measurement we can make, recognition of generated compound faces, is at chance level. The base paper's unconstrained-photo examples were judged by eye, and we have no equivalent quantitative evidence either. Further limits are a short training budget (five epochs, 2,800 GAN faces), grayscale 64x64 inputs, a single dataset with known label noise, a shared CPU for all timings, and no test of the webcam path.</w:t>
      </w:r>
    </w:p>
    <w:p>
      <w:pPr>
        <w:keepNext w:val="0"/>
        <w:spacing w:after="0" w:before="0" w:line="240" w:lineRule="auto"/>
        <w:ind w:firstLine="288"/>
        <w:jc w:val="both"/>
      </w:pPr>
      <w:r>
        <w:rPr>
          <w:rFonts w:ascii="Times New Roman" w:hAnsi="Times New Roman" w:cs="Times New Roman" w:eastAsia="Times New Roman"/>
          <w:sz w:val="20"/>
        </w:rPr>
        <w:t>A caution on use: a facial expression is an outward signal, not a measurement of an inner state, and cultural display rules differ; the base paper makes the same point and notes demographic bias as a risk. Mosaic stores only a cropped grayscale face for signed-in users, never the uploaded photograph, and its generator is used only inside the training scripts, but any deployment on real people would need informed consent and an evaluation on the target population. With the measured accuracy of 58.1 % and a seven-class macro-F1 near 0.54, its basic-emotion output is best read as a rough indication, and its compound output should not be presented to users at all until the compound head is retrained and validated.</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Mosaic delivers a working basic-emotion service: 58.1 % on FER2013, accounts, history, a web console, 28 passing tests and a median analysis time of 19 ms. Against the five objectives, the interface (5) is met, a multi-label classifier (3) and a single-label comparison (4) are implemented and measured, enlargement of the dataset with generated images (2) was done but did not help, and identity-preserving generation (1) was not achieved: there is no encoder and the generator does not follow its condition. The key finding is negative and specific: synthetic compound faces produced by a briefly trained cGAN neither improved basic accuracy (58.86 ± 0.57 % against 58.10 ± 1.59 %) nor taught the classifier to separate compound classes (ROC-AUC 0.50), so the compound outputs are inert on real faces. Honest limits remain: no real compound labels, one dataset, a short training budget and a train/serve framing mismatch.</w:t>
      </w:r>
    </w:p>
    <w:p>
      <w:pPr>
        <w:keepNext w:val="0"/>
        <w:spacing w:after="0" w:before="0" w:line="240" w:lineRule="auto"/>
        <w:ind w:firstLine="288"/>
        <w:jc w:val="both"/>
      </w:pPr>
      <w:r>
        <w:rPr>
          <w:rFonts w:ascii="Times New Roman" w:hAnsi="Times New Roman" w:cs="Times New Roman" w:eastAsia="Times New Roman"/>
          <w:sz w:val="20"/>
        </w:rPr>
        <w:t>Future work: train the generator far longer, with an encoder for identity and a perceptual or classifier-guided loss; evaluate on a labelled compound set such as RAF-DB compound; weight or curriculum the synthetic faces and calibrate a threshold per compound class; and train on face crops produced by the same detector that serves requests.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W. S. S. Khine, P. Siritanawan and K. Kotani, "Complex emotion estimation using analysis-by-synthesis of facial expression images," </w:t>
      </w:r>
      <w:r>
        <w:rPr>
          <w:rFonts w:ascii="Times New Roman" w:hAnsi="Times New Roman" w:cs="Times New Roman" w:eastAsia="Times New Roman"/>
          <w:i/>
          <w:sz w:val="16"/>
        </w:rPr>
        <w:t>IEEE Access</w:t>
      </w:r>
      <w:r>
        <w:rPr>
          <w:rFonts w:ascii="Times New Roman" w:hAnsi="Times New Roman" w:cs="Times New Roman" w:eastAsia="Times New Roman"/>
          <w:sz w:val="16"/>
        </w:rPr>
        <w:t>, vol. 13, pp. 88731-88744, 2025, doi: 10.1109/ACCESS.2025.3570167.</w:t>
      </w:r>
    </w:p>
    <w:p>
      <w:pPr>
        <w:spacing w:after="20"/>
        <w:ind w:left="432" w:hanging="432"/>
        <w:jc w:val="both"/>
      </w:pPr>
      <w:r>
        <w:rPr>
          <w:rFonts w:ascii="Times New Roman" w:hAnsi="Times New Roman" w:cs="Times New Roman" w:eastAsia="Times New Roman"/>
          <w:sz w:val="16"/>
        </w:rPr>
        <w:t xml:space="preserve">[2]  S. Li and W. Deng, "Deep facial expression recognition: A survey," </w:t>
      </w:r>
      <w:r>
        <w:rPr>
          <w:rFonts w:ascii="Times New Roman" w:hAnsi="Times New Roman" w:cs="Times New Roman" w:eastAsia="Times New Roman"/>
          <w:i/>
          <w:sz w:val="16"/>
        </w:rPr>
        <w:t>IEEE Trans. Affect. Comput.</w:t>
      </w:r>
      <w:r>
        <w:rPr>
          <w:rFonts w:ascii="Times New Roman" w:hAnsi="Times New Roman" w:cs="Times New Roman" w:eastAsia="Times New Roman"/>
          <w:sz w:val="16"/>
        </w:rPr>
        <w:t>, vol. 13, no. 3, pp. 1195-1215, 2022, doi: 10.1109/TAFFC.2020.2981446.</w:t>
      </w:r>
    </w:p>
    <w:p>
      <w:pPr>
        <w:spacing w:after="20"/>
        <w:ind w:left="432" w:hanging="432"/>
        <w:jc w:val="both"/>
      </w:pPr>
      <w:r>
        <w:rPr>
          <w:rFonts w:ascii="Times New Roman" w:hAnsi="Times New Roman" w:cs="Times New Roman" w:eastAsia="Times New Roman"/>
          <w:sz w:val="16"/>
        </w:rPr>
        <w:t xml:space="preserve">[3]  P. Ekman and W. V. Friesen, "Constants across cultures in the face and emotion," </w:t>
      </w:r>
      <w:r>
        <w:rPr>
          <w:rFonts w:ascii="Times New Roman" w:hAnsi="Times New Roman" w:cs="Times New Roman" w:eastAsia="Times New Roman"/>
          <w:i/>
          <w:sz w:val="16"/>
        </w:rPr>
        <w:t>J. Personality Social Psychol.</w:t>
      </w:r>
      <w:r>
        <w:rPr>
          <w:rFonts w:ascii="Times New Roman" w:hAnsi="Times New Roman" w:cs="Times New Roman" w:eastAsia="Times New Roman"/>
          <w:sz w:val="16"/>
        </w:rPr>
        <w:t>, vol. 17, no. 2, pp. 124-129, 1971, doi: 10.1037/h0030377.</w:t>
      </w:r>
    </w:p>
    <w:p>
      <w:pPr>
        <w:spacing w:after="20"/>
        <w:ind w:left="432" w:hanging="432"/>
        <w:jc w:val="both"/>
      </w:pPr>
      <w:r>
        <w:rPr>
          <w:rFonts w:ascii="Times New Roman" w:hAnsi="Times New Roman" w:cs="Times New Roman" w:eastAsia="Times New Roman"/>
          <w:sz w:val="16"/>
        </w:rPr>
        <w:t>[4]  C. Galkaduwa, "An empirical study of handcrafted feature learning and convolutional neural networks for facial expression recognition," arXiv:2607.15288, Jun. 2026.</w:t>
      </w:r>
    </w:p>
    <w:p>
      <w:pPr>
        <w:spacing w:after="20"/>
        <w:ind w:left="432" w:hanging="432"/>
        <w:jc w:val="both"/>
      </w:pPr>
      <w:r>
        <w:rPr>
          <w:rFonts w:ascii="Times New Roman" w:hAnsi="Times New Roman" w:cs="Times New Roman" w:eastAsia="Times New Roman"/>
          <w:sz w:val="16"/>
        </w:rPr>
        <w:t xml:space="preserve">[5]  S. Du, Y. Tao and A. M. Martinez, "Compound facial expressions of emotion," </w:t>
      </w:r>
      <w:r>
        <w:rPr>
          <w:rFonts w:ascii="Times New Roman" w:hAnsi="Times New Roman" w:cs="Times New Roman" w:eastAsia="Times New Roman"/>
          <w:i/>
          <w:sz w:val="16"/>
        </w:rPr>
        <w:t>Proc. Nat. Acad. Sci. USA</w:t>
      </w:r>
      <w:r>
        <w:rPr>
          <w:rFonts w:ascii="Times New Roman" w:hAnsi="Times New Roman" w:cs="Times New Roman" w:eastAsia="Times New Roman"/>
          <w:sz w:val="16"/>
        </w:rPr>
        <w:t>, vol. 111, no. 15, pp. E1454-E1462, Apr. 2014, doi: 10.1073/pnas.1322355111.</w:t>
      </w:r>
    </w:p>
    <w:p>
      <w:pPr>
        <w:spacing w:after="20"/>
        <w:ind w:left="432" w:hanging="432"/>
        <w:jc w:val="both"/>
      </w:pPr>
      <w:r>
        <w:rPr>
          <w:rFonts w:ascii="Times New Roman" w:hAnsi="Times New Roman" w:cs="Times New Roman" w:eastAsia="Times New Roman"/>
          <w:sz w:val="16"/>
        </w:rPr>
        <w:t xml:space="preserve">[6]  S. Li, W. Deng and J. Du, "Reliable crowdsourcing and deep locality-preserving learning for expression recognition in the wild," in </w:t>
      </w:r>
      <w:r>
        <w:rPr>
          <w:rFonts w:ascii="Times New Roman" w:hAnsi="Times New Roman" w:cs="Times New Roman" w:eastAsia="Times New Roman"/>
          <w:i/>
          <w:sz w:val="16"/>
        </w:rPr>
        <w:t>Proc. IEEE Conf. Comput. Vis. Pattern Recognit. (CVPR)</w:t>
      </w:r>
      <w:r>
        <w:rPr>
          <w:rFonts w:ascii="Times New Roman" w:hAnsi="Times New Roman" w:cs="Times New Roman" w:eastAsia="Times New Roman"/>
          <w:sz w:val="16"/>
        </w:rPr>
        <w:t>, 2017, pp. 2584-2593, doi: 10.1109/CVPR.2017.277.</w:t>
      </w:r>
    </w:p>
    <w:p>
      <w:pPr>
        <w:spacing w:after="20"/>
        <w:ind w:left="432" w:hanging="432"/>
        <w:jc w:val="both"/>
      </w:pPr>
      <w:r>
        <w:rPr>
          <w:rFonts w:ascii="Times New Roman" w:hAnsi="Times New Roman" w:cs="Times New Roman" w:eastAsia="Times New Roman"/>
          <w:sz w:val="16"/>
        </w:rPr>
        <w:t xml:space="preserve">[7]  X. Liu </w:t>
      </w:r>
      <w:r>
        <w:rPr>
          <w:rFonts w:ascii="Times New Roman" w:hAnsi="Times New Roman" w:cs="Times New Roman" w:eastAsia="Times New Roman"/>
          <w:i/>
          <w:sz w:val="16"/>
        </w:rPr>
        <w:t>et al.</w:t>
      </w:r>
      <w:r>
        <w:rPr>
          <w:rFonts w:ascii="Times New Roman" w:hAnsi="Times New Roman" w:cs="Times New Roman" w:eastAsia="Times New Roman"/>
          <w:sz w:val="16"/>
        </w:rPr>
        <w:t>, "Compound expression recognition via multi model ensemble for the ABAW7 challenge," arXiv:2407.12257, Jul. 2024.</w:t>
      </w:r>
    </w:p>
    <w:p>
      <w:pPr>
        <w:spacing w:after="20"/>
        <w:ind w:left="432" w:hanging="432"/>
        <w:jc w:val="both"/>
      </w:pPr>
      <w:r>
        <w:rPr>
          <w:rFonts w:ascii="Times New Roman" w:hAnsi="Times New Roman" w:cs="Times New Roman" w:eastAsia="Times New Roman"/>
          <w:sz w:val="16"/>
        </w:rPr>
        <w:t xml:space="preserve">[8]  A. Paszke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"PyTorch: An imperative style, high-performance deep learning library," in </w:t>
      </w:r>
      <w:r>
        <w:rPr>
          <w:rFonts w:ascii="Times New Roman" w:hAnsi="Times New Roman" w:cs="Times New Roman" w:eastAsia="Times New Roman"/>
          <w:i/>
          <w:sz w:val="16"/>
        </w:rPr>
        <w:t>Adv. Neural Inf. Process. Syst. (NeurIPS)</w:t>
      </w:r>
      <w:r>
        <w:rPr>
          <w:rFonts w:ascii="Times New Roman" w:hAnsi="Times New Roman" w:cs="Times New Roman" w:eastAsia="Times New Roman"/>
          <w:sz w:val="16"/>
        </w:rPr>
        <w:t>, vol. 32, 2019, pp. 8024-8035.</w:t>
      </w:r>
    </w:p>
    <w:p>
      <w:pPr>
        <w:spacing w:after="20"/>
        <w:ind w:left="432" w:hanging="432"/>
        <w:jc w:val="both"/>
      </w:pPr>
      <w:r>
        <w:rPr>
          <w:rFonts w:ascii="Times New Roman" w:hAnsi="Times New Roman" w:cs="Times New Roman" w:eastAsia="Times New Roman"/>
          <w:sz w:val="16"/>
        </w:rPr>
        <w:t>[9]  M. Mirza and S. Osindero, "Conditional generative adversarial nets," arXiv:1411.1784, Nov. 2014.</w:t>
      </w:r>
    </w:p>
    <w:p>
      <w:pPr>
        <w:spacing w:after="20"/>
        <w:ind w:left="432" w:hanging="432"/>
        <w:jc w:val="both"/>
      </w:pPr>
      <w:r>
        <w:rPr>
          <w:rFonts w:ascii="Times New Roman" w:hAnsi="Times New Roman" w:cs="Times New Roman" w:eastAsia="Times New Roman"/>
          <w:sz w:val="16"/>
        </w:rPr>
        <w:t xml:space="preserve">[10]  I. Goodfellow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"Generative adversarial nets," in </w:t>
      </w:r>
      <w:r>
        <w:rPr>
          <w:rFonts w:ascii="Times New Roman" w:hAnsi="Times New Roman" w:cs="Times New Roman" w:eastAsia="Times New Roman"/>
          <w:i/>
          <w:sz w:val="16"/>
        </w:rPr>
        <w:t>Adv. Neural Inf. Process. Syst. (NIPS)</w:t>
      </w:r>
      <w:r>
        <w:rPr>
          <w:rFonts w:ascii="Times New Roman" w:hAnsi="Times New Roman" w:cs="Times New Roman" w:eastAsia="Times New Roman"/>
          <w:sz w:val="16"/>
        </w:rPr>
        <w:t>, vol. 27, 2014, pp. 2672-2680.</w:t>
      </w:r>
    </w:p>
    <w:p>
      <w:pPr>
        <w:spacing w:after="20"/>
        <w:ind w:left="432" w:hanging="432"/>
        <w:jc w:val="both"/>
      </w:pPr>
      <w:r>
        <w:rPr>
          <w:rFonts w:ascii="Times New Roman" w:hAnsi="Times New Roman" w:cs="Times New Roman" w:eastAsia="Times New Roman"/>
          <w:sz w:val="16"/>
        </w:rPr>
        <w:t>[11]  A. Radford, L. Metz and S. Chintala, "Unsupervised representation learning with deep convolutional generative adversarial networks," arXiv:1511.06434, Nov. 2015.</w:t>
      </w:r>
    </w:p>
    <w:p>
      <w:pPr>
        <w:spacing w:after="20"/>
        <w:ind w:left="432" w:hanging="432"/>
        <w:jc w:val="both"/>
      </w:pPr>
      <w:r>
        <w:rPr>
          <w:rFonts w:ascii="Times New Roman" w:hAnsi="Times New Roman" w:cs="Times New Roman" w:eastAsia="Times New Roman"/>
          <w:sz w:val="16"/>
        </w:rPr>
        <w:t xml:space="preserve">[12]  Y. Choi, M. Choi, M. Kim, J.-W. Ha, S. Kim and J. Choo, "StarGAN: Unified generative adversarial networks for multi-domain image-to-image translation," in </w:t>
      </w:r>
      <w:r>
        <w:rPr>
          <w:rFonts w:ascii="Times New Roman" w:hAnsi="Times New Roman" w:cs="Times New Roman" w:eastAsia="Times New Roman"/>
          <w:i/>
          <w:sz w:val="16"/>
        </w:rPr>
        <w:t>Proc. IEEE/CVF CVPR</w:t>
      </w:r>
      <w:r>
        <w:rPr>
          <w:rFonts w:ascii="Times New Roman" w:hAnsi="Times New Roman" w:cs="Times New Roman" w:eastAsia="Times New Roman"/>
          <w:sz w:val="16"/>
        </w:rPr>
        <w:t>, 2018, pp. 8789-8797, doi: 10.1109/CVPR.2018.00916.</w:t>
      </w:r>
    </w:p>
    <w:p>
      <w:pPr>
        <w:spacing w:after="20"/>
        <w:ind w:left="432" w:hanging="432"/>
        <w:jc w:val="both"/>
      </w:pPr>
      <w:r>
        <w:rPr>
          <w:rFonts w:ascii="Times New Roman" w:hAnsi="Times New Roman" w:cs="Times New Roman" w:eastAsia="Times New Roman"/>
          <w:sz w:val="16"/>
        </w:rPr>
        <w:t xml:space="preserve">[13]  S. Liu, S. Ni and H. Cai, "Facial expression recognition with contrastive disentangled generative adversarial network," </w:t>
      </w:r>
      <w:r>
        <w:rPr>
          <w:rFonts w:ascii="Times New Roman" w:hAnsi="Times New Roman" w:cs="Times New Roman" w:eastAsia="Times New Roman"/>
          <w:i/>
          <w:sz w:val="16"/>
        </w:rPr>
        <w:t>Electronics</w:t>
      </w:r>
      <w:r>
        <w:rPr>
          <w:rFonts w:ascii="Times New Roman" w:hAnsi="Times New Roman" w:cs="Times New Roman" w:eastAsia="Times New Roman"/>
          <w:sz w:val="16"/>
        </w:rPr>
        <w:t>, vol. 14, no. 19, p. 3795, Sep. 2025, doi: 10.3390/electronics14193795.</w:t>
      </w:r>
    </w:p>
    <w:p>
      <w:pPr>
        <w:spacing w:after="20"/>
        <w:ind w:left="432" w:hanging="432"/>
        <w:jc w:val="both"/>
      </w:pPr>
      <w:r>
        <w:rPr>
          <w:rFonts w:ascii="Times New Roman" w:hAnsi="Times New Roman" w:cs="Times New Roman" w:eastAsia="Times New Roman"/>
          <w:sz w:val="16"/>
        </w:rPr>
        <w:t xml:space="preserve">[14]  F. Khemakhem and H. Ltifi, "Neural style transfer generative adversarial network (NST-GAN) for facial expression recognition," </w:t>
      </w:r>
      <w:r>
        <w:rPr>
          <w:rFonts w:ascii="Times New Roman" w:hAnsi="Times New Roman" w:cs="Times New Roman" w:eastAsia="Times New Roman"/>
          <w:i/>
          <w:sz w:val="16"/>
        </w:rPr>
        <w:t>Int. J. Multimedia Inf. Retr.</w:t>
      </w:r>
      <w:r>
        <w:rPr>
          <w:rFonts w:ascii="Times New Roman" w:hAnsi="Times New Roman" w:cs="Times New Roman" w:eastAsia="Times New Roman"/>
          <w:sz w:val="16"/>
        </w:rPr>
        <w:t>, vol. 12, no. 2, Art. no. 26, 2023, doi: 10.1007/s13735-023-00285-6.</w:t>
      </w:r>
    </w:p>
    <w:p>
      <w:pPr>
        <w:spacing w:after="20"/>
        <w:ind w:left="432" w:hanging="432"/>
        <w:jc w:val="both"/>
      </w:pPr>
      <w:r>
        <w:rPr>
          <w:rFonts w:ascii="Times New Roman" w:hAnsi="Times New Roman" w:cs="Times New Roman" w:eastAsia="Times New Roman"/>
          <w:sz w:val="16"/>
        </w:rPr>
        <w:t xml:space="preserve">[15]  Y. Zhou, B. Yang, Z. Liu, Q. Wang and P. Xiong, "Cross-domain facial expression recognition by combining transfer learning and face-cycle generative adversarial network," </w:t>
      </w:r>
      <w:r>
        <w:rPr>
          <w:rFonts w:ascii="Times New Roman" w:hAnsi="Times New Roman" w:cs="Times New Roman" w:eastAsia="Times New Roman"/>
          <w:i/>
          <w:sz w:val="16"/>
        </w:rPr>
        <w:t>Multimedia Tools Appl.</w:t>
      </w:r>
      <w:r>
        <w:rPr>
          <w:rFonts w:ascii="Times New Roman" w:hAnsi="Times New Roman" w:cs="Times New Roman" w:eastAsia="Times New Roman"/>
          <w:sz w:val="16"/>
        </w:rPr>
        <w:t>, vol. 83, no. 42, pp. 90289-90314, 2024, doi: 10.1007/s11042-024-18713-y.</w:t>
      </w:r>
    </w:p>
    <w:p>
      <w:pPr>
        <w:spacing w:after="20"/>
        <w:ind w:left="432" w:hanging="432"/>
        <w:jc w:val="both"/>
      </w:pPr>
      <w:r>
        <w:rPr>
          <w:rFonts w:ascii="Times New Roman" w:hAnsi="Times New Roman" w:cs="Times New Roman" w:eastAsia="Times New Roman"/>
          <w:sz w:val="16"/>
        </w:rPr>
        <w:t xml:space="preserve">[16]  I. J. Goodfellow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"Challenges in representation learning: A report on three machine learning contests," </w:t>
      </w:r>
      <w:r>
        <w:rPr>
          <w:rFonts w:ascii="Times New Roman" w:hAnsi="Times New Roman" w:cs="Times New Roman" w:eastAsia="Times New Roman"/>
          <w:i/>
          <w:sz w:val="16"/>
        </w:rPr>
        <w:t>Neural Netw.</w:t>
      </w:r>
      <w:r>
        <w:rPr>
          <w:rFonts w:ascii="Times New Roman" w:hAnsi="Times New Roman" w:cs="Times New Roman" w:eastAsia="Times New Roman"/>
          <w:sz w:val="16"/>
        </w:rPr>
        <w:t>, vol. 64, pp. 59-63, 2015, doi: 10.1016/j.neunet.2014.09.005.</w:t>
      </w:r>
    </w:p>
    <w:p>
      <w:pPr>
        <w:spacing w:after="20"/>
        <w:ind w:left="432" w:hanging="432"/>
        <w:jc w:val="both"/>
      </w:pPr>
      <w:r>
        <w:rPr>
          <w:rFonts w:ascii="Times New Roman" w:hAnsi="Times New Roman" w:cs="Times New Roman" w:eastAsia="Times New Roman"/>
          <w:sz w:val="16"/>
        </w:rPr>
        <w:t xml:space="preserve">[17]  M.-L. Zhang and Z.-H. Zhou, "A review on multi-label learning algorithms," </w:t>
      </w:r>
      <w:r>
        <w:rPr>
          <w:rFonts w:ascii="Times New Roman" w:hAnsi="Times New Roman" w:cs="Times New Roman" w:eastAsia="Times New Roman"/>
          <w:i/>
          <w:sz w:val="16"/>
        </w:rPr>
        <w:t>IEEE Trans. Knowl. Data Eng.</w:t>
      </w:r>
      <w:r>
        <w:rPr>
          <w:rFonts w:ascii="Times New Roman" w:hAnsi="Times New Roman" w:cs="Times New Roman" w:eastAsia="Times New Roman"/>
          <w:sz w:val="16"/>
        </w:rPr>
        <w:t>, vol. 26, no. 8, pp. 1819-1837, Aug. 2014, doi: 10.1109/TKDE.2013.39.</w:t>
      </w:r>
    </w:p>
    <w:p>
      <w:pPr>
        <w:spacing w:after="20"/>
        <w:ind w:left="432" w:hanging="432"/>
        <w:jc w:val="both"/>
      </w:pPr>
      <w:r>
        <w:rPr>
          <w:rFonts w:ascii="Times New Roman" w:hAnsi="Times New Roman" w:cs="Times New Roman" w:eastAsia="Times New Roman"/>
          <w:sz w:val="16"/>
        </w:rPr>
        <w:t xml:space="preserve">[18]  M. Heusel, H. Ramsauer, T. Unterthiner, B. Nessler and S. Hochreiter, "GANs trained by a two time-scale update rule converge to a local Nash equilibrium," in </w:t>
      </w:r>
      <w:r>
        <w:rPr>
          <w:rFonts w:ascii="Times New Roman" w:hAnsi="Times New Roman" w:cs="Times New Roman" w:eastAsia="Times New Roman"/>
          <w:i/>
          <w:sz w:val="16"/>
        </w:rPr>
        <w:t>Adv. Neural Inf. Process. Syst. (NIPS)</w:t>
      </w:r>
      <w:r>
        <w:rPr>
          <w:rFonts w:ascii="Times New Roman" w:hAnsi="Times New Roman" w:cs="Times New Roman" w:eastAsia="Times New Roman"/>
          <w:sz w:val="16"/>
        </w:rPr>
        <w:t>, vol. 30, 2017, pp. 6626-6637.</w:t>
      </w:r>
    </w:p>
    <w:p>
      <w:pPr>
        <w:spacing w:after="20"/>
        <w:ind w:left="432" w:hanging="432"/>
        <w:jc w:val="both"/>
      </w:pPr>
      <w:r>
        <w:rPr>
          <w:rFonts w:ascii="Times New Roman" w:hAnsi="Times New Roman" w:cs="Times New Roman" w:eastAsia="Times New Roman"/>
          <w:sz w:val="16"/>
        </w:rPr>
        <w:t>[19]  D. P. Kingma and J. Ba, "Adam: A method for stochastic optimization," arXiv:1412.6980, Dec. 2014.</w:t>
      </w:r>
    </w:p>
    <w:p>
      <w:pPr>
        <w:spacing w:after="20"/>
        <w:ind w:left="432" w:hanging="432"/>
        <w:jc w:val="both"/>
      </w:pPr>
      <w:r>
        <w:rPr>
          <w:rFonts w:ascii="Times New Roman" w:hAnsi="Times New Roman" w:cs="Times New Roman" w:eastAsia="Times New Roman"/>
          <w:sz w:val="16"/>
        </w:rPr>
        <w:t xml:space="preserve">[20]  P. Viola and M. Jones, "Rapid object detection using a boosted cascade of simple features," in </w:t>
      </w:r>
      <w:r>
        <w:rPr>
          <w:rFonts w:ascii="Times New Roman" w:hAnsi="Times New Roman" w:cs="Times New Roman" w:eastAsia="Times New Roman"/>
          <w:i/>
          <w:sz w:val="16"/>
        </w:rPr>
        <w:t>Proc. IEEE Comput. Soc. Conf. Comput. Vis. Pattern Recognit. (CVPR)</w:t>
      </w:r>
      <w:r>
        <w:rPr>
          <w:rFonts w:ascii="Times New Roman" w:hAnsi="Times New Roman" w:cs="Times New Roman" w:eastAsia="Times New Roman"/>
          <w:sz w:val="16"/>
        </w:rPr>
        <w:t>, vol. 1, 2001, pp. I-511-I-518, doi: 10.1109/CVPR.2001.990517.</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