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7487" w:rsidRDefault="001C7487">
      <w:pPr>
        <w:spacing w:after="480" w:line="240" w:lineRule="auto"/>
      </w:pPr>
      <w:bookmarkStart w:id="0" w:name="_GoBack"/>
      <w:bookmarkEnd w:id="0"/>
    </w:p>
    <w:p w:rsidR="001C7487" w:rsidRDefault="00727E78">
      <w:pPr>
        <w:jc w:val="center"/>
      </w:pPr>
      <w:r>
        <w:rPr>
          <w:rFonts w:cs="Times New Roman"/>
          <w:b/>
          <w:sz w:val="36"/>
        </w:rPr>
        <w:t>SYMPTOTRACKAI: HYBRID RAG BASED SYMPTOM TRACKING AND HEALTH MONITORING SYSTEM</w:t>
      </w:r>
    </w:p>
    <w:p w:rsidR="001C7487" w:rsidRDefault="00727E78">
      <w:pPr>
        <w:spacing w:after="280"/>
        <w:jc w:val="center"/>
      </w:pPr>
      <w:r>
        <w:rPr>
          <w:rFonts w:cs="Times New Roman"/>
          <w:b/>
          <w:sz w:val="28"/>
        </w:rPr>
        <w:t>Block Diagrams (all)</w:t>
      </w:r>
    </w:p>
    <w:p w:rsidR="001C7487" w:rsidRDefault="00727E78">
      <w:pPr>
        <w:spacing w:after="40"/>
        <w:jc w:val="center"/>
      </w:pPr>
      <w:r>
        <w:rPr>
          <w:rFonts w:cs="Times New Roman"/>
        </w:rPr>
        <w:t>Department of Computer Science and Engineering, TKR College of Engineering &amp; Technology</w:t>
      </w:r>
    </w:p>
    <w:p w:rsidR="001C7487" w:rsidRDefault="00727E78">
      <w:pPr>
        <w:spacing w:after="240"/>
        <w:jc w:val="center"/>
      </w:pPr>
      <w:r>
        <w:rPr>
          <w:rFonts w:cs="Times New Roman"/>
        </w:rPr>
        <w:t>Batch C12 (CSE-C)  ·  Academic year [ACADEMIC YEAR]</w:t>
      </w:r>
    </w:p>
    <w:p w:rsidR="001C7487" w:rsidRDefault="00727E7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1C7487">
        <w:trPr>
          <w:cantSplit/>
          <w:tblHeader/>
          <w:jc w:val="center"/>
        </w:trPr>
        <w:tc>
          <w:tcPr>
            <w:tcW w:w="1008" w:type="dxa"/>
            <w:shd w:val="clear" w:color="auto" w:fill="1B2A41"/>
          </w:tcPr>
          <w:p w:rsidR="001C7487" w:rsidRDefault="00727E78">
            <w:pPr>
              <w:keepNext/>
              <w:spacing w:after="40" w:line="240" w:lineRule="auto"/>
              <w:jc w:val="center"/>
            </w:pPr>
            <w:r>
              <w:rPr>
                <w:rFonts w:cs="Times New Roman"/>
                <w:b/>
                <w:color w:val="FFFFFF"/>
                <w:sz w:val="22"/>
              </w:rPr>
              <w:t>S.No.</w:t>
            </w:r>
          </w:p>
        </w:tc>
        <w:tc>
          <w:tcPr>
            <w:tcW w:w="4896" w:type="dxa"/>
            <w:shd w:val="clear" w:color="auto" w:fill="1B2A41"/>
          </w:tcPr>
          <w:p w:rsidR="001C7487" w:rsidRDefault="00727E78">
            <w:pPr>
              <w:keepNext/>
              <w:spacing w:after="40" w:line="240" w:lineRule="auto"/>
              <w:jc w:val="center"/>
            </w:pPr>
            <w:r>
              <w:rPr>
                <w:rFonts w:cs="Times New Roman"/>
                <w:b/>
                <w:color w:val="FFFFFF"/>
                <w:sz w:val="22"/>
              </w:rPr>
              <w:t>Student name</w:t>
            </w:r>
          </w:p>
        </w:tc>
        <w:tc>
          <w:tcPr>
            <w:tcW w:w="2592" w:type="dxa"/>
            <w:shd w:val="clear" w:color="auto" w:fill="1B2A41"/>
          </w:tcPr>
          <w:p w:rsidR="001C7487" w:rsidRDefault="00727E78">
            <w:pPr>
              <w:keepNext/>
              <w:spacing w:after="40" w:line="240" w:lineRule="auto"/>
              <w:jc w:val="center"/>
            </w:pPr>
            <w:r>
              <w:rPr>
                <w:rFonts w:cs="Times New Roman"/>
                <w:b/>
                <w:color w:val="FFFFFF"/>
                <w:sz w:val="22"/>
              </w:rPr>
              <w:t>Roll number</w:t>
            </w:r>
          </w:p>
        </w:tc>
      </w:tr>
      <w:tr w:rsidR="001C7487">
        <w:trPr>
          <w:cantSplit/>
          <w:jc w:val="center"/>
        </w:trPr>
        <w:tc>
          <w:tcPr>
            <w:tcW w:w="1008" w:type="dxa"/>
          </w:tcPr>
          <w:p w:rsidR="001C7487" w:rsidRDefault="00727E78">
            <w:pPr>
              <w:spacing w:after="40" w:line="240" w:lineRule="auto"/>
              <w:jc w:val="center"/>
            </w:pPr>
            <w:r>
              <w:rPr>
                <w:rFonts w:cs="Times New Roman"/>
                <w:sz w:val="22"/>
              </w:rPr>
              <w:t>1</w:t>
            </w:r>
          </w:p>
        </w:tc>
        <w:tc>
          <w:tcPr>
            <w:tcW w:w="4896" w:type="dxa"/>
          </w:tcPr>
          <w:p w:rsidR="001C7487" w:rsidRDefault="00727E78">
            <w:pPr>
              <w:spacing w:after="40" w:line="240" w:lineRule="auto"/>
              <w:jc w:val="left"/>
            </w:pPr>
            <w:r>
              <w:rPr>
                <w:rFonts w:cs="Times New Roman"/>
                <w:sz w:val="22"/>
              </w:rPr>
              <w:t>Mariyada Karthika Reddy</w:t>
            </w:r>
          </w:p>
        </w:tc>
        <w:tc>
          <w:tcPr>
            <w:tcW w:w="2592" w:type="dxa"/>
          </w:tcPr>
          <w:p w:rsidR="001C7487" w:rsidRDefault="00727E78">
            <w:pPr>
              <w:spacing w:after="40" w:line="240" w:lineRule="auto"/>
              <w:jc w:val="center"/>
            </w:pPr>
            <w:r>
              <w:rPr>
                <w:rFonts w:cs="Times New Roman"/>
                <w:sz w:val="22"/>
              </w:rPr>
              <w:t>23K91A05E9</w:t>
            </w:r>
          </w:p>
        </w:tc>
      </w:tr>
      <w:tr w:rsidR="001C7487">
        <w:trPr>
          <w:cantSplit/>
          <w:jc w:val="center"/>
        </w:trPr>
        <w:tc>
          <w:tcPr>
            <w:tcW w:w="1008" w:type="dxa"/>
          </w:tcPr>
          <w:p w:rsidR="001C7487" w:rsidRDefault="00727E78">
            <w:pPr>
              <w:spacing w:after="40" w:line="240" w:lineRule="auto"/>
              <w:jc w:val="center"/>
            </w:pPr>
            <w:r>
              <w:rPr>
                <w:rFonts w:cs="Times New Roman"/>
                <w:sz w:val="22"/>
              </w:rPr>
              <w:t>2</w:t>
            </w:r>
          </w:p>
        </w:tc>
        <w:tc>
          <w:tcPr>
            <w:tcW w:w="4896" w:type="dxa"/>
          </w:tcPr>
          <w:p w:rsidR="001C7487" w:rsidRDefault="00727E78">
            <w:pPr>
              <w:spacing w:after="40" w:line="240" w:lineRule="auto"/>
              <w:jc w:val="left"/>
            </w:pPr>
            <w:r>
              <w:rPr>
                <w:rFonts w:cs="Times New Roman"/>
                <w:sz w:val="22"/>
              </w:rPr>
              <w:t>Nacharam Akshaya</w:t>
            </w:r>
          </w:p>
        </w:tc>
        <w:tc>
          <w:tcPr>
            <w:tcW w:w="2592" w:type="dxa"/>
          </w:tcPr>
          <w:p w:rsidR="001C7487" w:rsidRDefault="00727E78">
            <w:pPr>
              <w:spacing w:after="40" w:line="240" w:lineRule="auto"/>
              <w:jc w:val="center"/>
            </w:pPr>
            <w:r>
              <w:rPr>
                <w:rFonts w:cs="Times New Roman"/>
                <w:sz w:val="22"/>
              </w:rPr>
              <w:t>23K91A05G6</w:t>
            </w:r>
          </w:p>
        </w:tc>
      </w:tr>
      <w:tr w:rsidR="001C7487">
        <w:trPr>
          <w:cantSplit/>
          <w:jc w:val="center"/>
        </w:trPr>
        <w:tc>
          <w:tcPr>
            <w:tcW w:w="1008" w:type="dxa"/>
          </w:tcPr>
          <w:p w:rsidR="001C7487" w:rsidRDefault="00727E78">
            <w:pPr>
              <w:spacing w:after="40" w:line="240" w:lineRule="auto"/>
              <w:jc w:val="center"/>
            </w:pPr>
            <w:r>
              <w:rPr>
                <w:rFonts w:cs="Times New Roman"/>
                <w:sz w:val="22"/>
              </w:rPr>
              <w:t>3</w:t>
            </w:r>
          </w:p>
        </w:tc>
        <w:tc>
          <w:tcPr>
            <w:tcW w:w="4896" w:type="dxa"/>
          </w:tcPr>
          <w:p w:rsidR="001C7487" w:rsidRDefault="00727E78">
            <w:pPr>
              <w:spacing w:after="40" w:line="240" w:lineRule="auto"/>
              <w:jc w:val="left"/>
            </w:pPr>
            <w:r>
              <w:rPr>
                <w:rFonts w:cs="Times New Roman"/>
                <w:sz w:val="22"/>
              </w:rPr>
              <w:t>Madoori Prabath Teja</w:t>
            </w:r>
          </w:p>
        </w:tc>
        <w:tc>
          <w:tcPr>
            <w:tcW w:w="2592" w:type="dxa"/>
          </w:tcPr>
          <w:p w:rsidR="001C7487" w:rsidRDefault="00727E78">
            <w:pPr>
              <w:spacing w:after="40" w:line="240" w:lineRule="auto"/>
              <w:jc w:val="center"/>
            </w:pPr>
            <w:r>
              <w:rPr>
                <w:rFonts w:cs="Times New Roman"/>
                <w:sz w:val="22"/>
              </w:rPr>
              <w:t>23K91A05D6</w:t>
            </w:r>
          </w:p>
        </w:tc>
      </w:tr>
      <w:tr w:rsidR="001C7487">
        <w:trPr>
          <w:cantSplit/>
          <w:jc w:val="center"/>
        </w:trPr>
        <w:tc>
          <w:tcPr>
            <w:tcW w:w="1008" w:type="dxa"/>
          </w:tcPr>
          <w:p w:rsidR="001C7487" w:rsidRDefault="00727E78">
            <w:pPr>
              <w:spacing w:after="40" w:line="240" w:lineRule="auto"/>
              <w:jc w:val="center"/>
            </w:pPr>
            <w:r>
              <w:rPr>
                <w:rFonts w:cs="Times New Roman"/>
                <w:sz w:val="22"/>
              </w:rPr>
              <w:t>4</w:t>
            </w:r>
          </w:p>
        </w:tc>
        <w:tc>
          <w:tcPr>
            <w:tcW w:w="4896" w:type="dxa"/>
          </w:tcPr>
          <w:p w:rsidR="001C7487" w:rsidRDefault="00727E78">
            <w:pPr>
              <w:spacing w:after="40" w:line="240" w:lineRule="auto"/>
              <w:jc w:val="left"/>
            </w:pPr>
            <w:r>
              <w:rPr>
                <w:rFonts w:cs="Times New Roman"/>
                <w:sz w:val="22"/>
              </w:rPr>
              <w:t>Pulimadhi Keerthan</w:t>
            </w:r>
          </w:p>
        </w:tc>
        <w:tc>
          <w:tcPr>
            <w:tcW w:w="2592" w:type="dxa"/>
          </w:tcPr>
          <w:p w:rsidR="001C7487" w:rsidRDefault="00727E78">
            <w:pPr>
              <w:spacing w:after="40" w:line="240" w:lineRule="auto"/>
              <w:jc w:val="center"/>
            </w:pPr>
            <w:r>
              <w:rPr>
                <w:rFonts w:cs="Times New Roman"/>
                <w:sz w:val="22"/>
              </w:rPr>
              <w:t>23K91A05K1</w:t>
            </w:r>
          </w:p>
        </w:tc>
      </w:tr>
    </w:tbl>
    <w:p w:rsidR="001C7487" w:rsidRDefault="001C7487">
      <w:pPr>
        <w:spacing w:line="192" w:lineRule="auto"/>
      </w:pPr>
    </w:p>
    <w:p w:rsidR="001C7487" w:rsidRDefault="00727E78">
      <w:pPr>
        <w:spacing w:after="200"/>
        <w:jc w:val="center"/>
      </w:pPr>
      <w:r>
        <w:rPr>
          <w:rFonts w:cs="Times New Roman"/>
          <w:b/>
        </w:rPr>
        <w:t>Project guide:</w:t>
      </w:r>
      <w:r>
        <w:rPr>
          <w:rFonts w:cs="Times New Roman"/>
        </w:rPr>
        <w:t xml:space="preserve"> Dr. Ch. B. Naga Lakshmi</w:t>
      </w:r>
    </w:p>
    <w:p w:rsidR="001C7487" w:rsidRDefault="00727E78">
      <w:r>
        <w:rPr>
          <w:rFonts w:cs="Times New Roman"/>
          <w:i/>
          <w:sz w:val="21"/>
        </w:rPr>
        <w:t>Chapter</w:t>
      </w:r>
      <w:r>
        <w:rPr>
          <w:rFonts w:cs="Times New Roman"/>
          <w:i/>
          <w:sz w:val="21"/>
        </w:rPr>
        <w:t xml:space="preserve"> and section numbers quoted in the text (for example Chapter 8 or Section 6.2) refer to the full project report, 17.Final Document. Figures and tables in this document are numbered from 1.</w:t>
      </w:r>
    </w:p>
    <w:p w:rsidR="001C7487" w:rsidRDefault="00727E78">
      <w:pPr>
        <w:pStyle w:val="Heading1"/>
      </w:pPr>
      <w:r>
        <w:t>1. INDEX OF DIAGRAMS</w:t>
      </w:r>
    </w:p>
    <w:p w:rsidR="001C7487" w:rsidRDefault="00727E78">
      <w:r>
        <w:rPr>
          <w:rFonts w:cs="Times New Roman"/>
        </w:rPr>
        <w:t xml:space="preserve">Every diagram was generated from the real design by </w:t>
      </w:r>
      <w:r>
        <w:rPr>
          <w:rFonts w:ascii="Consolas" w:eastAsia="Consolas" w:hAnsi="Consolas" w:cs="Consolas"/>
          <w:sz w:val="21"/>
        </w:rPr>
        <w:t>scripts/docs_build/make_diagrams.py</w:t>
      </w:r>
      <w:r>
        <w:rPr>
          <w:rFonts w:cs="Times New Roman"/>
        </w:rPr>
        <w:t xml:space="preserve"> and </w:t>
      </w:r>
      <w:r>
        <w:rPr>
          <w:rFonts w:ascii="Consolas" w:eastAsia="Consolas" w:hAnsi="Consolas" w:cs="Consolas"/>
          <w:sz w:val="21"/>
        </w:rPr>
        <w:t>diagrams_more.py</w:t>
      </w:r>
      <w:r>
        <w:rPr>
          <w:rFonts w:cs="Times New Roman"/>
        </w:rPr>
        <w:t xml:space="preserve"> (matplotlib, 150 dpi) and mirrors the code in </w:t>
      </w:r>
      <w:r>
        <w:rPr>
          <w:rFonts w:ascii="Consolas" w:eastAsia="Consolas" w:hAnsi="Consolas" w:cs="Consolas"/>
          <w:sz w:val="21"/>
        </w:rPr>
        <w:t>app/main.py</w:t>
      </w:r>
      <w:r>
        <w:rPr>
          <w:rFonts w:cs="Times New Roman"/>
        </w:rPr>
        <w:t xml:space="preserve">, </w:t>
      </w:r>
      <w:r>
        <w:rPr>
          <w:rFonts w:ascii="Consolas" w:eastAsia="Consolas" w:hAnsi="Consolas" w:cs="Consolas"/>
          <w:sz w:val="21"/>
        </w:rPr>
        <w:t>app/routes/</w:t>
      </w:r>
      <w:r>
        <w:rPr>
          <w:rFonts w:cs="Times New Roman"/>
        </w:rPr>
        <w:t xml:space="preserve"> and </w:t>
      </w:r>
      <w:r>
        <w:rPr>
          <w:rFonts w:ascii="Consolas" w:eastAsia="Consolas" w:hAnsi="Consolas" w:cs="Consolas"/>
          <w:sz w:val="21"/>
        </w:rPr>
        <w:t>app/rag/</w:t>
      </w:r>
      <w:r>
        <w:rPr>
          <w:rFonts w:cs="Times New Roman"/>
        </w:rPr>
        <w:t xml:space="preserve">. The application keeps two SQLite tables plus a read-only </w:t>
      </w:r>
      <w:r>
        <w:rPr>
          <w:rFonts w:cs="Times New Roman"/>
        </w:rPr>
        <w:t>knowledge base and its FAISS and BM25 indexes, and the entity-relationship diagram shows both.</w:t>
      </w:r>
    </w:p>
    <w:p w:rsidR="001C7487" w:rsidRDefault="00727E7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94"/>
        <w:gridCol w:w="3914"/>
        <w:gridCol w:w="4274"/>
      </w:tblGrid>
      <w:tr w:rsidR="001C7487">
        <w:trPr>
          <w:cantSplit/>
          <w:tblHeader/>
          <w:jc w:val="center"/>
        </w:trPr>
        <w:tc>
          <w:tcPr>
            <w:tcW w:w="720" w:type="dxa"/>
            <w:shd w:val="clear" w:color="auto" w:fill="1B2A41"/>
          </w:tcPr>
          <w:p w:rsidR="001C7487" w:rsidRDefault="00727E78">
            <w:pPr>
              <w:keepNext/>
              <w:spacing w:after="40" w:line="240" w:lineRule="auto"/>
              <w:jc w:val="center"/>
            </w:pPr>
            <w:r>
              <w:rPr>
                <w:rFonts w:cs="Times New Roman"/>
                <w:b/>
                <w:color w:val="FFFFFF"/>
                <w:sz w:val="21"/>
              </w:rPr>
              <w:t>No.</w:t>
            </w:r>
          </w:p>
        </w:tc>
        <w:tc>
          <w:tcPr>
            <w:tcW w:w="4320" w:type="dxa"/>
            <w:shd w:val="clear" w:color="auto" w:fill="1B2A41"/>
          </w:tcPr>
          <w:p w:rsidR="001C7487" w:rsidRDefault="00727E78">
            <w:pPr>
              <w:keepNext/>
              <w:spacing w:after="40" w:line="240" w:lineRule="auto"/>
              <w:jc w:val="center"/>
            </w:pPr>
            <w:r>
              <w:rPr>
                <w:rFonts w:cs="Times New Roman"/>
                <w:b/>
                <w:color w:val="FFFFFF"/>
                <w:sz w:val="21"/>
              </w:rPr>
              <w:t>Diagram</w:t>
            </w:r>
          </w:p>
        </w:tc>
        <w:tc>
          <w:tcPr>
            <w:tcW w:w="4032" w:type="dxa"/>
            <w:shd w:val="clear" w:color="auto" w:fill="1B2A41"/>
          </w:tcPr>
          <w:p w:rsidR="001C7487" w:rsidRDefault="00727E78">
            <w:pPr>
              <w:keepNext/>
              <w:spacing w:after="40" w:line="240" w:lineRule="auto"/>
              <w:jc w:val="center"/>
            </w:pPr>
            <w:r>
              <w:rPr>
                <w:rFonts w:cs="Times New Roman"/>
                <w:b/>
                <w:color w:val="FFFFFF"/>
                <w:sz w:val="21"/>
              </w:rPr>
              <w:t>Image file</w:t>
            </w:r>
          </w:p>
        </w:tc>
      </w:tr>
      <w:tr w:rsidR="001C7487">
        <w:trPr>
          <w:cantSplit/>
          <w:jc w:val="center"/>
        </w:trPr>
        <w:tc>
          <w:tcPr>
            <w:tcW w:w="720" w:type="dxa"/>
          </w:tcPr>
          <w:p w:rsidR="001C7487" w:rsidRDefault="00727E78">
            <w:pPr>
              <w:spacing w:after="40" w:line="240" w:lineRule="auto"/>
              <w:jc w:val="center"/>
            </w:pPr>
            <w:r>
              <w:rPr>
                <w:rFonts w:cs="Times New Roman"/>
                <w:sz w:val="21"/>
              </w:rPr>
              <w:t>1</w:t>
            </w:r>
          </w:p>
        </w:tc>
        <w:tc>
          <w:tcPr>
            <w:tcW w:w="4320" w:type="dxa"/>
          </w:tcPr>
          <w:p w:rsidR="001C7487" w:rsidRDefault="00727E78">
            <w:pPr>
              <w:spacing w:after="40" w:line="240" w:lineRule="auto"/>
              <w:jc w:val="left"/>
            </w:pPr>
            <w:r>
              <w:rPr>
                <w:rFonts w:cs="Times New Roman"/>
                <w:sz w:val="21"/>
              </w:rPr>
              <w:t>System architecture</w:t>
            </w:r>
          </w:p>
        </w:tc>
        <w:tc>
          <w:tcPr>
            <w:tcW w:w="4032" w:type="dxa"/>
          </w:tcPr>
          <w:p w:rsidR="001C7487" w:rsidRDefault="00727E78">
            <w:pPr>
              <w:spacing w:after="40" w:line="240" w:lineRule="auto"/>
              <w:jc w:val="left"/>
            </w:pPr>
            <w:r>
              <w:rPr>
                <w:rFonts w:ascii="Consolas" w:eastAsia="Consolas" w:hAnsi="Consolas" w:cs="Consolas"/>
                <w:sz w:val="18"/>
              </w:rPr>
              <w:t>docs/diagrams/01_system_architecture.png</w:t>
            </w:r>
          </w:p>
        </w:tc>
      </w:tr>
      <w:tr w:rsidR="001C7487">
        <w:trPr>
          <w:cantSplit/>
          <w:jc w:val="center"/>
        </w:trPr>
        <w:tc>
          <w:tcPr>
            <w:tcW w:w="720" w:type="dxa"/>
          </w:tcPr>
          <w:p w:rsidR="001C7487" w:rsidRDefault="00727E78">
            <w:pPr>
              <w:spacing w:after="40" w:line="240" w:lineRule="auto"/>
              <w:jc w:val="center"/>
            </w:pPr>
            <w:r>
              <w:rPr>
                <w:rFonts w:cs="Times New Roman"/>
                <w:sz w:val="21"/>
              </w:rPr>
              <w:t>2</w:t>
            </w:r>
          </w:p>
        </w:tc>
        <w:tc>
          <w:tcPr>
            <w:tcW w:w="4320" w:type="dxa"/>
          </w:tcPr>
          <w:p w:rsidR="001C7487" w:rsidRDefault="00727E78">
            <w:pPr>
              <w:spacing w:after="40" w:line="240" w:lineRule="auto"/>
              <w:jc w:val="left"/>
            </w:pPr>
            <w:r>
              <w:rPr>
                <w:rFonts w:cs="Times New Roman"/>
                <w:sz w:val="21"/>
              </w:rPr>
              <w:t xml:space="preserve">High-level </w:t>
            </w:r>
            <w:r>
              <w:rPr>
                <w:rFonts w:cs="Times New Roman"/>
                <w:sz w:val="21"/>
              </w:rPr>
              <w:t>workflow</w:t>
            </w:r>
          </w:p>
        </w:tc>
        <w:tc>
          <w:tcPr>
            <w:tcW w:w="4032" w:type="dxa"/>
          </w:tcPr>
          <w:p w:rsidR="001C7487" w:rsidRDefault="00727E78">
            <w:pPr>
              <w:spacing w:after="40" w:line="240" w:lineRule="auto"/>
              <w:jc w:val="left"/>
            </w:pPr>
            <w:r>
              <w:rPr>
                <w:rFonts w:ascii="Consolas" w:eastAsia="Consolas" w:hAnsi="Consolas" w:cs="Consolas"/>
                <w:sz w:val="18"/>
              </w:rPr>
              <w:t>docs/diagrams/02_high_level_workflow.png</w:t>
            </w:r>
          </w:p>
        </w:tc>
      </w:tr>
      <w:tr w:rsidR="001C7487">
        <w:trPr>
          <w:cantSplit/>
          <w:jc w:val="center"/>
        </w:trPr>
        <w:tc>
          <w:tcPr>
            <w:tcW w:w="720" w:type="dxa"/>
          </w:tcPr>
          <w:p w:rsidR="001C7487" w:rsidRDefault="00727E78">
            <w:pPr>
              <w:spacing w:after="40" w:line="240" w:lineRule="auto"/>
              <w:jc w:val="center"/>
            </w:pPr>
            <w:r>
              <w:rPr>
                <w:rFonts w:cs="Times New Roman"/>
                <w:sz w:val="21"/>
              </w:rPr>
              <w:t>3</w:t>
            </w:r>
          </w:p>
        </w:tc>
        <w:tc>
          <w:tcPr>
            <w:tcW w:w="4320" w:type="dxa"/>
          </w:tcPr>
          <w:p w:rsidR="001C7487" w:rsidRDefault="00727E78">
            <w:pPr>
              <w:spacing w:after="40" w:line="240" w:lineRule="auto"/>
              <w:jc w:val="left"/>
            </w:pPr>
            <w:r>
              <w:rPr>
                <w:rFonts w:cs="Times New Roman"/>
                <w:sz w:val="21"/>
              </w:rPr>
              <w:t>Data flow diagram, level 0</w:t>
            </w:r>
          </w:p>
        </w:tc>
        <w:tc>
          <w:tcPr>
            <w:tcW w:w="4032" w:type="dxa"/>
          </w:tcPr>
          <w:p w:rsidR="001C7487" w:rsidRDefault="00727E78">
            <w:pPr>
              <w:spacing w:after="40" w:line="240" w:lineRule="auto"/>
              <w:jc w:val="left"/>
            </w:pPr>
            <w:r>
              <w:rPr>
                <w:rFonts w:ascii="Consolas" w:eastAsia="Consolas" w:hAnsi="Consolas" w:cs="Consolas"/>
                <w:sz w:val="18"/>
              </w:rPr>
              <w:t>docs/diagrams/03_dfd_level0.png</w:t>
            </w:r>
          </w:p>
        </w:tc>
      </w:tr>
      <w:tr w:rsidR="001C7487">
        <w:trPr>
          <w:cantSplit/>
          <w:jc w:val="center"/>
        </w:trPr>
        <w:tc>
          <w:tcPr>
            <w:tcW w:w="720" w:type="dxa"/>
          </w:tcPr>
          <w:p w:rsidR="001C7487" w:rsidRDefault="00727E78">
            <w:pPr>
              <w:spacing w:after="40" w:line="240" w:lineRule="auto"/>
              <w:jc w:val="center"/>
            </w:pPr>
            <w:r>
              <w:rPr>
                <w:rFonts w:cs="Times New Roman"/>
                <w:sz w:val="21"/>
              </w:rPr>
              <w:t>4</w:t>
            </w:r>
          </w:p>
        </w:tc>
        <w:tc>
          <w:tcPr>
            <w:tcW w:w="4320" w:type="dxa"/>
          </w:tcPr>
          <w:p w:rsidR="001C7487" w:rsidRDefault="00727E78">
            <w:pPr>
              <w:spacing w:after="40" w:line="240" w:lineRule="auto"/>
              <w:jc w:val="left"/>
            </w:pPr>
            <w:r>
              <w:rPr>
                <w:rFonts w:cs="Times New Roman"/>
                <w:sz w:val="21"/>
              </w:rPr>
              <w:t>Data flow diagram, level 1</w:t>
            </w:r>
          </w:p>
        </w:tc>
        <w:tc>
          <w:tcPr>
            <w:tcW w:w="4032" w:type="dxa"/>
          </w:tcPr>
          <w:p w:rsidR="001C7487" w:rsidRDefault="00727E78">
            <w:pPr>
              <w:spacing w:after="40" w:line="240" w:lineRule="auto"/>
              <w:jc w:val="left"/>
            </w:pPr>
            <w:r>
              <w:rPr>
                <w:rFonts w:ascii="Consolas" w:eastAsia="Consolas" w:hAnsi="Consolas" w:cs="Consolas"/>
                <w:sz w:val="18"/>
              </w:rPr>
              <w:t>docs/diagrams/04_dfd_level1.png</w:t>
            </w:r>
          </w:p>
        </w:tc>
      </w:tr>
      <w:tr w:rsidR="001C7487">
        <w:trPr>
          <w:cantSplit/>
          <w:jc w:val="center"/>
        </w:trPr>
        <w:tc>
          <w:tcPr>
            <w:tcW w:w="720" w:type="dxa"/>
          </w:tcPr>
          <w:p w:rsidR="001C7487" w:rsidRDefault="00727E78">
            <w:pPr>
              <w:spacing w:after="40" w:line="240" w:lineRule="auto"/>
              <w:jc w:val="center"/>
            </w:pPr>
            <w:r>
              <w:rPr>
                <w:rFonts w:cs="Times New Roman"/>
                <w:sz w:val="21"/>
              </w:rPr>
              <w:t>5</w:t>
            </w:r>
          </w:p>
        </w:tc>
        <w:tc>
          <w:tcPr>
            <w:tcW w:w="4320" w:type="dxa"/>
          </w:tcPr>
          <w:p w:rsidR="001C7487" w:rsidRDefault="00727E78">
            <w:pPr>
              <w:spacing w:after="40" w:line="240" w:lineRule="auto"/>
              <w:jc w:val="left"/>
            </w:pPr>
            <w:r>
              <w:rPr>
                <w:rFonts w:cs="Times New Roman"/>
                <w:sz w:val="21"/>
              </w:rPr>
              <w:t>Data flow diagram, level 2</w:t>
            </w:r>
          </w:p>
        </w:tc>
        <w:tc>
          <w:tcPr>
            <w:tcW w:w="4032" w:type="dxa"/>
          </w:tcPr>
          <w:p w:rsidR="001C7487" w:rsidRDefault="00727E78">
            <w:pPr>
              <w:spacing w:after="40" w:line="240" w:lineRule="auto"/>
              <w:jc w:val="left"/>
            </w:pPr>
            <w:r>
              <w:rPr>
                <w:rFonts w:ascii="Consolas" w:eastAsia="Consolas" w:hAnsi="Consolas" w:cs="Consolas"/>
                <w:sz w:val="18"/>
              </w:rPr>
              <w:t>docs/diagrams/05_dfd_level2.png</w:t>
            </w:r>
          </w:p>
        </w:tc>
      </w:tr>
      <w:tr w:rsidR="001C7487">
        <w:trPr>
          <w:cantSplit/>
          <w:jc w:val="center"/>
        </w:trPr>
        <w:tc>
          <w:tcPr>
            <w:tcW w:w="720" w:type="dxa"/>
          </w:tcPr>
          <w:p w:rsidR="001C7487" w:rsidRDefault="00727E78">
            <w:pPr>
              <w:spacing w:after="40" w:line="240" w:lineRule="auto"/>
              <w:jc w:val="center"/>
            </w:pPr>
            <w:r>
              <w:rPr>
                <w:rFonts w:cs="Times New Roman"/>
                <w:sz w:val="21"/>
              </w:rPr>
              <w:lastRenderedPageBreak/>
              <w:t>6</w:t>
            </w:r>
          </w:p>
        </w:tc>
        <w:tc>
          <w:tcPr>
            <w:tcW w:w="4320" w:type="dxa"/>
          </w:tcPr>
          <w:p w:rsidR="001C7487" w:rsidRDefault="00727E78">
            <w:pPr>
              <w:spacing w:after="40" w:line="240" w:lineRule="auto"/>
              <w:jc w:val="left"/>
            </w:pPr>
            <w:r>
              <w:rPr>
                <w:rFonts w:cs="Times New Roman"/>
                <w:sz w:val="21"/>
              </w:rPr>
              <w:t>UML class diagram</w:t>
            </w:r>
          </w:p>
        </w:tc>
        <w:tc>
          <w:tcPr>
            <w:tcW w:w="4032" w:type="dxa"/>
          </w:tcPr>
          <w:p w:rsidR="001C7487" w:rsidRDefault="00727E78">
            <w:pPr>
              <w:spacing w:after="40" w:line="240" w:lineRule="auto"/>
              <w:jc w:val="left"/>
            </w:pPr>
            <w:r>
              <w:rPr>
                <w:rFonts w:ascii="Consolas" w:eastAsia="Consolas" w:hAnsi="Consolas" w:cs="Consolas"/>
                <w:sz w:val="18"/>
              </w:rPr>
              <w:t>docs/diagrams/06_uml_class.png</w:t>
            </w:r>
          </w:p>
        </w:tc>
      </w:tr>
      <w:tr w:rsidR="001C7487">
        <w:trPr>
          <w:cantSplit/>
          <w:jc w:val="center"/>
        </w:trPr>
        <w:tc>
          <w:tcPr>
            <w:tcW w:w="720" w:type="dxa"/>
          </w:tcPr>
          <w:p w:rsidR="001C7487" w:rsidRDefault="00727E78">
            <w:pPr>
              <w:spacing w:after="40" w:line="240" w:lineRule="auto"/>
              <w:jc w:val="center"/>
            </w:pPr>
            <w:r>
              <w:rPr>
                <w:rFonts w:cs="Times New Roman"/>
                <w:sz w:val="21"/>
              </w:rPr>
              <w:t>7</w:t>
            </w:r>
          </w:p>
        </w:tc>
        <w:tc>
          <w:tcPr>
            <w:tcW w:w="4320" w:type="dxa"/>
          </w:tcPr>
          <w:p w:rsidR="001C7487" w:rsidRDefault="00727E78">
            <w:pPr>
              <w:spacing w:after="40" w:line="240" w:lineRule="auto"/>
              <w:jc w:val="left"/>
            </w:pPr>
            <w:r>
              <w:rPr>
                <w:rFonts w:cs="Times New Roman"/>
                <w:sz w:val="21"/>
              </w:rPr>
              <w:t>Sequence diagram of a consultation</w:t>
            </w:r>
          </w:p>
        </w:tc>
        <w:tc>
          <w:tcPr>
            <w:tcW w:w="4032" w:type="dxa"/>
          </w:tcPr>
          <w:p w:rsidR="001C7487" w:rsidRDefault="00727E78">
            <w:pPr>
              <w:spacing w:after="40" w:line="240" w:lineRule="auto"/>
              <w:jc w:val="left"/>
            </w:pPr>
            <w:r>
              <w:rPr>
                <w:rFonts w:ascii="Consolas" w:eastAsia="Consolas" w:hAnsi="Consolas" w:cs="Consolas"/>
                <w:sz w:val="18"/>
              </w:rPr>
              <w:t>docs/diagrams/07_sequence_chat.png</w:t>
            </w:r>
          </w:p>
        </w:tc>
      </w:tr>
      <w:tr w:rsidR="001C7487">
        <w:trPr>
          <w:cantSplit/>
          <w:jc w:val="center"/>
        </w:trPr>
        <w:tc>
          <w:tcPr>
            <w:tcW w:w="720" w:type="dxa"/>
          </w:tcPr>
          <w:p w:rsidR="001C7487" w:rsidRDefault="00727E78">
            <w:pPr>
              <w:spacing w:after="40" w:line="240" w:lineRule="auto"/>
              <w:jc w:val="center"/>
            </w:pPr>
            <w:r>
              <w:rPr>
                <w:rFonts w:cs="Times New Roman"/>
                <w:sz w:val="21"/>
              </w:rPr>
              <w:t>8</w:t>
            </w:r>
          </w:p>
        </w:tc>
        <w:tc>
          <w:tcPr>
            <w:tcW w:w="4320" w:type="dxa"/>
          </w:tcPr>
          <w:p w:rsidR="001C7487" w:rsidRDefault="00727E78">
            <w:pPr>
              <w:spacing w:after="40" w:line="240" w:lineRule="auto"/>
              <w:jc w:val="left"/>
            </w:pPr>
            <w:r>
              <w:rPr>
                <w:rFonts w:cs="Times New Roman"/>
                <w:sz w:val="21"/>
              </w:rPr>
              <w:t>Use-case diagram</w:t>
            </w:r>
          </w:p>
        </w:tc>
        <w:tc>
          <w:tcPr>
            <w:tcW w:w="4032" w:type="dxa"/>
          </w:tcPr>
          <w:p w:rsidR="001C7487" w:rsidRDefault="00727E78">
            <w:pPr>
              <w:spacing w:after="40" w:line="240" w:lineRule="auto"/>
              <w:jc w:val="left"/>
            </w:pPr>
            <w:r>
              <w:rPr>
                <w:rFonts w:ascii="Consolas" w:eastAsia="Consolas" w:hAnsi="Consolas" w:cs="Consolas"/>
                <w:sz w:val="18"/>
              </w:rPr>
              <w:t>docs/diagrams/08_use_case.png</w:t>
            </w:r>
          </w:p>
        </w:tc>
      </w:tr>
      <w:tr w:rsidR="001C7487">
        <w:trPr>
          <w:cantSplit/>
          <w:jc w:val="center"/>
        </w:trPr>
        <w:tc>
          <w:tcPr>
            <w:tcW w:w="720" w:type="dxa"/>
          </w:tcPr>
          <w:p w:rsidR="001C7487" w:rsidRDefault="00727E78">
            <w:pPr>
              <w:spacing w:after="40" w:line="240" w:lineRule="auto"/>
              <w:jc w:val="center"/>
            </w:pPr>
            <w:r>
              <w:rPr>
                <w:rFonts w:cs="Times New Roman"/>
                <w:sz w:val="21"/>
              </w:rPr>
              <w:t>9</w:t>
            </w:r>
          </w:p>
        </w:tc>
        <w:tc>
          <w:tcPr>
            <w:tcW w:w="4320" w:type="dxa"/>
          </w:tcPr>
          <w:p w:rsidR="001C7487" w:rsidRDefault="00727E78">
            <w:pPr>
              <w:spacing w:after="40" w:line="240" w:lineRule="auto"/>
              <w:jc w:val="left"/>
            </w:pPr>
            <w:r>
              <w:rPr>
                <w:rFonts w:cs="Times New Roman"/>
                <w:sz w:val="21"/>
              </w:rPr>
              <w:t>Entity-relationship diagram</w:t>
            </w:r>
          </w:p>
        </w:tc>
        <w:tc>
          <w:tcPr>
            <w:tcW w:w="4032" w:type="dxa"/>
          </w:tcPr>
          <w:p w:rsidR="001C7487" w:rsidRDefault="00727E78">
            <w:pPr>
              <w:spacing w:after="40" w:line="240" w:lineRule="auto"/>
              <w:jc w:val="left"/>
            </w:pPr>
            <w:r>
              <w:rPr>
                <w:rFonts w:ascii="Consolas" w:eastAsia="Consolas" w:hAnsi="Consolas" w:cs="Consolas"/>
                <w:sz w:val="18"/>
              </w:rPr>
              <w:t>docs/diagrams/09_er_diagram.png</w:t>
            </w:r>
          </w:p>
        </w:tc>
      </w:tr>
      <w:tr w:rsidR="001C7487">
        <w:trPr>
          <w:cantSplit/>
          <w:jc w:val="center"/>
        </w:trPr>
        <w:tc>
          <w:tcPr>
            <w:tcW w:w="720" w:type="dxa"/>
          </w:tcPr>
          <w:p w:rsidR="001C7487" w:rsidRDefault="00727E78">
            <w:pPr>
              <w:spacing w:after="40" w:line="240" w:lineRule="auto"/>
              <w:jc w:val="center"/>
            </w:pPr>
            <w:r>
              <w:rPr>
                <w:rFonts w:cs="Times New Roman"/>
                <w:sz w:val="21"/>
              </w:rPr>
              <w:t>10</w:t>
            </w:r>
          </w:p>
        </w:tc>
        <w:tc>
          <w:tcPr>
            <w:tcW w:w="4320" w:type="dxa"/>
          </w:tcPr>
          <w:p w:rsidR="001C7487" w:rsidRDefault="00727E78">
            <w:pPr>
              <w:spacing w:after="40" w:line="240" w:lineRule="auto"/>
              <w:jc w:val="left"/>
            </w:pPr>
            <w:r>
              <w:rPr>
                <w:rFonts w:cs="Times New Roman"/>
                <w:sz w:val="21"/>
              </w:rPr>
              <w:t>Flowchart of the core algorithm</w:t>
            </w:r>
          </w:p>
        </w:tc>
        <w:tc>
          <w:tcPr>
            <w:tcW w:w="4032" w:type="dxa"/>
          </w:tcPr>
          <w:p w:rsidR="001C7487" w:rsidRDefault="00727E78">
            <w:pPr>
              <w:spacing w:after="40" w:line="240" w:lineRule="auto"/>
              <w:jc w:val="left"/>
            </w:pPr>
            <w:r>
              <w:rPr>
                <w:rFonts w:ascii="Consolas" w:eastAsia="Consolas" w:hAnsi="Consolas" w:cs="Consolas"/>
                <w:sz w:val="18"/>
              </w:rPr>
              <w:t>docs/diagrams/10_flowchart_retrieval.png</w:t>
            </w:r>
          </w:p>
        </w:tc>
      </w:tr>
      <w:tr w:rsidR="001C7487">
        <w:trPr>
          <w:cantSplit/>
          <w:jc w:val="center"/>
        </w:trPr>
        <w:tc>
          <w:tcPr>
            <w:tcW w:w="720" w:type="dxa"/>
          </w:tcPr>
          <w:p w:rsidR="001C7487" w:rsidRDefault="00727E78">
            <w:pPr>
              <w:spacing w:after="40" w:line="240" w:lineRule="auto"/>
              <w:jc w:val="center"/>
            </w:pPr>
            <w:r>
              <w:rPr>
                <w:rFonts w:cs="Times New Roman"/>
                <w:sz w:val="21"/>
              </w:rPr>
              <w:t>11</w:t>
            </w:r>
          </w:p>
        </w:tc>
        <w:tc>
          <w:tcPr>
            <w:tcW w:w="4320" w:type="dxa"/>
          </w:tcPr>
          <w:p w:rsidR="001C7487" w:rsidRDefault="00727E78">
            <w:pPr>
              <w:spacing w:after="40" w:line="240" w:lineRule="auto"/>
              <w:jc w:val="left"/>
            </w:pPr>
            <w:r>
              <w:rPr>
                <w:rFonts w:cs="Times New Roman"/>
                <w:sz w:val="21"/>
              </w:rPr>
              <w:t>Safety decision flow</w:t>
            </w:r>
          </w:p>
        </w:tc>
        <w:tc>
          <w:tcPr>
            <w:tcW w:w="4032" w:type="dxa"/>
          </w:tcPr>
          <w:p w:rsidR="001C7487" w:rsidRDefault="00727E78">
            <w:pPr>
              <w:spacing w:after="40" w:line="240" w:lineRule="auto"/>
              <w:jc w:val="left"/>
            </w:pPr>
            <w:r>
              <w:rPr>
                <w:rFonts w:ascii="Consolas" w:eastAsia="Consolas" w:hAnsi="Consolas" w:cs="Consolas"/>
                <w:sz w:val="18"/>
              </w:rPr>
              <w:t>docs/diagrams/11_safety_decision_flow.png</w:t>
            </w:r>
          </w:p>
        </w:tc>
      </w:tr>
    </w:tbl>
    <w:p w:rsidR="001C7487" w:rsidRDefault="001C7487">
      <w:pPr>
        <w:spacing w:line="192" w:lineRule="auto"/>
      </w:pPr>
    </w:p>
    <w:p w:rsidR="001C7487" w:rsidRDefault="00727E78">
      <w:pPr>
        <w:pStyle w:val="Heading1"/>
        <w:pageBreakBefore/>
      </w:pPr>
      <w:r>
        <w:lastRenderedPageBreak/>
        <w:t>2. DIAGRAMS</w:t>
      </w:r>
    </w:p>
    <w:p w:rsidR="001C7487" w:rsidRDefault="00727E78">
      <w:pPr>
        <w:pStyle w:val="Heading2"/>
      </w:pPr>
      <w:r>
        <w:t>System architecture</w:t>
      </w:r>
    </w:p>
    <w:p w:rsidR="001C7487" w:rsidRDefault="00727E78">
      <w:pPr>
        <w:keepNext/>
        <w:spacing w:after="80" w:line="240" w:lineRule="auto"/>
        <w:jc w:val="center"/>
      </w:pPr>
      <w:r>
        <w:rPr>
          <w:noProof/>
        </w:rPr>
        <w:drawing>
          <wp:inline distT="0" distB="0" distL="0" distR="0">
            <wp:extent cx="5303520" cy="4773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773168"/>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SymptoTrackAI (CareLens AI): React web app, FastAPI</w:t>
      </w:r>
      <w:r>
        <w:rPr>
          <w:rFonts w:cs="Times New Roman"/>
        </w:rPr>
        <w:t xml:space="preserve"> application, RAG components and local data stores.</w:t>
      </w:r>
    </w:p>
    <w:p w:rsidR="001C7487" w:rsidRDefault="00727E78">
      <w:r>
        <w:rPr>
          <w:rFonts w:cs="Times New Roman"/>
        </w:rPr>
        <w:t>The browser tier is a React and Vite single-page application on port 5412 whose pages (landing, login, register, assistant, history, consultation detail, about) talk to the API only through JSON; the Vite</w:t>
      </w:r>
      <w:r>
        <w:rPr>
          <w:rFonts w:cs="Times New Roman"/>
        </w:rPr>
        <w:t xml:space="preserve"> dev server proxies /api to port 8412. The FastAPI tier groups its routes into auth, chat, history, about and the legacy page router, and protects every private route with the require_user dependency. Behind it, the Pipeline object in app/rag is created on</w:t>
      </w:r>
      <w:r>
        <w:rPr>
          <w:rFonts w:cs="Times New Roman"/>
        </w:rPr>
        <w:t xml:space="preserve">ce on the first chat request and holds the embedding backend, the FAISS and BM25 stores, the cross-encoder, the generator and the safety rules. All data stay on the machine: SQLite holds the users and consultations tables, the knowledge base and its three </w:t>
      </w:r>
      <w:r>
        <w:rPr>
          <w:rFonts w:cs="Times New Roman"/>
        </w:rPr>
        <w:t>index files sit in data/, and the evaluation file is read by the About page. The only network use is the one-time download of the model weights from the Hugging Face Hub.</w:t>
      </w:r>
    </w:p>
    <w:p w:rsidR="001C7487" w:rsidRDefault="00727E78">
      <w:pPr>
        <w:pStyle w:val="Heading2"/>
      </w:pPr>
      <w:r>
        <w:lastRenderedPageBreak/>
        <w:t>High-level workflow</w:t>
      </w:r>
    </w:p>
    <w:p w:rsidR="001C7487" w:rsidRDefault="00727E78">
      <w:pPr>
        <w:keepNext/>
        <w:spacing w:after="80" w:line="240" w:lineRule="auto"/>
        <w:jc w:val="center"/>
      </w:pPr>
      <w:r>
        <w:rPr>
          <w:noProof/>
        </w:rPr>
        <w:drawing>
          <wp:inline distT="0" distB="0" distL="0" distR="0">
            <wp:extent cx="457200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2926080"/>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c</w:t>
      </w:r>
      <w:r>
        <w:rPr>
          <w:rFonts w:cs="Times New Roman"/>
        </w:rPr>
        <w:t>onsultation, from sign-in to the saved answer.</w:t>
      </w:r>
    </w:p>
    <w:p w:rsidR="001C7487" w:rsidRDefault="00727E78">
      <w:r>
        <w:rPr>
          <w:rFonts w:cs="Times New Roman"/>
        </w:rPr>
        <w:t>A signed-in user types symptoms in everyday language; the request is accepted when it has between 3 and 2000 characters. The text is normalised and extended with a fixed hypothetical-description template, then</w:t>
      </w:r>
      <w:r>
        <w:rPr>
          <w:rFonts w:cs="Times New Roman"/>
        </w:rPr>
        <w:t xml:space="preserve"> searched twice, semantically with MiniLM vectors in FAISS and lexically with BM25, fifteen hits each. The two score lists are fused with weights 0.65 and 0.35 and the fifteen candidates are reranked by the cross-encoder, leaving five records. The safety r</w:t>
      </w:r>
      <w:r>
        <w:rPr>
          <w:rFonts w:cs="Times New Roman"/>
        </w:rPr>
        <w:t>ules inspect the raw text, the generator writes the answer from the five records, a filter removes listed medication phrases, and the result is saved as a consultation row and shown with a banner and evidence cards. Each model has a fallback (TF-IDF vector</w:t>
      </w:r>
      <w:r>
        <w:rPr>
          <w:rFonts w:cs="Times New Roman"/>
        </w:rPr>
        <w:t>s, hybrid order, evidence-based text), so the flow still completes when a model cannot be loaded.</w:t>
      </w:r>
    </w:p>
    <w:p w:rsidR="001C7487" w:rsidRDefault="00727E78">
      <w:pPr>
        <w:pStyle w:val="Heading2"/>
      </w:pPr>
      <w:r>
        <w:lastRenderedPageBreak/>
        <w:t>Data flow diagram, level 0</w:t>
      </w:r>
    </w:p>
    <w:p w:rsidR="001C7487" w:rsidRDefault="00727E78">
      <w:pPr>
        <w:keepNext/>
        <w:spacing w:after="80" w:line="240" w:lineRule="auto"/>
        <w:jc w:val="center"/>
      </w:pPr>
      <w:r>
        <w:rPr>
          <w:noProof/>
        </w:rPr>
        <w:drawing>
          <wp:inline distT="0" distB="0" distL="0" distR="0">
            <wp:extent cx="5303520" cy="3299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299968"/>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SymptoTrackAI with its user and the model hub.</w:t>
      </w:r>
    </w:p>
    <w:p w:rsidR="001C7487" w:rsidRDefault="00727E78">
      <w:r>
        <w:rPr>
          <w:rFonts w:cs="Times New Roman"/>
        </w:rPr>
        <w:t>At level 0 the</w:t>
      </w:r>
      <w:r>
        <w:rPr>
          <w:rFonts w:cs="Times New Roman"/>
        </w:rPr>
        <w:t xml:space="preserve"> whole system is one process. The user sends registration details, credentials, symptom text, history searches and delete requests, and receives the answer, the evidence cards, the safety banner, the stored history and the metrics page. The only external e</w:t>
      </w:r>
      <w:r>
        <w:rPr>
          <w:rFonts w:cs="Times New Roman"/>
        </w:rPr>
        <w:t>ntity besides the user is the Hugging Face Hub, which supplies the embedding, reranker and generator weights on the first run. The knowledge base, the index files and the evaluation metrics are local files and need no external actor. Accounts and consultat</w:t>
      </w:r>
      <w:r>
        <w:rPr>
          <w:rFonts w:cs="Times New Roman"/>
        </w:rPr>
        <w:t>ions are kept in the local SQLite database.</w:t>
      </w:r>
    </w:p>
    <w:p w:rsidR="001C7487" w:rsidRDefault="00727E78">
      <w:pPr>
        <w:pStyle w:val="Heading2"/>
      </w:pPr>
      <w:r>
        <w:lastRenderedPageBreak/>
        <w:t>Data flow diagram, level 1</w:t>
      </w:r>
    </w:p>
    <w:p w:rsidR="001C7487" w:rsidRDefault="00727E78">
      <w:pPr>
        <w:keepNext/>
        <w:spacing w:after="80" w:line="240" w:lineRule="auto"/>
        <w:jc w:val="center"/>
      </w:pPr>
      <w:r>
        <w:rPr>
          <w:noProof/>
        </w:rPr>
        <w:drawing>
          <wp:inline distT="0" distB="0" distL="0" distR="0">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5303520"/>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of SymptoTrackAI: seven processes and four data stores.</w:t>
      </w:r>
    </w:p>
    <w:p w:rsidR="001C7487" w:rsidRDefault="00727E78">
      <w:r>
        <w:rPr>
          <w:rFonts w:cs="Times New Roman"/>
        </w:rPr>
        <w:t>Level 1 splits the system into authentication (1.0), evidence retrieval (2.0), a</w:t>
      </w:r>
      <w:r>
        <w:rPr>
          <w:rFonts w:cs="Times New Roman"/>
        </w:rPr>
        <w:t xml:space="preserve">nswer generation and safety screening (3.0), consultation storage (4.0), history management (5.0), metrics reporting (6.0) and the offline knowledge-base build (7.0). Process 1.0 reads and writes the users table and tells the other private processes which </w:t>
      </w:r>
      <w:r>
        <w:rPr>
          <w:rFonts w:cs="Times New Roman"/>
        </w:rPr>
        <w:t>user the session belongs to. Process 2.0 reads the knowledge base and indexes (D2) and hands five records to 3.0, whose answer goes back to the user and to 4.0, which writes the consultations table (D3). Process 5.0 reads and deletes rows of D3 for the sig</w:t>
      </w:r>
      <w:r>
        <w:rPr>
          <w:rFonts w:cs="Times New Roman"/>
        </w:rPr>
        <w:t>ned-in user only, and 6.0 reads the stored metrics file (D4). Process 7.0 is run by the developer scripts prepare_data.py and build_index.py and only writes D2.</w:t>
      </w:r>
    </w:p>
    <w:p w:rsidR="001C7487" w:rsidRDefault="00727E78">
      <w:pPr>
        <w:pStyle w:val="Heading2"/>
      </w:pPr>
      <w:r>
        <w:lastRenderedPageBreak/>
        <w:t>Data flow diagram, level 2</w:t>
      </w:r>
    </w:p>
    <w:p w:rsidR="001C7487" w:rsidRDefault="00727E78">
      <w:pPr>
        <w:keepNext/>
        <w:spacing w:after="80" w:line="240" w:lineRule="auto"/>
        <w:jc w:val="center"/>
      </w:pPr>
      <w:r>
        <w:rPr>
          <w:noProof/>
        </w:rPr>
        <w:drawing>
          <wp:inline distT="0" distB="0" distL="0" distR="0">
            <wp:extent cx="5303520" cy="36063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606394"/>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of SymptoTrackAI: </w:t>
      </w:r>
      <w:r>
        <w:rPr>
          <w:rFonts w:cs="Times New Roman"/>
        </w:rPr>
        <w:t>expansion of the retrieval, generation and safety processes of Pipeline.answer.</w:t>
      </w:r>
    </w:p>
    <w:p w:rsidR="001C7487" w:rsidRDefault="00727E78">
      <w:r>
        <w:rPr>
          <w:rFonts w:cs="Times New Roman"/>
        </w:rPr>
        <w:t xml:space="preserve">Level 2 follows Pipeline.answer step by step. The query is normalised and extended (2.1), embedded (2.2) and searched in the FAISS index (2.3), while the same combined text is </w:t>
      </w:r>
      <w:r>
        <w:rPr>
          <w:rFonts w:cs="Times New Roman"/>
        </w:rPr>
        <w:t>used as the BM25 query (2.4). The fifteen semantic and fifteen lexical hits are fused with min-max normalised scores (2.5) and the fifteen candidates are rescored by the cross-encoder (2.6), which returns five records with a relative relevance. The generat</w:t>
      </w:r>
      <w:r>
        <w:rPr>
          <w:rFonts w:cs="Times New Roman"/>
        </w:rPr>
        <w:t>or (3.1) writes the answer from those records and the normalised query, and the safety stage (3.2) checks the raw query, filters the answer and prepends the emergency message when needed. The output is one result dictionary that is passed to process 4.0 fo</w:t>
      </w:r>
      <w:r>
        <w:rPr>
          <w:rFonts w:cs="Times New Roman"/>
        </w:rPr>
        <w:t>r storage.</w:t>
      </w:r>
    </w:p>
    <w:p w:rsidR="001C7487" w:rsidRDefault="00727E78">
      <w:pPr>
        <w:pStyle w:val="Heading2"/>
      </w:pPr>
      <w:r>
        <w:lastRenderedPageBreak/>
        <w:t>UML class diagram</w:t>
      </w:r>
    </w:p>
    <w:p w:rsidR="001C7487" w:rsidRDefault="00727E78">
      <w:pPr>
        <w:keepNext/>
        <w:spacing w:after="80" w:line="240" w:lineRule="auto"/>
        <w:jc w:val="center"/>
      </w:pPr>
      <w:r>
        <w:rPr>
          <w:noProof/>
        </w:rPr>
        <w:drawing>
          <wp:inline distT="0" distB="0" distL="0" distR="0">
            <wp:extent cx="5303520" cy="63642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6364224"/>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SymptoTrackAI showing the ORM tables, the request schemas, the API routers and the RAG classes.</w:t>
      </w:r>
    </w:p>
    <w:p w:rsidR="001C7487" w:rsidRDefault="00727E78">
      <w:r>
        <w:rPr>
          <w:rFonts w:cs="Times New Roman"/>
        </w:rPr>
        <w:t xml:space="preserve">The two ORM classes, User and Consultation, map to the SQLite tables and </w:t>
      </w:r>
      <w:r>
        <w:rPr>
          <w:rFonts w:cs="Times New Roman"/>
        </w:rPr>
        <w:t>are linked one to many; the Pydantic schemas validate registration, login and chat requests. The routers in app/routes use SQLAlchemy to read and write those tables, call the auth module for password hashing and JWT tokens, and call get_pipeline().answer()</w:t>
      </w:r>
      <w:r>
        <w:rPr>
          <w:rFonts w:cs="Times New Roman"/>
        </w:rPr>
        <w:t xml:space="preserve"> for every chat request. Pipeline owns one EmbeddingBackend, one FaissStore, one BM25Store, one Reranker and one Generator, and calls the query_expansion, hybrid_retriever and </w:t>
      </w:r>
      <w:r>
        <w:rPr>
          <w:rFonts w:cs="Times New Roman"/>
        </w:rPr>
        <w:lastRenderedPageBreak/>
        <w:t>safety modules, with weights, model names and limits read from Settings. Embeddi</w:t>
      </w:r>
      <w:r>
        <w:rPr>
          <w:rFonts w:cs="Times New Roman"/>
        </w:rPr>
        <w:t>ngBackend, Reranker and Generator each carry a flag or a mode that records whether the model loaded, which is how the fallbacks are chosen.</w:t>
      </w:r>
    </w:p>
    <w:p w:rsidR="001C7487" w:rsidRDefault="00727E78">
      <w:pPr>
        <w:pStyle w:val="Heading2"/>
      </w:pPr>
      <w:r>
        <w:t>Sequence diagram of a consultation</w:t>
      </w:r>
    </w:p>
    <w:p w:rsidR="001C7487" w:rsidRDefault="00727E78">
      <w:pPr>
        <w:keepNext/>
        <w:spacing w:after="80" w:line="240" w:lineRule="auto"/>
        <w:jc w:val="center"/>
      </w:pPr>
      <w:r>
        <w:rPr>
          <w:noProof/>
        </w:rPr>
        <w:drawing>
          <wp:inline distT="0" distB="0" distL="0" distR="0">
            <wp:extent cx="4572000" cy="6126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chat.png"/>
                    <pic:cNvPicPr/>
                  </pic:nvPicPr>
                  <pic:blipFill>
                    <a:blip r:embed="rId14"/>
                    <a:stretch>
                      <a:fillRect/>
                    </a:stretch>
                  </pic:blipFill>
                  <pic:spPr>
                    <a:xfrm>
                      <a:off x="0" y="0"/>
                      <a:ext cx="4572000" cy="6126480"/>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POST /api/chat from the </w:t>
      </w:r>
      <w:r>
        <w:rPr>
          <w:rFonts w:cs="Times New Roman"/>
        </w:rPr>
        <w:t>browser to the saved consultation.</w:t>
      </w:r>
    </w:p>
    <w:p w:rsidR="001C7487" w:rsidRDefault="00727E78">
      <w:r>
        <w:rPr>
          <w:rFonts w:cs="Times New Roman"/>
        </w:rPr>
        <w:t>The browser posts the query with its httponly cookie; the chat router runs the require_user dependency, which decodes the JWT and loads the user row from SQLite and answers 401 when either step fails. After a length check</w:t>
      </w:r>
      <w:r>
        <w:rPr>
          <w:rFonts w:cs="Times New Roman"/>
        </w:rPr>
        <w:t xml:space="preserve"> the router asks the Pipeline for an answer: the Pipeline expands the query, has the embedding backend, FAISS and BM25 return </w:t>
      </w:r>
      <w:r>
        <w:rPr>
          <w:rFonts w:cs="Times New Roman"/>
        </w:rPr>
        <w:lastRenderedPageBreak/>
        <w:t>their hits, fuses them, and asks the Reranker for the top five. It then calls the safety rules on the raw query, the Generator for</w:t>
      </w:r>
      <w:r>
        <w:rPr>
          <w:rFonts w:cs="Times New Roman"/>
        </w:rPr>
        <w:t xml:space="preserve"> the answer and the safety filter for the final text, prepends the emergency message when the flag requires it and returns one result dictionary. The router inserts the consultation row with the evidence as JSON, and the browser receives the answer, eviden</w:t>
      </w:r>
      <w:r>
        <w:rPr>
          <w:rFonts w:cs="Times New Roman"/>
        </w:rPr>
        <w:t>ce, safety flag and consultation id.</w:t>
      </w:r>
    </w:p>
    <w:p w:rsidR="001C7487" w:rsidRDefault="00727E78">
      <w:pPr>
        <w:pStyle w:val="Heading2"/>
      </w:pPr>
      <w:r>
        <w:t>Use-case diagram</w:t>
      </w:r>
    </w:p>
    <w:p w:rsidR="001C7487" w:rsidRDefault="00727E78">
      <w:pPr>
        <w:keepNext/>
        <w:spacing w:after="80" w:line="240" w:lineRule="auto"/>
        <w:jc w:val="center"/>
      </w:pPr>
      <w:r>
        <w:rPr>
          <w:noProof/>
        </w:rPr>
        <w:drawing>
          <wp:inline distT="0" distB="0" distL="0" distR="0">
            <wp:extent cx="4572000" cy="3749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749040"/>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of SymptoTrackAI with the visitor, the registered user and the local models.</w:t>
      </w:r>
    </w:p>
    <w:p w:rsidR="001C7487" w:rsidRDefault="00727E78">
      <w:r>
        <w:rPr>
          <w:rFonts w:cs="Times New Roman"/>
        </w:rPr>
        <w:t>A visitor can open the landing page, register and sign in, using either</w:t>
      </w:r>
      <w:r>
        <w:rPr>
          <w:rFonts w:cs="Times New Roman"/>
        </w:rPr>
        <w:t xml:space="preserve"> an own account or the demo account. A signed-in user can describe symptoms, read the grounded answer with its evidence cards, see the emergency or caution banner, view recent consultations, search the history, open a consultation and delete it. The About </w:t>
      </w:r>
      <w:r>
        <w:rPr>
          <w:rFonts w:cs="Times New Roman"/>
        </w:rPr>
        <w:t>page with the measured metrics and the sign-out and theme controls are also available after sign-in. The local models are a system actor included by the answering use case; every use case from UC4 onward requires a valid session cookie.</w:t>
      </w:r>
    </w:p>
    <w:p w:rsidR="001C7487" w:rsidRDefault="00727E78">
      <w:pPr>
        <w:pStyle w:val="Heading2"/>
      </w:pPr>
      <w:r>
        <w:lastRenderedPageBreak/>
        <w:t>Entity-relationship</w:t>
      </w:r>
      <w:r>
        <w:t xml:space="preserve"> diagram</w:t>
      </w:r>
    </w:p>
    <w:p w:rsidR="001C7487" w:rsidRDefault="00727E78">
      <w:pPr>
        <w:keepNext/>
        <w:spacing w:after="80" w:line="240" w:lineRule="auto"/>
        <w:jc w:val="center"/>
      </w:pPr>
      <w:r>
        <w:rPr>
          <w:noProof/>
        </w:rPr>
        <w:drawing>
          <wp:inline distT="0" distB="0" distL="0" distR="0">
            <wp:extent cx="5303520" cy="3924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3924605"/>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the users and consultations tables and the file-based knowledge base.</w:t>
      </w:r>
    </w:p>
    <w:p w:rsidR="001C7487" w:rsidRDefault="00727E78">
      <w:r>
        <w:rPr>
          <w:rFonts w:cs="Times New Roman"/>
        </w:rPr>
        <w:t>The database has two tables. users stores a unique email and a bcrypt password hash; consultations stores the q</w:t>
      </w:r>
      <w:r>
        <w:rPr>
          <w:rFonts w:cs="Times New Roman"/>
        </w:rPr>
        <w:t>uery, the generated response, the top condition, the retrieved evidence as a JSON text, the retrieval score, the safety flag and a timestamp, and carries a foreign key to users. One user has many consultations and deleting a user cascades to them. The know</w:t>
      </w:r>
      <w:r>
        <w:rPr>
          <w:rFonts w:cs="Times New Roman"/>
        </w:rPr>
        <w:t>ledge base is not in the database: it is a JSON and CSV file of 176 records with ten fields each, indexed into faiss.index, records.json and bm25.json under data/index. Because consultations keep a JSON copy of the five matched records, a stored consultati</w:t>
      </w:r>
      <w:r>
        <w:rPr>
          <w:rFonts w:cs="Times New Roman"/>
        </w:rPr>
        <w:t>on stays readable even if the knowledge base changes.</w:t>
      </w:r>
    </w:p>
    <w:p w:rsidR="001C7487" w:rsidRDefault="00727E78">
      <w:pPr>
        <w:pStyle w:val="Heading2"/>
      </w:pPr>
      <w:r>
        <w:lastRenderedPageBreak/>
        <w:t>Flowchart of the core algorithm</w:t>
      </w:r>
    </w:p>
    <w:p w:rsidR="001C7487" w:rsidRDefault="00727E78">
      <w:pPr>
        <w:keepNext/>
        <w:spacing w:after="80" w:line="240" w:lineRule="auto"/>
        <w:jc w:val="center"/>
      </w:pPr>
      <w:r>
        <w:rPr>
          <w:noProof/>
        </w:rPr>
        <w:drawing>
          <wp:inline distT="0" distB="0" distL="0" distR="0">
            <wp:extent cx="5303520" cy="63642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retrieval.png"/>
                    <pic:cNvPicPr/>
                  </pic:nvPicPr>
                  <pic:blipFill>
                    <a:blip r:embed="rId17"/>
                    <a:stretch>
                      <a:fillRect/>
                    </a:stretch>
                  </pic:blipFill>
                  <pic:spPr>
                    <a:xfrm>
                      <a:off x="0" y="0"/>
                      <a:ext cx="5303520" cy="6364224"/>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hybrid retrieval and reranking algorithm in Pipeline.answer.</w:t>
      </w:r>
    </w:p>
    <w:p w:rsidR="001C7487" w:rsidRDefault="00727E78">
      <w:r>
        <w:rPr>
          <w:rFonts w:cs="Times New Roman"/>
        </w:rPr>
        <w:t>The raw query is lower-cased, split into at most eight</w:t>
      </w:r>
      <w:r>
        <w:rPr>
          <w:rFonts w:cs="Times New Roman"/>
        </w:rPr>
        <w:t xml:space="preserve"> fragments and wrapped in a fixed hypothetical-description sentence to give the combined text. That text is embedded with all-MiniLM-L6-v2 and searched in the flat inner-product FAISS index, and it is also tokenised for BM25; each search returns fifteen re</w:t>
      </w:r>
      <w:r>
        <w:rPr>
          <w:rFonts w:cs="Times New Roman"/>
        </w:rPr>
        <w:t xml:space="preserve">cords. The scores of each list are min-max normalised over the union of hits and mixed as 0.65 times the semantic and 0.35 times the lexical score. The cross-encoder then scores each (query, record) pair, the scores are rescaled to 0 to 1 over the fifteen </w:t>
      </w:r>
      <w:r>
        <w:rPr>
          <w:rFonts w:cs="Times New Roman"/>
        </w:rPr>
        <w:t xml:space="preserve">candidates, and the top five become the evidence </w:t>
      </w:r>
      <w:r>
        <w:rPr>
          <w:rFonts w:cs="Times New Roman"/>
        </w:rPr>
        <w:lastRenderedPageBreak/>
        <w:t>cards. Because of that rescaling the top record always shows a relevance of 1.00, which is why the label is relative and not a probability.</w:t>
      </w:r>
    </w:p>
    <w:p w:rsidR="001C7487" w:rsidRDefault="00727E78">
      <w:pPr>
        <w:pStyle w:val="Heading2"/>
      </w:pPr>
      <w:r>
        <w:t>Safety decision flow</w:t>
      </w:r>
    </w:p>
    <w:p w:rsidR="001C7487" w:rsidRDefault="00727E78">
      <w:pPr>
        <w:keepNext/>
        <w:spacing w:after="80" w:line="240" w:lineRule="auto"/>
        <w:jc w:val="center"/>
      </w:pPr>
      <w:r>
        <w:rPr>
          <w:noProof/>
        </w:rPr>
        <w:drawing>
          <wp:inline distT="0" distB="0" distL="0" distR="0">
            <wp:extent cx="5303520" cy="56217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afety_decision_flow.png"/>
                    <pic:cNvPicPr/>
                  </pic:nvPicPr>
                  <pic:blipFill>
                    <a:blip r:embed="rId18"/>
                    <a:stretch>
                      <a:fillRect/>
                    </a:stretch>
                  </pic:blipFill>
                  <pic:spPr>
                    <a:xfrm>
                      <a:off x="0" y="0"/>
                      <a:ext cx="5303520" cy="5621731"/>
                    </a:xfrm>
                    <a:prstGeom prst="rect">
                      <a:avLst/>
                    </a:prstGeom>
                  </pic:spPr>
                </pic:pic>
              </a:graphicData>
            </a:graphic>
          </wp:inline>
        </w:drawing>
      </w:r>
    </w:p>
    <w:p w:rsidR="001C7487" w:rsidRDefault="00727E7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Decision</w:t>
      </w:r>
      <w:r>
        <w:rPr>
          <w:rFonts w:cs="Times New Roman"/>
        </w:rPr>
        <w:t xml:space="preserve"> flow of the rule-based safety layer and the answer filter.</w:t>
      </w:r>
    </w:p>
    <w:p w:rsidR="001C7487" w:rsidRDefault="00727E78">
      <w:r>
        <w:rPr>
          <w:rFonts w:cs="Times New Roman"/>
        </w:rPr>
        <w:t>The lower-cased query is tested against ten regular-expression rules for emergencies such as severe chest pain, breathing difficulty, severe bleeding, loss of consciousness, stroke-like signs, ana</w:t>
      </w:r>
      <w:r>
        <w:rPr>
          <w:rFonts w:cs="Times New Roman"/>
        </w:rPr>
        <w:t xml:space="preserve">phylaxis, self-harm, sudden neurological symptoms, seizures and severe abdominal pain. A match sets the flag to emergency with the advice of that rule; otherwise six caution keywords set the flag to caution, and anything else is routine with the permanent </w:t>
      </w:r>
      <w:r>
        <w:rPr>
          <w:rFonts w:cs="Times New Roman"/>
        </w:rPr>
        <w:t xml:space="preserve">disclaimer. Independently of the flag, the generated answer passes through a filter that replaces five listed medication phrases, and for an emergency the message is </w:t>
      </w:r>
      <w:r>
        <w:rPr>
          <w:rFonts w:cs="Times New Roman"/>
        </w:rPr>
        <w:lastRenderedPageBreak/>
        <w:t xml:space="preserve">prepended to the answer. The rules match wording, not meaning, so paraphrased emergencies </w:t>
      </w:r>
      <w:r>
        <w:rPr>
          <w:rFonts w:cs="Times New Roman"/>
        </w:rPr>
        <w:t>and negated or historical mentions are not handled correctly, as the measurements in the results chapter show.</w:t>
      </w:r>
    </w:p>
    <w:sectPr w:rsidR="001C7487" w:rsidSect="00034616">
      <w:headerReference w:type="default" r:id="rId19"/>
      <w:footerReference w:type="default" r:id="rId2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27E78">
      <w:pPr>
        <w:spacing w:after="0" w:line="240" w:lineRule="auto"/>
      </w:pPr>
      <w:r>
        <w:separator/>
      </w:r>
    </w:p>
  </w:endnote>
  <w:endnote w:type="continuationSeparator" w:id="0">
    <w:p w:rsidR="00000000" w:rsidRDefault="0072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487" w:rsidRDefault="00727E7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27E78">
      <w:pPr>
        <w:spacing w:after="0" w:line="240" w:lineRule="auto"/>
      </w:pPr>
      <w:r>
        <w:separator/>
      </w:r>
    </w:p>
  </w:footnote>
  <w:footnote w:type="continuationSeparator" w:id="0">
    <w:p w:rsidR="00000000" w:rsidRDefault="00727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487" w:rsidRDefault="00727E78">
    <w:pPr>
      <w:pStyle w:val="Header"/>
      <w:jc w:val="center"/>
    </w:pPr>
    <w:r>
      <w:rPr>
        <w:rFonts w:cs="Times New Roman"/>
        <w:i/>
        <w:color w:val="555555"/>
        <w:sz w:val="20"/>
      </w:rPr>
      <w:t>SymptoTrackAI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487"/>
    <w:rsid w:val="0029639D"/>
    <w:rsid w:val="00326F90"/>
    <w:rsid w:val="00727E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989B124-E757-41FD-9EF5-CCDA84C85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727E78"/>
    <w:pPr>
      <w:spacing w:after="0" w:line="240" w:lineRule="auto"/>
    </w:pPr>
    <w:rPr>
      <w:rFonts w:cs="Times New Roman"/>
      <w:sz w:val="19"/>
    </w:rPr>
  </w:style>
  <w:style w:type="paragraph" w:styleId="TOC2">
    <w:name w:val="toc 2"/>
    <w:basedOn w:val="Normal"/>
    <w:next w:val="Normal"/>
    <w:autoRedefine/>
    <w:uiPriority w:val="39"/>
    <w:semiHidden/>
    <w:unhideWhenUsed/>
    <w:rsid w:val="00727E78"/>
    <w:pPr>
      <w:spacing w:after="0" w:line="240" w:lineRule="auto"/>
      <w:ind w:left="240"/>
    </w:pPr>
    <w:rPr>
      <w:rFonts w:cs="Times New Roman"/>
      <w:sz w:val="19"/>
    </w:rPr>
  </w:style>
  <w:style w:type="paragraph" w:styleId="TableofFigures">
    <w:name w:val="table of figures"/>
    <w:basedOn w:val="Normal"/>
    <w:next w:val="Normal"/>
    <w:uiPriority w:val="99"/>
    <w:semiHidden/>
    <w:unhideWhenUsed/>
    <w:rsid w:val="00727E78"/>
    <w:pPr>
      <w:spacing w:after="0" w:line="240" w:lineRule="auto"/>
    </w:pPr>
    <w:rPr>
      <w:rFonts w:cs="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6BBA79-29A0-4350-8850-754D4D8CB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1727</Words>
  <Characters>9472</Characters>
  <Application>Microsoft Office Word</Application>
  <DocSecurity>0</DocSecurity>
  <Lines>208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2026-10-22T13:16:00Z</dcterms:modified>
  <cp:category/>
</cp:coreProperties>
</file>