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2A98" w:rsidRDefault="00E52A98">
      <w:pPr>
        <w:spacing w:after="480" w:line="240" w:lineRule="auto"/>
      </w:pPr>
      <w:bookmarkStart w:id="0" w:name="_GoBack"/>
      <w:bookmarkEnd w:id="0"/>
    </w:p>
    <w:p w:rsidR="00E52A98" w:rsidRDefault="0035662D">
      <w:pPr>
        <w:jc w:val="center"/>
      </w:pPr>
      <w:r>
        <w:rPr>
          <w:rFonts w:cs="Times New Roman"/>
          <w:b/>
          <w:sz w:val="36"/>
        </w:rPr>
        <w:t>SYMPTOTRACKAI: HYBRID RAG BASED SYMPTOM TRACKING AND HEALTH MONITORING SYSTEM</w:t>
      </w:r>
    </w:p>
    <w:p w:rsidR="00E52A98" w:rsidRDefault="0035662D">
      <w:pPr>
        <w:spacing w:after="280"/>
        <w:jc w:val="center"/>
      </w:pPr>
      <w:r>
        <w:rPr>
          <w:rFonts w:cs="Times New Roman"/>
          <w:b/>
          <w:sz w:val="28"/>
        </w:rPr>
        <w:t>Conclusion, Future Scope and References</w:t>
      </w:r>
    </w:p>
    <w:p w:rsidR="00E52A98" w:rsidRDefault="0035662D">
      <w:pPr>
        <w:spacing w:after="40"/>
        <w:jc w:val="center"/>
      </w:pPr>
      <w:r>
        <w:rPr>
          <w:rFonts w:cs="Times New Roman"/>
        </w:rPr>
        <w:t>Department of Computer Science and Engineering, TKR College of Engineering &amp; Technology</w:t>
      </w:r>
    </w:p>
    <w:p w:rsidR="00E52A98" w:rsidRDefault="0035662D">
      <w:pPr>
        <w:spacing w:after="240"/>
        <w:jc w:val="center"/>
      </w:pPr>
      <w:r>
        <w:rPr>
          <w:rFonts w:cs="Times New Roman"/>
        </w:rPr>
        <w:t xml:space="preserve">Batch C12 (CSE-C)  ·  Academic year [ACADEMIC </w:t>
      </w:r>
      <w:r>
        <w:rPr>
          <w:rFonts w:cs="Times New Roman"/>
        </w:rPr>
        <w:t>YEAR]</w:t>
      </w:r>
    </w:p>
    <w:p w:rsidR="00E52A98" w:rsidRDefault="0035662D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Project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896"/>
        <w:gridCol w:w="2592"/>
      </w:tblGrid>
      <w:tr w:rsidR="00E52A98">
        <w:trPr>
          <w:cantSplit/>
          <w:tblHeader/>
          <w:jc w:val="center"/>
        </w:trPr>
        <w:tc>
          <w:tcPr>
            <w:tcW w:w="1008" w:type="dxa"/>
            <w:shd w:val="clear" w:color="auto" w:fill="1B2A41"/>
          </w:tcPr>
          <w:p w:rsidR="00E52A98" w:rsidRDefault="0035662D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S.No.</w:t>
            </w:r>
          </w:p>
        </w:tc>
        <w:tc>
          <w:tcPr>
            <w:tcW w:w="4896" w:type="dxa"/>
            <w:shd w:val="clear" w:color="auto" w:fill="1B2A41"/>
          </w:tcPr>
          <w:p w:rsidR="00E52A98" w:rsidRDefault="0035662D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Student name</w:t>
            </w:r>
          </w:p>
        </w:tc>
        <w:tc>
          <w:tcPr>
            <w:tcW w:w="2592" w:type="dxa"/>
            <w:shd w:val="clear" w:color="auto" w:fill="1B2A41"/>
          </w:tcPr>
          <w:p w:rsidR="00E52A98" w:rsidRDefault="0035662D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Roll number</w:t>
            </w:r>
          </w:p>
        </w:tc>
      </w:tr>
      <w:tr w:rsidR="00E52A98">
        <w:trPr>
          <w:cantSplit/>
          <w:jc w:val="center"/>
        </w:trPr>
        <w:tc>
          <w:tcPr>
            <w:tcW w:w="1008" w:type="dxa"/>
          </w:tcPr>
          <w:p w:rsidR="00E52A98" w:rsidRDefault="0035662D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4896" w:type="dxa"/>
          </w:tcPr>
          <w:p w:rsidR="00E52A98" w:rsidRDefault="0035662D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Mariyada Karthika Reddy</w:t>
            </w:r>
          </w:p>
        </w:tc>
        <w:tc>
          <w:tcPr>
            <w:tcW w:w="2592" w:type="dxa"/>
          </w:tcPr>
          <w:p w:rsidR="00E52A98" w:rsidRDefault="0035662D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23K91A05E9</w:t>
            </w:r>
          </w:p>
        </w:tc>
      </w:tr>
      <w:tr w:rsidR="00E52A98">
        <w:trPr>
          <w:cantSplit/>
          <w:jc w:val="center"/>
        </w:trPr>
        <w:tc>
          <w:tcPr>
            <w:tcW w:w="1008" w:type="dxa"/>
          </w:tcPr>
          <w:p w:rsidR="00E52A98" w:rsidRDefault="0035662D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4896" w:type="dxa"/>
          </w:tcPr>
          <w:p w:rsidR="00E52A98" w:rsidRDefault="0035662D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Nacharam Akshaya</w:t>
            </w:r>
          </w:p>
        </w:tc>
        <w:tc>
          <w:tcPr>
            <w:tcW w:w="2592" w:type="dxa"/>
          </w:tcPr>
          <w:p w:rsidR="00E52A98" w:rsidRDefault="0035662D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23K91A05G6</w:t>
            </w:r>
          </w:p>
        </w:tc>
      </w:tr>
      <w:tr w:rsidR="00E52A98">
        <w:trPr>
          <w:cantSplit/>
          <w:jc w:val="center"/>
        </w:trPr>
        <w:tc>
          <w:tcPr>
            <w:tcW w:w="1008" w:type="dxa"/>
          </w:tcPr>
          <w:p w:rsidR="00E52A98" w:rsidRDefault="0035662D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4896" w:type="dxa"/>
          </w:tcPr>
          <w:p w:rsidR="00E52A98" w:rsidRDefault="0035662D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Madoori Prabath Teja</w:t>
            </w:r>
          </w:p>
        </w:tc>
        <w:tc>
          <w:tcPr>
            <w:tcW w:w="2592" w:type="dxa"/>
          </w:tcPr>
          <w:p w:rsidR="00E52A98" w:rsidRDefault="0035662D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23K91A05D6</w:t>
            </w:r>
          </w:p>
        </w:tc>
      </w:tr>
      <w:tr w:rsidR="00E52A98">
        <w:trPr>
          <w:cantSplit/>
          <w:jc w:val="center"/>
        </w:trPr>
        <w:tc>
          <w:tcPr>
            <w:tcW w:w="1008" w:type="dxa"/>
          </w:tcPr>
          <w:p w:rsidR="00E52A98" w:rsidRDefault="0035662D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4896" w:type="dxa"/>
          </w:tcPr>
          <w:p w:rsidR="00E52A98" w:rsidRDefault="0035662D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Pulimadhi Keerthan</w:t>
            </w:r>
          </w:p>
        </w:tc>
        <w:tc>
          <w:tcPr>
            <w:tcW w:w="2592" w:type="dxa"/>
          </w:tcPr>
          <w:p w:rsidR="00E52A98" w:rsidRDefault="0035662D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23K91A05K1</w:t>
            </w:r>
          </w:p>
        </w:tc>
      </w:tr>
    </w:tbl>
    <w:p w:rsidR="00E52A98" w:rsidRDefault="00E52A98">
      <w:pPr>
        <w:spacing w:line="192" w:lineRule="auto"/>
      </w:pPr>
    </w:p>
    <w:p w:rsidR="00E52A98" w:rsidRDefault="0035662D">
      <w:pPr>
        <w:spacing w:after="200"/>
        <w:jc w:val="center"/>
      </w:pPr>
      <w:r>
        <w:rPr>
          <w:rFonts w:cs="Times New Roman"/>
          <w:b/>
        </w:rPr>
        <w:t>Project guide:</w:t>
      </w:r>
      <w:r>
        <w:rPr>
          <w:rFonts w:cs="Times New Roman"/>
        </w:rPr>
        <w:t xml:space="preserve"> Dr. Ch. B. Naga Lakshmi</w:t>
      </w:r>
    </w:p>
    <w:p w:rsidR="00E52A98" w:rsidRDefault="0035662D">
      <w:r>
        <w:rPr>
          <w:rFonts w:cs="Times New Roman"/>
          <w:i/>
          <w:sz w:val="21"/>
        </w:rPr>
        <w:t>Chapter and section numbers quoted in the text (for example Chapter 8 or Section 6.2) refer to the full project report, 17.Final Document. Figures and tables in this document are numbered from 1.</w:t>
      </w:r>
    </w:p>
    <w:p w:rsidR="00E52A98" w:rsidRDefault="0035662D">
      <w:pPr>
        <w:pStyle w:val="Heading1"/>
      </w:pPr>
      <w:r>
        <w:t>1. CONCLUSION</w:t>
      </w:r>
    </w:p>
    <w:p w:rsidR="00E52A98" w:rsidRDefault="0035662D">
      <w:pPr>
        <w:pStyle w:val="Heading2"/>
      </w:pPr>
      <w:r>
        <w:t>1.1 Summary</w:t>
      </w:r>
    </w:p>
    <w:p w:rsidR="00E52A98" w:rsidRDefault="0035662D">
      <w:r>
        <w:rPr>
          <w:rFonts w:cs="Times New Roman"/>
        </w:rPr>
        <w:t>SymptoTrackAI, implemented as the CareLens AI web application, lets a user describe symptoms in everyday language and returns grounded information about matching conditions. A FastAPI service normalises the text, expands it with a template, searches a 176-</w:t>
      </w:r>
      <w:r>
        <w:rPr>
          <w:rFonts w:cs="Times New Roman"/>
        </w:rPr>
        <w:t xml:space="preserve">record knowledge base with FAISS and BM25, fuses the scores, reranks with a cross-encoder, builds an answer from the retrieved records, applies safety rules and stores the consultation in a private history. A React interface shows the answer, the evidence </w:t>
      </w:r>
      <w:r>
        <w:rPr>
          <w:rFonts w:cs="Times New Roman"/>
        </w:rPr>
        <w:t>cards, the safety banners and the history. The whole system runs on one CPU-only PC.</w:t>
      </w:r>
    </w:p>
    <w:p w:rsidR="00E52A98" w:rsidRDefault="0035662D">
      <w:pPr>
        <w:pStyle w:val="Heading2"/>
      </w:pPr>
      <w:r>
        <w:lastRenderedPageBreak/>
        <w:t>1.2 Objectives achieved and key findings</w:t>
      </w:r>
    </w:p>
    <w:p w:rsidR="00E52A98" w:rsidRDefault="0035662D">
      <w:r>
        <w:rPr>
          <w:rFonts w:cs="Times New Roman"/>
        </w:rPr>
        <w:t xml:space="preserve">Of the six objectives two are achieved, two are achieved with a stated qualification, one is partly met and one is not met beyond </w:t>
      </w:r>
      <w:r>
        <w:rPr>
          <w:rFonts w:cs="Times New Roman"/>
        </w:rPr>
        <w:t>storage.</w:t>
      </w:r>
    </w:p>
    <w:p w:rsidR="00E52A98" w:rsidRDefault="0035662D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Objectives against outcomes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4"/>
        <w:gridCol w:w="2404"/>
        <w:gridCol w:w="5904"/>
      </w:tblGrid>
      <w:tr w:rsidR="00E52A98">
        <w:trPr>
          <w:cantSplit/>
          <w:tblHeader/>
          <w:jc w:val="center"/>
        </w:trPr>
        <w:tc>
          <w:tcPr>
            <w:tcW w:w="576" w:type="dxa"/>
            <w:shd w:val="clear" w:color="auto" w:fill="1B2A41"/>
          </w:tcPr>
          <w:p w:rsidR="00E52A98" w:rsidRDefault="0035662D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No.</w:t>
            </w:r>
          </w:p>
        </w:tc>
        <w:tc>
          <w:tcPr>
            <w:tcW w:w="2448" w:type="dxa"/>
            <w:shd w:val="clear" w:color="auto" w:fill="1B2A41"/>
          </w:tcPr>
          <w:p w:rsidR="00E52A98" w:rsidRDefault="0035662D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Status</w:t>
            </w:r>
          </w:p>
        </w:tc>
        <w:tc>
          <w:tcPr>
            <w:tcW w:w="6048" w:type="dxa"/>
            <w:shd w:val="clear" w:color="auto" w:fill="1B2A41"/>
          </w:tcPr>
          <w:p w:rsidR="00E52A98" w:rsidRDefault="0035662D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Outcome</w:t>
            </w:r>
          </w:p>
        </w:tc>
      </w:tr>
      <w:tr w:rsidR="00E52A98">
        <w:trPr>
          <w:cantSplit/>
          <w:jc w:val="center"/>
        </w:trPr>
        <w:tc>
          <w:tcPr>
            <w:tcW w:w="576" w:type="dxa"/>
          </w:tcPr>
          <w:p w:rsidR="00E52A98" w:rsidRDefault="0035662D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1</w:t>
            </w:r>
          </w:p>
        </w:tc>
        <w:tc>
          <w:tcPr>
            <w:tcW w:w="2448" w:type="dxa"/>
          </w:tcPr>
          <w:p w:rsidR="00E52A98" w:rsidRDefault="0035662D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Achieved (synthetic data)</w:t>
            </w:r>
          </w:p>
        </w:tc>
        <w:tc>
          <w:tcPr>
            <w:tcW w:w="6048" w:type="dxa"/>
          </w:tcPr>
          <w:p w:rsidR="00E52A98" w:rsidRDefault="0035662D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176 records, 30 conditions, FAISS and BM25 indexes</w:t>
            </w:r>
          </w:p>
        </w:tc>
      </w:tr>
      <w:tr w:rsidR="00E52A98">
        <w:trPr>
          <w:cantSplit/>
          <w:jc w:val="center"/>
        </w:trPr>
        <w:tc>
          <w:tcPr>
            <w:tcW w:w="576" w:type="dxa"/>
          </w:tcPr>
          <w:p w:rsidR="00E52A98" w:rsidRDefault="0035662D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2</w:t>
            </w:r>
          </w:p>
        </w:tc>
        <w:tc>
          <w:tcPr>
            <w:tcW w:w="2448" w:type="dxa"/>
          </w:tcPr>
          <w:p w:rsidR="00E52A98" w:rsidRDefault="0035662D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Achieved</w:t>
            </w:r>
          </w:p>
        </w:tc>
        <w:tc>
          <w:tcPr>
            <w:tcW w:w="6048" w:type="dxa"/>
          </w:tcPr>
          <w:p w:rsidR="00E52A98" w:rsidRDefault="0035662D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Free-text input with a rule-based expansion that gave no measurable benefit</w:t>
            </w:r>
          </w:p>
        </w:tc>
      </w:tr>
      <w:tr w:rsidR="00E52A98">
        <w:trPr>
          <w:cantSplit/>
          <w:jc w:val="center"/>
        </w:trPr>
        <w:tc>
          <w:tcPr>
            <w:tcW w:w="576" w:type="dxa"/>
          </w:tcPr>
          <w:p w:rsidR="00E52A98" w:rsidRDefault="0035662D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</w:t>
            </w:r>
          </w:p>
        </w:tc>
        <w:tc>
          <w:tcPr>
            <w:tcW w:w="2448" w:type="dxa"/>
          </w:tcPr>
          <w:p w:rsidR="00E52A98" w:rsidRDefault="0035662D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Achieved, measured</w:t>
            </w:r>
          </w:p>
        </w:tc>
        <w:tc>
          <w:tcPr>
            <w:tcW w:w="6048" w:type="dxa"/>
          </w:tcPr>
          <w:p w:rsidR="00E52A98" w:rsidRDefault="0035662D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Top-1 96.7% on lay probes, 88.1% on two-symptom queries</w:t>
            </w:r>
          </w:p>
        </w:tc>
      </w:tr>
      <w:tr w:rsidR="00E52A98">
        <w:trPr>
          <w:cantSplit/>
          <w:jc w:val="center"/>
        </w:trPr>
        <w:tc>
          <w:tcPr>
            <w:tcW w:w="576" w:type="dxa"/>
          </w:tcPr>
          <w:p w:rsidR="00E52A98" w:rsidRDefault="0035662D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4</w:t>
            </w:r>
          </w:p>
        </w:tc>
        <w:tc>
          <w:tcPr>
            <w:tcW w:w="2448" w:type="dxa"/>
          </w:tcPr>
          <w:p w:rsidR="00E52A98" w:rsidRDefault="0035662D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Partly</w:t>
            </w:r>
          </w:p>
        </w:tc>
        <w:tc>
          <w:tcPr>
            <w:tcW w:w="6048" w:type="dxa"/>
          </w:tcPr>
          <w:p w:rsidR="00E52A98" w:rsidRDefault="0035662D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Answers built from retrieved records with evidence cards; no per-statement citation; generator echo</w:t>
            </w:r>
          </w:p>
        </w:tc>
      </w:tr>
      <w:tr w:rsidR="00E52A98">
        <w:trPr>
          <w:cantSplit/>
          <w:jc w:val="center"/>
        </w:trPr>
        <w:tc>
          <w:tcPr>
            <w:tcW w:w="576" w:type="dxa"/>
          </w:tcPr>
          <w:p w:rsidR="00E52A98" w:rsidRDefault="0035662D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5</w:t>
            </w:r>
          </w:p>
        </w:tc>
        <w:tc>
          <w:tcPr>
            <w:tcW w:w="2448" w:type="dxa"/>
          </w:tcPr>
          <w:p w:rsidR="00E52A98" w:rsidRDefault="0035662D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Not achieved beyond storage</w:t>
            </w:r>
          </w:p>
        </w:tc>
        <w:tc>
          <w:tcPr>
            <w:tcW w:w="6048" w:type="dxa"/>
          </w:tcPr>
          <w:p w:rsidR="00E52A98" w:rsidRDefault="0035662D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History saved, searched and deleted;</w:t>
            </w:r>
            <w:r>
              <w:rPr>
                <w:rFonts w:cs="Times New Roman"/>
                <w:sz w:val="19"/>
              </w:rPr>
              <w:t xml:space="preserve"> no trends</w:t>
            </w:r>
          </w:p>
        </w:tc>
      </w:tr>
      <w:tr w:rsidR="00E52A98">
        <w:trPr>
          <w:cantSplit/>
          <w:jc w:val="center"/>
        </w:trPr>
        <w:tc>
          <w:tcPr>
            <w:tcW w:w="576" w:type="dxa"/>
          </w:tcPr>
          <w:p w:rsidR="00E52A98" w:rsidRDefault="0035662D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6</w:t>
            </w:r>
          </w:p>
        </w:tc>
        <w:tc>
          <w:tcPr>
            <w:tcW w:w="2448" w:type="dxa"/>
          </w:tcPr>
          <w:p w:rsidR="00E52A98" w:rsidRDefault="0035662D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Partly</w:t>
            </w:r>
          </w:p>
        </w:tc>
        <w:tc>
          <w:tcPr>
            <w:tcW w:w="6048" w:type="dxa"/>
          </w:tcPr>
          <w:p w:rsidR="00E52A98" w:rsidRDefault="0035662D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Retrieval and speed measured; groundedness checked structurally only</w:t>
            </w:r>
          </w:p>
        </w:tc>
      </w:tr>
    </w:tbl>
    <w:p w:rsidR="00E52A98" w:rsidRDefault="00E52A98">
      <w:pPr>
        <w:spacing w:line="192" w:lineRule="auto"/>
      </w:pPr>
    </w:p>
    <w:p w:rsidR="00E52A98" w:rsidRDefault="0035662D">
      <w:pPr>
        <w:spacing w:after="60"/>
        <w:ind w:left="720" w:hanging="360"/>
      </w:pPr>
      <w:r>
        <w:rPr>
          <w:rFonts w:cs="Times New Roman"/>
        </w:rPr>
        <w:t xml:space="preserve">•  The retrieval half works: 97.2% top-1 on verbatim leave-one-out, 96.7% on lay-language probes. The shipped 100% is an upper bound because the held-out record </w:t>
      </w:r>
      <w:r>
        <w:rPr>
          <w:rFonts w:cs="Times New Roman"/>
        </w:rPr>
        <w:t>stays in the index.</w:t>
      </w:r>
    </w:p>
    <w:p w:rsidR="00E52A98" w:rsidRDefault="0035662D">
      <w:pPr>
        <w:spacing w:after="60"/>
        <w:ind w:left="720" w:hanging="360"/>
      </w:pPr>
      <w:r>
        <w:rPr>
          <w:rFonts w:cs="Times New Roman"/>
        </w:rPr>
        <w:t>•  BM25 alone is a strong baseline on this synthetic data (88.3% on lay probes); the cross-encoder adds a little on paraphrase; the HyDE-style template adds nothing measurable.</w:t>
      </w:r>
    </w:p>
    <w:p w:rsidR="00E52A98" w:rsidRDefault="0035662D">
      <w:pPr>
        <w:spacing w:after="60"/>
        <w:ind w:left="720" w:hanging="360"/>
      </w:pPr>
      <w:r>
        <w:rPr>
          <w:rFonts w:cs="Times New Roman"/>
        </w:rPr>
        <w:t>•  Three defects matter for a health tool: the default gene</w:t>
      </w:r>
      <w:r>
        <w:rPr>
          <w:rFonts w:cs="Times New Roman"/>
        </w:rPr>
        <w:t>rator echoes its prompt (30 of 30), the relevance display says 100% even when nothing in the knowledge base matches, and the safety rules missed all 12 paraphrased emergencies.</w:t>
      </w:r>
    </w:p>
    <w:p w:rsidR="00E52A98" w:rsidRDefault="0035662D">
      <w:pPr>
        <w:spacing w:after="60"/>
        <w:ind w:left="720" w:hanging="360"/>
      </w:pPr>
      <w:r>
        <w:rPr>
          <w:rFonts w:cs="Times New Roman"/>
        </w:rPr>
        <w:t>•  Against the base paper [1], which reports no figures, this project adds BM25</w:t>
      </w:r>
      <w:r>
        <w:rPr>
          <w:rFonts w:cs="Times New Roman"/>
        </w:rPr>
        <w:t xml:space="preserve"> fusion, reranking, safety rules, an application with private history and a measurement; neither work is validated on real clinical data.</w:t>
      </w:r>
    </w:p>
    <w:p w:rsidR="00E52A98" w:rsidRDefault="0035662D">
      <w:r>
        <w:rPr>
          <w:rFonts w:cs="Times New Roman"/>
        </w:rPr>
        <w:t>The most useful result of the evaluation is a negative one about the original evaluation. The shipped script reports 1</w:t>
      </w:r>
      <w:r>
        <w:rPr>
          <w:rFonts w:cs="Times New Roman"/>
        </w:rPr>
        <w:t>00% because it searches for records that are still in the index with their own symptom list as the query. Once the held-out record is removed the pipeline scores 96.7% on the same queries; with two random symptoms it scores 88.1%, and a team of four people</w:t>
      </w:r>
      <w:r>
        <w:rPr>
          <w:rFonts w:cs="Times New Roman"/>
        </w:rPr>
        <w:t xml:space="preserve"> writing everyday descriptions got 96.7%. None of these is a clinical accuracy, because the data are synthetic, but they are honest measures of how robust the retrieval is as queries move away from the stored text.</w:t>
      </w:r>
    </w:p>
    <w:p w:rsidR="00E52A98" w:rsidRDefault="0035662D">
      <w:r>
        <w:rPr>
          <w:rFonts w:cs="Times New Roman"/>
        </w:rPr>
        <w:t>The ablation also shows where effort pays</w:t>
      </w:r>
      <w:r>
        <w:rPr>
          <w:rFonts w:cs="Times New Roman"/>
        </w:rPr>
        <w:t xml:space="preserve">. The cross-encoder and the embedding model help on paraphrased input, and the TF-IDF fallback keeps the application usable offline </w:t>
      </w:r>
      <w:r>
        <w:rPr>
          <w:rFonts w:cs="Times New Roman"/>
        </w:rPr>
        <w:lastRenderedPageBreak/>
        <w:t>(81.7% on lay probes). The HyDE-style template, which the project description lists as a core component, did not improve any</w:t>
      </w:r>
      <w:r>
        <w:rPr>
          <w:rFonts w:cs="Times New Roman"/>
        </w:rPr>
        <w:t xml:space="preserve"> set. We kept it in the shipped pipeline and report the result as measured.</w:t>
      </w:r>
    </w:p>
    <w:p w:rsidR="00E52A98" w:rsidRDefault="0035662D">
      <w:pPr>
        <w:pStyle w:val="Heading2"/>
      </w:pPr>
      <w:r>
        <w:t>1.3 Applications and known limitations</w:t>
      </w:r>
    </w:p>
    <w:p w:rsidR="00E52A98" w:rsidRDefault="0035662D">
      <w:r>
        <w:rPr>
          <w:rFonts w:cs="Times New Roman"/>
        </w:rPr>
        <w:t>Applications: a teaching example of a hybrid RAG pipeline with its failure modes visible, a private first-look tool for symptom information o</w:t>
      </w:r>
      <w:r>
        <w:rPr>
          <w:rFonts w:cs="Times New Roman"/>
        </w:rPr>
        <w:t>nce the knowledge base is replaced by reviewed content, and a base for a symptom-tracking product. Limitations: synthetic knowledge base, near-duplicate evidence, a relative relevance score, a wording-bound safety layer, no symptom trends, no user study. I</w:t>
      </w:r>
      <w:r>
        <w:rPr>
          <w:rFonts w:cs="Times New Roman"/>
        </w:rPr>
        <w:t>t is a prototype and must not be used for medical decisions.</w:t>
      </w:r>
    </w:p>
    <w:p w:rsidR="00E52A98" w:rsidRDefault="0035662D">
      <w:pPr>
        <w:pStyle w:val="Heading2"/>
      </w:pPr>
      <w:r>
        <w:t>1.4 What the project taught us</w:t>
      </w:r>
    </w:p>
    <w:p w:rsidR="00E52A98" w:rsidRDefault="0035662D">
      <w:pPr>
        <w:spacing w:after="60"/>
        <w:ind w:left="720" w:hanging="360"/>
      </w:pPr>
      <w:r>
        <w:rPr>
          <w:rFonts w:cs="Times New Roman"/>
        </w:rPr>
        <w:t xml:space="preserve">•  A health assistant needs its failure modes measured before its accuracy: the missed paraphrased emergencies and the constant 100% matter more than another point </w:t>
      </w:r>
      <w:r>
        <w:rPr>
          <w:rFonts w:cs="Times New Roman"/>
        </w:rPr>
        <w:t>of top-1.</w:t>
      </w:r>
    </w:p>
    <w:p w:rsidR="00E52A98" w:rsidRDefault="0035662D">
      <w:pPr>
        <w:spacing w:after="60"/>
        <w:ind w:left="720" w:hanging="360"/>
      </w:pPr>
      <w:r>
        <w:rPr>
          <w:rFonts w:cs="Times New Roman"/>
        </w:rPr>
        <w:t>•  A pipeline with fallbacks can fail quietly: the echoing generator was reported as a success by the code, so a check on the output (not only on exceptions) is needed.</w:t>
      </w:r>
    </w:p>
    <w:p w:rsidR="00E52A98" w:rsidRDefault="0035662D">
      <w:pPr>
        <w:spacing w:after="60"/>
        <w:ind w:left="720" w:hanging="360"/>
      </w:pPr>
      <w:r>
        <w:rPr>
          <w:rFonts w:cs="Times New Roman"/>
        </w:rPr>
        <w:t>•  A good-looking number needs its protocol read: the shipped 100% was correc</w:t>
      </w:r>
      <w:r>
        <w:rPr>
          <w:rFonts w:cs="Times New Roman"/>
        </w:rPr>
        <w:t>t arithmetic on a test that could not fail.</w:t>
      </w:r>
    </w:p>
    <w:p w:rsidR="00E52A98" w:rsidRDefault="0035662D">
      <w:pPr>
        <w:spacing w:after="60"/>
        <w:ind w:left="720" w:hanging="360"/>
      </w:pPr>
      <w:r>
        <w:rPr>
          <w:rFonts w:cs="Times New Roman"/>
        </w:rPr>
        <w:t>•  Strong, simple baselines (BM25) are worth keeping in the comparison; they show which complexity pays for itself.</w:t>
      </w:r>
    </w:p>
    <w:p w:rsidR="00E52A98" w:rsidRDefault="0035662D">
      <w:r>
        <w:rPr>
          <w:rFonts w:cs="Times New Roman"/>
        </w:rPr>
        <w:t>The results behind the key findings are shown below: how each retrieval configuration performs o</w:t>
      </w:r>
      <w:r>
        <w:rPr>
          <w:rFonts w:cs="Times New Roman"/>
        </w:rPr>
        <w:t>n the three harder query sets, and the evaluation protocol that produced the shipped 100% figure compared with leave-one-out and everyday-language queries.</w:t>
      </w:r>
    </w:p>
    <w:p w:rsidR="00E52A98" w:rsidRDefault="0035662D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120640" cy="2884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2_abla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A98" w:rsidRDefault="0035662D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: Top-1 condition accuracy of each retrieval configuration on </w:t>
      </w:r>
      <w:r>
        <w:rPr>
          <w:rFonts w:cs="Times New Roman"/>
        </w:rPr>
        <w:t>verbatim, two-symptom and everyday-language queries.</w:t>
      </w:r>
    </w:p>
    <w:p w:rsidR="00E52A98" w:rsidRDefault="0035662D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4754880" cy="29272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3_protocol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2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A98" w:rsidRDefault="0035662D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The shipped configuration under four evaluation protocols: the held-out record left in the index gives 100%, harder queries give less.</w:t>
      </w:r>
    </w:p>
    <w:p w:rsidR="00E52A98" w:rsidRDefault="0035662D">
      <w:pPr>
        <w:pStyle w:val="Heading1"/>
        <w:pageBreakBefore/>
      </w:pPr>
      <w:r>
        <w:lastRenderedPageBreak/>
        <w:t>2. FUTURE SCOPE</w:t>
      </w:r>
    </w:p>
    <w:p w:rsidR="00E52A98" w:rsidRDefault="0035662D">
      <w:r>
        <w:rPr>
          <w:rFonts w:cs="Times New Roman"/>
        </w:rPr>
        <w:t>The future work</w:t>
      </w:r>
      <w:r>
        <w:rPr>
          <w:rFonts w:cs="Times New Roman"/>
        </w:rPr>
        <w:t xml:space="preserve"> below follows directly from the measured weaknesses: first repair what exists, then add what the objectives promised and the base paper's gap statement called for, then prepare for real use, and finally evaluate with people.</w:t>
      </w:r>
    </w:p>
    <w:p w:rsidR="00E52A98" w:rsidRDefault="0035662D">
      <w:pPr>
        <w:pStyle w:val="Heading2"/>
      </w:pPr>
      <w:r>
        <w:t>2.1 Improvements to what exist</w:t>
      </w:r>
      <w:r>
        <w:t>s</w:t>
      </w:r>
    </w:p>
    <w:p w:rsidR="00E52A98" w:rsidRDefault="0035662D">
      <w:pPr>
        <w:spacing w:after="60"/>
        <w:ind w:left="720" w:hanging="432"/>
      </w:pPr>
      <w:r>
        <w:rPr>
          <w:rFonts w:cs="Times New Roman"/>
        </w:rPr>
        <w:t xml:space="preserve">1.  </w:t>
      </w:r>
      <w:r>
        <w:rPr>
          <w:rFonts w:cs="Times New Roman"/>
          <w:b/>
        </w:rPr>
        <w:t>Repair generation.</w:t>
      </w:r>
      <w:r>
        <w:rPr>
          <w:rFonts w:cs="Times New Roman"/>
        </w:rPr>
        <w:t xml:space="preserve"> Load the T5 model with the sequence-to-sequence classes directly, or pin </w:t>
      </w:r>
      <w:r>
        <w:rPr>
          <w:rFonts w:ascii="Consolas" w:eastAsia="Consolas" w:hAnsi="Consolas" w:cs="Consolas"/>
          <w:sz w:val="21"/>
        </w:rPr>
        <w:t>transformers</w:t>
      </w:r>
      <w:r>
        <w:rPr>
          <w:rFonts w:cs="Times New Roman"/>
        </w:rPr>
        <w:t xml:space="preserve"> below version 5, and detect an echoed prompt (output equal to input) so the fallback is used; then judge the generated answers.</w:t>
      </w:r>
    </w:p>
    <w:p w:rsidR="00E52A98" w:rsidRDefault="0035662D">
      <w:pPr>
        <w:spacing w:after="60"/>
        <w:ind w:left="720" w:hanging="432"/>
      </w:pPr>
      <w:r>
        <w:rPr>
          <w:rFonts w:cs="Times New Roman"/>
        </w:rPr>
        <w:t xml:space="preserve">2.  </w:t>
      </w:r>
      <w:r>
        <w:rPr>
          <w:rFonts w:cs="Times New Roman"/>
          <w:b/>
        </w:rPr>
        <w:t>Show absolute</w:t>
      </w:r>
      <w:r>
        <w:rPr>
          <w:rFonts w:cs="Times New Roman"/>
          <w:b/>
        </w:rPr>
        <w:t xml:space="preserve"> confidence.</w:t>
      </w:r>
      <w:r>
        <w:rPr>
          <w:rFonts w:cs="Times New Roman"/>
        </w:rPr>
        <w:t xml:space="preserve"> Use the raw cross-encoder score or a calibrated version, add an abstain threshold and say "no good match" for out-of-knowledge-base complaints; the raw score already separates the groups in our probes.</w:t>
      </w:r>
    </w:p>
    <w:p w:rsidR="00E52A98" w:rsidRDefault="0035662D">
      <w:pPr>
        <w:spacing w:after="60"/>
        <w:ind w:left="720" w:hanging="432"/>
      </w:pPr>
      <w:r>
        <w:rPr>
          <w:rFonts w:cs="Times New Roman"/>
        </w:rPr>
        <w:t xml:space="preserve">3.  </w:t>
      </w:r>
      <w:r>
        <w:rPr>
          <w:rFonts w:cs="Times New Roman"/>
          <w:b/>
        </w:rPr>
        <w:t>Diversify evidence.</w:t>
      </w:r>
      <w:r>
        <w:rPr>
          <w:rFonts w:cs="Times New Roman"/>
        </w:rPr>
        <w:t xml:space="preserve"> Collapse records </w:t>
      </w:r>
      <w:r>
        <w:rPr>
          <w:rFonts w:cs="Times New Roman"/>
        </w:rPr>
        <w:t>of the same condition so the five cards show different conditions, giving a real differential.</w:t>
      </w:r>
    </w:p>
    <w:p w:rsidR="00E52A98" w:rsidRDefault="0035662D">
      <w:pPr>
        <w:spacing w:after="60"/>
        <w:ind w:left="720" w:hanging="432"/>
      </w:pPr>
      <w:r>
        <w:rPr>
          <w:rFonts w:cs="Times New Roman"/>
        </w:rPr>
        <w:t xml:space="preserve">4.  </w:t>
      </w:r>
      <w:r>
        <w:rPr>
          <w:rFonts w:cs="Times New Roman"/>
          <w:b/>
        </w:rPr>
        <w:t>Make the safety layer meaning-aware.</w:t>
      </w:r>
      <w:r>
        <w:rPr>
          <w:rFonts w:cs="Times New Roman"/>
        </w:rPr>
        <w:t xml:space="preserve"> Add negation and history handling, many more paraphrases, a small classifier trained on reviewed examples, and a test se</w:t>
      </w:r>
      <w:r>
        <w:rPr>
          <w:rFonts w:cs="Times New Roman"/>
        </w:rPr>
        <w:t>t written with clinicians; fix the case-sensitive filter and extend it to drug names.</w:t>
      </w:r>
    </w:p>
    <w:p w:rsidR="00E52A98" w:rsidRDefault="0035662D">
      <w:pPr>
        <w:spacing w:after="60"/>
        <w:ind w:left="720" w:hanging="432"/>
      </w:pPr>
      <w:r>
        <w:rPr>
          <w:rFonts w:cs="Times New Roman"/>
        </w:rPr>
        <w:t xml:space="preserve">5.  </w:t>
      </w:r>
      <w:r>
        <w:rPr>
          <w:rFonts w:cs="Times New Roman"/>
          <w:b/>
        </w:rPr>
        <w:t>Per-statement citations.</w:t>
      </w:r>
      <w:r>
        <w:rPr>
          <w:rFonts w:cs="Times New Roman"/>
        </w:rPr>
        <w:t xml:space="preserve"> Number each statement with its record id so objective 4 is met literally.</w:t>
      </w:r>
    </w:p>
    <w:p w:rsidR="00E52A98" w:rsidRDefault="0035662D">
      <w:r>
        <w:rPr>
          <w:rFonts w:cs="Times New Roman"/>
        </w:rPr>
        <w:t>These five items are small in code but large in effect. Repairing g</w:t>
      </w:r>
      <w:r>
        <w:rPr>
          <w:rFonts w:cs="Times New Roman"/>
        </w:rPr>
        <w:t xml:space="preserve">eneration and the uncertainty display would change what a user sees on every screen, and a meaning-aware safety layer is the precondition for any real use. Each can be checked with the harness already in the repository by re-running </w:t>
      </w:r>
      <w:r>
        <w:rPr>
          <w:rFonts w:ascii="Consolas" w:eastAsia="Consolas" w:hAnsi="Consolas" w:cs="Consolas"/>
          <w:sz w:val="21"/>
        </w:rPr>
        <w:t>scripts/measure_metrics</w:t>
      </w:r>
      <w:r>
        <w:rPr>
          <w:rFonts w:ascii="Consolas" w:eastAsia="Consolas" w:hAnsi="Consolas" w:cs="Consolas"/>
          <w:sz w:val="21"/>
        </w:rPr>
        <w:t>.py</w:t>
      </w:r>
      <w:r>
        <w:rPr>
          <w:rFonts w:cs="Times New Roman"/>
        </w:rPr>
        <w:t xml:space="preserve"> and comparing the new numbers with those in Chapter 8.</w:t>
      </w:r>
    </w:p>
    <w:p w:rsidR="00E52A98" w:rsidRDefault="0035662D">
      <w:pPr>
        <w:pStyle w:val="Heading2"/>
      </w:pPr>
      <w:r>
        <w:t>2.2 Additional features</w:t>
      </w:r>
    </w:p>
    <w:p w:rsidR="00E52A98" w:rsidRDefault="0035662D">
      <w:pPr>
        <w:spacing w:after="60"/>
        <w:ind w:left="720" w:hanging="360"/>
      </w:pPr>
      <w:r>
        <w:rPr>
          <w:rFonts w:cs="Times New Roman"/>
        </w:rPr>
        <w:t>•  A symptom-tracking module for objective 5: structured symptom entries with severity and onset, a timeline, trend charts and a gentle alert when symptoms worsen.</w:t>
      </w:r>
    </w:p>
    <w:p w:rsidR="00E52A98" w:rsidRDefault="0035662D">
      <w:pPr>
        <w:spacing w:after="60"/>
        <w:ind w:left="720" w:hanging="360"/>
      </w:pPr>
      <w:r>
        <w:rPr>
          <w:rFonts w:cs="Times New Roman"/>
        </w:rPr>
        <w:t>•  Follow</w:t>
      </w:r>
      <w:r>
        <w:rPr>
          <w:rFonts w:cs="Times New Roman"/>
        </w:rPr>
        <w:t>-up questions about duration, severity and age, to narrow ambiguous two-symptom queries.</w:t>
      </w:r>
    </w:p>
    <w:p w:rsidR="00E52A98" w:rsidRDefault="0035662D">
      <w:pPr>
        <w:spacing w:after="60"/>
        <w:ind w:left="720" w:hanging="360"/>
      </w:pPr>
      <w:r>
        <w:rPr>
          <w:rFonts w:cs="Times New Roman"/>
        </w:rPr>
        <w:lastRenderedPageBreak/>
        <w:t>•  Multilingual input and output, starting with Telugu and Hindi, using a multilingual encoder.</w:t>
      </w:r>
    </w:p>
    <w:p w:rsidR="00E52A98" w:rsidRDefault="0035662D">
      <w:pPr>
        <w:spacing w:after="60"/>
        <w:ind w:left="720" w:hanging="360"/>
      </w:pPr>
      <w:r>
        <w:rPr>
          <w:rFonts w:cs="Times New Roman"/>
        </w:rPr>
        <w:t>•  Export of a consultation summary that a user can hand to a doctor.</w:t>
      </w:r>
    </w:p>
    <w:p w:rsidR="00E52A98" w:rsidRDefault="0035662D">
      <w:pPr>
        <w:spacing w:after="60"/>
        <w:ind w:left="720" w:hanging="360"/>
      </w:pPr>
      <w:r>
        <w:rPr>
          <w:rFonts w:cs="Times New Roman"/>
        </w:rPr>
        <w:t>•</w:t>
      </w:r>
      <w:r>
        <w:rPr>
          <w:rFonts w:cs="Times New Roman"/>
        </w:rPr>
        <w:t xml:space="preserve">  An evaluation page that shows the honest metrics of this report instead of the upper-bound figures.</w:t>
      </w:r>
    </w:p>
    <w:p w:rsidR="00E52A98" w:rsidRDefault="0035662D">
      <w:r>
        <w:rPr>
          <w:rFonts w:cs="Times New Roman"/>
        </w:rPr>
        <w:t>The tracking module is the most important addition. The base paper's gap statement and objective 5 call for revealing progression and trends, but the appl</w:t>
      </w:r>
      <w:r>
        <w:rPr>
          <w:rFonts w:cs="Times New Roman"/>
        </w:rPr>
        <w:t>ication stores each consultation as an isolated free-text event. A structured symptom log (symptom, severity, onset, date) would let the system draw a timeline, compare the latest entry with earlier ones and retrieve guidance with that context.</w:t>
      </w:r>
    </w:p>
    <w:p w:rsidR="00E52A98" w:rsidRDefault="0035662D">
      <w:pPr>
        <w:pStyle w:val="Heading2"/>
      </w:pPr>
      <w:r>
        <w:t>2.3 Scalabi</w:t>
      </w:r>
      <w:r>
        <w:t>lity and deployment</w:t>
      </w:r>
    </w:p>
    <w:p w:rsidR="00E52A98" w:rsidRDefault="0035662D">
      <w:pPr>
        <w:spacing w:after="60"/>
        <w:ind w:left="720" w:hanging="360"/>
      </w:pPr>
      <w:r>
        <w:rPr>
          <w:rFonts w:cs="Times New Roman"/>
        </w:rPr>
        <w:t>•  Replace the synthetic table with reviewed content from licensed or open medical sources, at thousands of records, with an approximate FAISS index and source attribution per record.</w:t>
      </w:r>
    </w:p>
    <w:p w:rsidR="00E52A98" w:rsidRDefault="0035662D">
      <w:pPr>
        <w:spacing w:after="60"/>
        <w:ind w:left="720" w:hanging="360"/>
      </w:pPr>
      <w:r>
        <w:rPr>
          <w:rFonts w:cs="Times New Roman"/>
        </w:rPr>
        <w:t>•  Run the API behind a production server with a per</w:t>
      </w:r>
      <w:r>
        <w:rPr>
          <w:rFonts w:cs="Times New Roman"/>
        </w:rPr>
        <w:t>sistent database, a managed secret key and rate limiting; the Docker files are a start.</w:t>
      </w:r>
    </w:p>
    <w:p w:rsidR="00E52A98" w:rsidRDefault="0035662D">
      <w:pPr>
        <w:spacing w:after="60"/>
        <w:ind w:left="720" w:hanging="360"/>
      </w:pPr>
      <w:r>
        <w:rPr>
          <w:rFonts w:cs="Times New Roman"/>
        </w:rPr>
        <w:t>•  Cache the query embedding and reuse the pipeline across workers; consider a quantised or smaller reranker to cut the reranking cost.</w:t>
      </w:r>
    </w:p>
    <w:p w:rsidR="00E52A98" w:rsidRDefault="0035662D">
      <w:pPr>
        <w:pStyle w:val="Heading2"/>
      </w:pPr>
      <w:r>
        <w:t>2.4 Further research</w:t>
      </w:r>
    </w:p>
    <w:p w:rsidR="00E52A98" w:rsidRDefault="0035662D">
      <w:pPr>
        <w:spacing w:after="60"/>
        <w:ind w:left="720" w:hanging="360"/>
      </w:pPr>
      <w:r>
        <w:rPr>
          <w:rFonts w:cs="Times New Roman"/>
        </w:rPr>
        <w:t>•  A user s</w:t>
      </w:r>
      <w:r>
        <w:rPr>
          <w:rFonts w:cs="Times New Roman"/>
        </w:rPr>
        <w:t>tudy with patients and clinicians on trust, comprehension and safety of the answers and escalation messages.</w:t>
      </w:r>
    </w:p>
    <w:p w:rsidR="00E52A98" w:rsidRDefault="0035662D">
      <w:pPr>
        <w:spacing w:after="60"/>
        <w:ind w:left="720" w:hanging="360"/>
      </w:pPr>
      <w:r>
        <w:rPr>
          <w:rFonts w:cs="Times New Roman"/>
        </w:rPr>
        <w:t xml:space="preserve">•  A benchmark of symptom-description queries with expert-labelled conditions, to measure accuracy honestly and to compare retrieval-augmented and </w:t>
      </w:r>
      <w:r>
        <w:rPr>
          <w:rFonts w:cs="Times New Roman"/>
        </w:rPr>
        <w:t>plain-model assistants [26, 28].</w:t>
      </w:r>
    </w:p>
    <w:p w:rsidR="00E52A98" w:rsidRDefault="0035662D">
      <w:pPr>
        <w:spacing w:after="60"/>
        <w:ind w:left="720" w:hanging="360"/>
      </w:pPr>
      <w:r>
        <w:rPr>
          <w:rFonts w:cs="Times New Roman"/>
        </w:rPr>
        <w:t>•  Study of hallucination and refusal behaviour when a generator is actually working [27], and of fairness across languages and demographic descriptions.</w:t>
      </w:r>
    </w:p>
    <w:p w:rsidR="00E52A98" w:rsidRDefault="0035662D">
      <w:pPr>
        <w:pStyle w:val="Heading1"/>
        <w:pageBreakBefore/>
      </w:pPr>
      <w:r>
        <w:lastRenderedPageBreak/>
        <w:t>3. REFERENCES</w:t>
      </w:r>
    </w:p>
    <w:p w:rsidR="00E52A98" w:rsidRDefault="0035662D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[1]  U. S. Madhury and M. Ramesh, "A hybrid retrieval-augmented generation framework for intelligent symptom monitoring and disease guidance," </w:t>
      </w:r>
      <w:r>
        <w:rPr>
          <w:rFonts w:cs="Times New Roman"/>
          <w:i/>
          <w:sz w:val="20"/>
        </w:rPr>
        <w:t>Int. J. Eng. Res. Sci. Technol.</w:t>
      </w:r>
      <w:r>
        <w:rPr>
          <w:rFonts w:cs="Times New Roman"/>
          <w:sz w:val="20"/>
        </w:rPr>
        <w:t>, vol. 22, no. 3, pp. 702-707, 2026, doi: 10.62643/ijerst.2026.v22.n3.4170.</w:t>
      </w:r>
    </w:p>
    <w:p w:rsidR="00E52A98" w:rsidRDefault="0035662D">
      <w:pPr>
        <w:spacing w:after="100" w:line="276" w:lineRule="auto"/>
        <w:ind w:left="648" w:hanging="648"/>
      </w:pPr>
      <w:r>
        <w:rPr>
          <w:rFonts w:cs="Times New Roman"/>
          <w:sz w:val="20"/>
        </w:rPr>
        <w:t>[2]  "</w:t>
      </w:r>
      <w:r>
        <w:rPr>
          <w:rFonts w:cs="Times New Roman"/>
          <w:sz w:val="20"/>
        </w:rPr>
        <w:t xml:space="preserve">A retrieval-augmented generation framework for medical question answering: design, implementation, and evaluation of an AI-driven healthcare chatbot," </w:t>
      </w:r>
      <w:r>
        <w:rPr>
          <w:rFonts w:cs="Times New Roman"/>
          <w:i/>
          <w:sz w:val="20"/>
        </w:rPr>
        <w:t>Iconic Research and Engineering Journals</w:t>
      </w:r>
      <w:r>
        <w:rPr>
          <w:rFonts w:cs="Times New Roman"/>
          <w:sz w:val="20"/>
        </w:rPr>
        <w:t>, 2026. [Listed in the batch literature survey; authors, volume a</w:t>
      </w:r>
      <w:r>
        <w:rPr>
          <w:rFonts w:cs="Times New Roman"/>
          <w:sz w:val="20"/>
        </w:rPr>
        <w:t>nd pages could not be verified.]</w:t>
      </w:r>
    </w:p>
    <w:p w:rsidR="00E52A98" w:rsidRDefault="0035662D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[3]  "A book-verified retrieval-augmented medical chatbot for reliable and explainable healthcare assistance," in </w:t>
      </w:r>
      <w:r>
        <w:rPr>
          <w:rFonts w:cs="Times New Roman"/>
          <w:i/>
          <w:sz w:val="20"/>
        </w:rPr>
        <w:t>Proc. 7th Int. Conf. Intelligent Communication Technologies and Virtual Mobile Networks (ICICV)</w:t>
      </w:r>
      <w:r>
        <w:rPr>
          <w:rFonts w:cs="Times New Roman"/>
          <w:sz w:val="20"/>
        </w:rPr>
        <w:t>, 2026. [Liste</w:t>
      </w:r>
      <w:r>
        <w:rPr>
          <w:rFonts w:cs="Times New Roman"/>
          <w:sz w:val="20"/>
        </w:rPr>
        <w:t>d in the batch literature survey; authors and pages could not be verified.]</w:t>
      </w:r>
    </w:p>
    <w:p w:rsidR="00E52A98" w:rsidRDefault="0035662D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[4]  "Healthcare chatbot: AI-powered medical information assistant using retrieval-augmented generation," </w:t>
      </w:r>
      <w:r>
        <w:rPr>
          <w:rFonts w:cs="Times New Roman"/>
          <w:i/>
          <w:sz w:val="20"/>
        </w:rPr>
        <w:t>Int. J. Pharmacy with Medical Sciences</w:t>
      </w:r>
      <w:r>
        <w:rPr>
          <w:rFonts w:cs="Times New Roman"/>
          <w:sz w:val="20"/>
        </w:rPr>
        <w:t>, 2026. [Listed in the batch literat</w:t>
      </w:r>
      <w:r>
        <w:rPr>
          <w:rFonts w:cs="Times New Roman"/>
          <w:sz w:val="20"/>
        </w:rPr>
        <w:t>ure survey; authors, volume and pages could not be verified.]</w:t>
      </w:r>
    </w:p>
    <w:p w:rsidR="00E52A98" w:rsidRDefault="0035662D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[5]  N. Son, I. Kang, I. Kim, K. Lee, S. Nam and D. Lee, "Development and evaluation of a retrieval-augmented generation-based electronic medical record chatbot system," </w:t>
      </w:r>
      <w:r>
        <w:rPr>
          <w:rFonts w:cs="Times New Roman"/>
          <w:i/>
          <w:sz w:val="20"/>
        </w:rPr>
        <w:t>Healthc. Inform. Res.</w:t>
      </w:r>
      <w:r>
        <w:rPr>
          <w:rFonts w:cs="Times New Roman"/>
          <w:sz w:val="20"/>
        </w:rPr>
        <w:t>, v</w:t>
      </w:r>
      <w:r>
        <w:rPr>
          <w:rFonts w:cs="Times New Roman"/>
          <w:sz w:val="20"/>
        </w:rPr>
        <w:t>ol. 31, no. 3, pp. 218-225, Jul. 2025, doi: 10.4258/hir.2025.31.3.218.</w:t>
      </w:r>
    </w:p>
    <w:p w:rsidR="00E52A98" w:rsidRDefault="0035662D">
      <w:pPr>
        <w:spacing w:after="100" w:line="276" w:lineRule="auto"/>
        <w:ind w:left="648" w:hanging="648"/>
      </w:pPr>
      <w:r>
        <w:rPr>
          <w:rFonts w:cs="Times New Roman"/>
          <w:sz w:val="20"/>
        </w:rPr>
        <w:t>[6]  N. Nananukul and M. Kejriwal, "ClinicBot: a guideline-grounded clinical chatbot with prioritized evidence RAG and verifiable citations," system demonstration, CAIS 2026, arXiv:2605</w:t>
      </w:r>
      <w:r>
        <w:rPr>
          <w:rFonts w:cs="Times New Roman"/>
          <w:sz w:val="20"/>
        </w:rPr>
        <w:t>.00846, 2026.</w:t>
      </w:r>
    </w:p>
    <w:p w:rsidR="00E52A98" w:rsidRDefault="0035662D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[7]  S. Divya, V. Indumathi, S. Ishwarya, M. Priyasankari and S. K. Devi, "A self-diagnosis medical chatbot using artificial intelligence," </w:t>
      </w:r>
      <w:r>
        <w:rPr>
          <w:rFonts w:cs="Times New Roman"/>
          <w:i/>
          <w:sz w:val="20"/>
        </w:rPr>
        <w:t>J. Web Develop. Web Designing</w:t>
      </w:r>
      <w:r>
        <w:rPr>
          <w:rFonts w:cs="Times New Roman"/>
          <w:sz w:val="20"/>
        </w:rPr>
        <w:t>, vol. 3, no. 1, pp. 1-7, 2018.</w:t>
      </w:r>
    </w:p>
    <w:p w:rsidR="00E52A98" w:rsidRDefault="0035662D">
      <w:pPr>
        <w:spacing w:after="100" w:line="276" w:lineRule="auto"/>
        <w:ind w:left="648" w:hanging="648"/>
      </w:pPr>
      <w:r>
        <w:rPr>
          <w:rFonts w:cs="Times New Roman"/>
          <w:sz w:val="20"/>
        </w:rPr>
        <w:t>[8]  S. S. Kumar, S. T. Ahmed, A. S. Fath</w:t>
      </w:r>
      <w:r>
        <w:rPr>
          <w:rFonts w:cs="Times New Roman"/>
          <w:sz w:val="20"/>
        </w:rPr>
        <w:t xml:space="preserve">ima, M. Nishabai and S. Sophia, "Medical chatbot assistance for primary clinical guidance using machine learning techniques," </w:t>
      </w:r>
      <w:r>
        <w:rPr>
          <w:rFonts w:cs="Times New Roman"/>
          <w:i/>
          <w:sz w:val="20"/>
        </w:rPr>
        <w:t>Procedia Comput. Sci.</w:t>
      </w:r>
      <w:r>
        <w:rPr>
          <w:rFonts w:cs="Times New Roman"/>
          <w:sz w:val="20"/>
        </w:rPr>
        <w:t>, vol. 233, pp. 279-287, 2024.</w:t>
      </w:r>
    </w:p>
    <w:p w:rsidR="00E52A98" w:rsidRDefault="0035662D">
      <w:pPr>
        <w:spacing w:after="100" w:line="276" w:lineRule="auto"/>
        <w:ind w:left="648" w:hanging="648"/>
      </w:pPr>
      <w:r>
        <w:rPr>
          <w:rFonts w:cs="Times New Roman"/>
          <w:sz w:val="20"/>
        </w:rPr>
        <w:t>[9]  I.-C. Hsu and J.-D. Yu, "A medical chatbot using machine learning and nat</w:t>
      </w:r>
      <w:r>
        <w:rPr>
          <w:rFonts w:cs="Times New Roman"/>
          <w:sz w:val="20"/>
        </w:rPr>
        <w:t xml:space="preserve">ural language understanding," </w:t>
      </w:r>
      <w:r>
        <w:rPr>
          <w:rFonts w:cs="Times New Roman"/>
          <w:i/>
          <w:sz w:val="20"/>
        </w:rPr>
        <w:t>Multimedia Tools Appl.</w:t>
      </w:r>
      <w:r>
        <w:rPr>
          <w:rFonts w:cs="Times New Roman"/>
          <w:sz w:val="20"/>
        </w:rPr>
        <w:t>, vol. 81, no. 17, pp. 23777-23799, Jul. 2022.</w:t>
      </w:r>
    </w:p>
    <w:p w:rsidR="00E52A98" w:rsidRDefault="0035662D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[10]  A. Babu and S. B. Boddu, "BERT-based medical chatbot: enhancing healthcare communication through natural language understanding," </w:t>
      </w:r>
      <w:r>
        <w:rPr>
          <w:rFonts w:cs="Times New Roman"/>
          <w:i/>
          <w:sz w:val="20"/>
        </w:rPr>
        <w:t>Explor. Res. Clin. So</w:t>
      </w:r>
      <w:r>
        <w:rPr>
          <w:rFonts w:cs="Times New Roman"/>
          <w:i/>
          <w:sz w:val="20"/>
        </w:rPr>
        <w:t>cial Pharmacy</w:t>
      </w:r>
      <w:r>
        <w:rPr>
          <w:rFonts w:cs="Times New Roman"/>
          <w:sz w:val="20"/>
        </w:rPr>
        <w:t>, vol. 13, Art. no. 100419, Mar. 2024.</w:t>
      </w:r>
    </w:p>
    <w:p w:rsidR="00E52A98" w:rsidRDefault="0035662D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[11]  S. D. Bhavani Peri, S. Santhanalakshmi and R. Radha, "Chatbot to chat with medical books using retrieval-augmented generation model," in </w:t>
      </w:r>
      <w:r>
        <w:rPr>
          <w:rFonts w:cs="Times New Roman"/>
          <w:i/>
          <w:sz w:val="20"/>
        </w:rPr>
        <w:t>Proc. IEEE North Karnataka Subsection Flagship Int. Conf. (NK</w:t>
      </w:r>
      <w:r>
        <w:rPr>
          <w:rFonts w:cs="Times New Roman"/>
          <w:i/>
          <w:sz w:val="20"/>
        </w:rPr>
        <w:t>Con)</w:t>
      </w:r>
      <w:r>
        <w:rPr>
          <w:rFonts w:cs="Times New Roman"/>
          <w:sz w:val="20"/>
        </w:rPr>
        <w:t>, Bagalkote, India, Sep. 2024, pp. 1-5, doi: 10.1109/NKCON62728.2024.10774900.</w:t>
      </w:r>
    </w:p>
    <w:p w:rsidR="00E52A98" w:rsidRDefault="0035662D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[12]  Prathwini and Prathyakshini, "PreScienceMED: leveraging text classification for precise disease prediction," in </w:t>
      </w:r>
      <w:r>
        <w:rPr>
          <w:rFonts w:cs="Times New Roman"/>
          <w:i/>
          <w:sz w:val="20"/>
        </w:rPr>
        <w:t>Proc. IEEE Int. Conf. Distributed Computing, VLSI, Elec</w:t>
      </w:r>
      <w:r>
        <w:rPr>
          <w:rFonts w:cs="Times New Roman"/>
          <w:i/>
          <w:sz w:val="20"/>
        </w:rPr>
        <w:t>trical Circuits and Robotics (DISCOVER)</w:t>
      </w:r>
      <w:r>
        <w:rPr>
          <w:rFonts w:cs="Times New Roman"/>
          <w:sz w:val="20"/>
        </w:rPr>
        <w:t>, Mangalore, India, Oct. 2024, pp. 90-95, doi: 10.1109/DISCOVER62353.2024.10750775.</w:t>
      </w:r>
    </w:p>
    <w:p w:rsidR="00E52A98" w:rsidRDefault="0035662D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[13]  Y. Natarajan, K. R. S. Preethaa, S. Pandian, S. U. Geetha and S. Senthilkumar, "Enhancing medical information retrieval with a </w:t>
      </w:r>
      <w:r>
        <w:rPr>
          <w:rFonts w:cs="Times New Roman"/>
          <w:sz w:val="20"/>
        </w:rPr>
        <w:t xml:space="preserve">language model," in </w:t>
      </w:r>
      <w:r>
        <w:rPr>
          <w:rFonts w:cs="Times New Roman"/>
          <w:i/>
          <w:sz w:val="20"/>
        </w:rPr>
        <w:t>Proc. Int. Conf. Cognitive Robotics and Intelligent Systems (ICC-ROBINS)</w:t>
      </w:r>
      <w:r>
        <w:rPr>
          <w:rFonts w:cs="Times New Roman"/>
          <w:sz w:val="20"/>
        </w:rPr>
        <w:t>, Coimbatore, India, Apr. 2024, pp. 437-441, doi: 10.1109/ICCROBINS60238.2024.10533903.</w:t>
      </w:r>
    </w:p>
    <w:p w:rsidR="00E52A98" w:rsidRDefault="0035662D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[14]  S. H. Alqaidi, S. M. Albugami, W. S. Alzahrani, S. Badri and A. Wali, </w:t>
      </w:r>
      <w:r>
        <w:rPr>
          <w:rFonts w:cs="Times New Roman"/>
          <w:sz w:val="20"/>
        </w:rPr>
        <w:t xml:space="preserve">"Network-integrated medical chatbot for enhanced healthcare services," </w:t>
      </w:r>
      <w:r>
        <w:rPr>
          <w:rFonts w:cs="Times New Roman"/>
          <w:i/>
          <w:sz w:val="20"/>
        </w:rPr>
        <w:t>Telematics Informat. Rep.</w:t>
      </w:r>
      <w:r>
        <w:rPr>
          <w:rFonts w:cs="Times New Roman"/>
          <w:sz w:val="20"/>
        </w:rPr>
        <w:t>, vol. 15, Art. no. 100153, Sep. 2024.</w:t>
      </w:r>
    </w:p>
    <w:p w:rsidR="00E52A98" w:rsidRDefault="0035662D">
      <w:pPr>
        <w:spacing w:after="100" w:line="276" w:lineRule="auto"/>
        <w:ind w:left="648" w:hanging="648"/>
      </w:pPr>
      <w:r>
        <w:rPr>
          <w:rFonts w:cs="Times New Roman"/>
          <w:sz w:val="20"/>
        </w:rPr>
        <w:lastRenderedPageBreak/>
        <w:t xml:space="preserve">[15]  P. Lewis </w:t>
      </w:r>
      <w:r>
        <w:rPr>
          <w:rFonts w:cs="Times New Roman"/>
          <w:i/>
          <w:sz w:val="20"/>
        </w:rPr>
        <w:t>et al.</w:t>
      </w:r>
      <w:r>
        <w:rPr>
          <w:rFonts w:cs="Times New Roman"/>
          <w:sz w:val="20"/>
        </w:rPr>
        <w:t xml:space="preserve">, "Retrieval-augmented generation for knowledge-intensive NLP tasks," in </w:t>
      </w:r>
      <w:r>
        <w:rPr>
          <w:rFonts w:cs="Times New Roman"/>
          <w:i/>
          <w:sz w:val="20"/>
        </w:rPr>
        <w:t>Proc. Adv. Neural Inf. Proc</w:t>
      </w:r>
      <w:r>
        <w:rPr>
          <w:rFonts w:cs="Times New Roman"/>
          <w:i/>
          <w:sz w:val="20"/>
        </w:rPr>
        <w:t>ess. Syst. (NeurIPS)</w:t>
      </w:r>
      <w:r>
        <w:rPr>
          <w:rFonts w:cs="Times New Roman"/>
          <w:sz w:val="20"/>
        </w:rPr>
        <w:t>, vol. 33, 2020, pp. 9459-9474.</w:t>
      </w:r>
    </w:p>
    <w:p w:rsidR="00E52A98" w:rsidRDefault="0035662D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[16]  V. Karpukhin </w:t>
      </w:r>
      <w:r>
        <w:rPr>
          <w:rFonts w:cs="Times New Roman"/>
          <w:i/>
          <w:sz w:val="20"/>
        </w:rPr>
        <w:t>et al.</w:t>
      </w:r>
      <w:r>
        <w:rPr>
          <w:rFonts w:cs="Times New Roman"/>
          <w:sz w:val="20"/>
        </w:rPr>
        <w:t xml:space="preserve">, "Dense passage retrieval for open-domain question answering," in </w:t>
      </w:r>
      <w:r>
        <w:rPr>
          <w:rFonts w:cs="Times New Roman"/>
          <w:i/>
          <w:sz w:val="20"/>
        </w:rPr>
        <w:t>Proc. Conf. Empirical Methods Natural Language Process. (EMNLP)</w:t>
      </w:r>
      <w:r>
        <w:rPr>
          <w:rFonts w:cs="Times New Roman"/>
          <w:sz w:val="20"/>
        </w:rPr>
        <w:t>, 2020, pp. 6769-6781.</w:t>
      </w:r>
    </w:p>
    <w:p w:rsidR="00E52A98" w:rsidRDefault="0035662D">
      <w:pPr>
        <w:spacing w:after="100" w:line="276" w:lineRule="auto"/>
        <w:ind w:left="648" w:hanging="648"/>
      </w:pPr>
      <w:r>
        <w:rPr>
          <w:rFonts w:cs="Times New Roman"/>
          <w:sz w:val="20"/>
        </w:rPr>
        <w:t>[17]  J. Johnson, M. Douze</w:t>
      </w:r>
      <w:r>
        <w:rPr>
          <w:rFonts w:cs="Times New Roman"/>
          <w:sz w:val="20"/>
        </w:rPr>
        <w:t xml:space="preserve"> and H. Jegou, "Billion-scale similarity search with GPUs," </w:t>
      </w:r>
      <w:r>
        <w:rPr>
          <w:rFonts w:cs="Times New Roman"/>
          <w:i/>
          <w:sz w:val="20"/>
        </w:rPr>
        <w:t>IEEE Trans. Big Data</w:t>
      </w:r>
      <w:r>
        <w:rPr>
          <w:rFonts w:cs="Times New Roman"/>
          <w:sz w:val="20"/>
        </w:rPr>
        <w:t>, vol. 7, no. 3, pp. 535-547, Jul. 2021.</w:t>
      </w:r>
    </w:p>
    <w:p w:rsidR="00E52A98" w:rsidRDefault="0035662D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[18]  N. Reimers and I. Gurevych, "Sentence-BERT: sentence embeddings using Siamese BERT-networks," in </w:t>
      </w:r>
      <w:r>
        <w:rPr>
          <w:rFonts w:cs="Times New Roman"/>
          <w:i/>
          <w:sz w:val="20"/>
        </w:rPr>
        <w:t>Proc. EMNLP-IJCNLP</w:t>
      </w:r>
      <w:r>
        <w:rPr>
          <w:rFonts w:cs="Times New Roman"/>
          <w:sz w:val="20"/>
        </w:rPr>
        <w:t>, 2019, pp. 39</w:t>
      </w:r>
      <w:r>
        <w:rPr>
          <w:rFonts w:cs="Times New Roman"/>
          <w:sz w:val="20"/>
        </w:rPr>
        <w:t>82-3992.</w:t>
      </w:r>
    </w:p>
    <w:p w:rsidR="00E52A98" w:rsidRDefault="0035662D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[19]  S. Robertson and H. Zaragoza, "The probabilistic relevance framework: BM25 and beyond," </w:t>
      </w:r>
      <w:r>
        <w:rPr>
          <w:rFonts w:cs="Times New Roman"/>
          <w:i/>
          <w:sz w:val="20"/>
        </w:rPr>
        <w:t>Found. Trends Inf. Retr.</w:t>
      </w:r>
      <w:r>
        <w:rPr>
          <w:rFonts w:cs="Times New Roman"/>
          <w:sz w:val="20"/>
        </w:rPr>
        <w:t>, vol. 3, no. 4, pp. 333-389, 2009.</w:t>
      </w:r>
    </w:p>
    <w:p w:rsidR="00E52A98" w:rsidRDefault="0035662D">
      <w:pPr>
        <w:spacing w:after="100" w:line="276" w:lineRule="auto"/>
        <w:ind w:left="648" w:hanging="648"/>
      </w:pPr>
      <w:r>
        <w:rPr>
          <w:rFonts w:cs="Times New Roman"/>
          <w:sz w:val="20"/>
        </w:rPr>
        <w:t>[20]  L. Gao, X. Ma, J. Lin and J. Callan, "Precise zero-shot dense retrieval without relevan</w:t>
      </w:r>
      <w:r>
        <w:rPr>
          <w:rFonts w:cs="Times New Roman"/>
          <w:sz w:val="20"/>
        </w:rPr>
        <w:t xml:space="preserve">ce labels," in </w:t>
      </w:r>
      <w:r>
        <w:rPr>
          <w:rFonts w:cs="Times New Roman"/>
          <w:i/>
          <w:sz w:val="20"/>
        </w:rPr>
        <w:t>Proc. 61st Annu. Meeting Assoc. Comput. Linguistics (ACL)</w:t>
      </w:r>
      <w:r>
        <w:rPr>
          <w:rFonts w:cs="Times New Roman"/>
          <w:sz w:val="20"/>
        </w:rPr>
        <w:t>, 2023, pp. 1762-1777.</w:t>
      </w:r>
    </w:p>
    <w:p w:rsidR="00E52A98" w:rsidRDefault="0035662D">
      <w:pPr>
        <w:spacing w:after="100" w:line="276" w:lineRule="auto"/>
        <w:ind w:left="648" w:hanging="648"/>
      </w:pPr>
      <w:r>
        <w:rPr>
          <w:rFonts w:cs="Times New Roman"/>
          <w:sz w:val="20"/>
        </w:rPr>
        <w:t>[21]  R. Nogueira and K. Cho, "Passage re-ranking with BERT," arXiv:1901.04085, 2019.</w:t>
      </w:r>
    </w:p>
    <w:p w:rsidR="00E52A98" w:rsidRDefault="0035662D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[22]  P. Bajaj </w:t>
      </w:r>
      <w:r>
        <w:rPr>
          <w:rFonts w:cs="Times New Roman"/>
          <w:i/>
          <w:sz w:val="20"/>
        </w:rPr>
        <w:t>et al.</w:t>
      </w:r>
      <w:r>
        <w:rPr>
          <w:rFonts w:cs="Times New Roman"/>
          <w:sz w:val="20"/>
        </w:rPr>
        <w:t>, "MS MARCO: a human generated machine reading compreh</w:t>
      </w:r>
      <w:r>
        <w:rPr>
          <w:rFonts w:cs="Times New Roman"/>
          <w:sz w:val="20"/>
        </w:rPr>
        <w:t>ension dataset," arXiv:1611.09268, 2016.</w:t>
      </w:r>
    </w:p>
    <w:p w:rsidR="00E52A98" w:rsidRDefault="0035662D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[23]  H. W. Chung </w:t>
      </w:r>
      <w:r>
        <w:rPr>
          <w:rFonts w:cs="Times New Roman"/>
          <w:i/>
          <w:sz w:val="20"/>
        </w:rPr>
        <w:t>et al.</w:t>
      </w:r>
      <w:r>
        <w:rPr>
          <w:rFonts w:cs="Times New Roman"/>
          <w:sz w:val="20"/>
        </w:rPr>
        <w:t xml:space="preserve">, "Scaling instruction-finetuned language models," </w:t>
      </w:r>
      <w:r>
        <w:rPr>
          <w:rFonts w:cs="Times New Roman"/>
          <w:i/>
          <w:sz w:val="20"/>
        </w:rPr>
        <w:t>J. Mach. Learn. Res.</w:t>
      </w:r>
      <w:r>
        <w:rPr>
          <w:rFonts w:cs="Times New Roman"/>
          <w:sz w:val="20"/>
        </w:rPr>
        <w:t>, vol. 25, no. 70, pp. 1-53, 2024.</w:t>
      </w:r>
    </w:p>
    <w:p w:rsidR="00E52A98" w:rsidRDefault="0035662D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[24]  W. Wang, F. Wei, L. Dong, H. Bao, N. Yang and M. Zhou, "MiniLM: deep self-attention distillation for task-agnostic compression of pre-trained transformers," in </w:t>
      </w:r>
      <w:r>
        <w:rPr>
          <w:rFonts w:cs="Times New Roman"/>
          <w:i/>
          <w:sz w:val="20"/>
        </w:rPr>
        <w:t>Proc. Adv. Neural Inf. Process. Syst. (NeurIPS)</w:t>
      </w:r>
      <w:r>
        <w:rPr>
          <w:rFonts w:cs="Times New Roman"/>
          <w:sz w:val="20"/>
        </w:rPr>
        <w:t>, vol. 33, 2020, pp. 5776-5788.</w:t>
      </w:r>
    </w:p>
    <w:p w:rsidR="00E52A98" w:rsidRDefault="0035662D">
      <w:pPr>
        <w:spacing w:after="100" w:line="276" w:lineRule="auto"/>
        <w:ind w:left="648" w:hanging="648"/>
      </w:pPr>
      <w:r>
        <w:rPr>
          <w:rFonts w:cs="Times New Roman"/>
          <w:sz w:val="20"/>
        </w:rPr>
        <w:t>[25]  G. V.</w:t>
      </w:r>
      <w:r>
        <w:rPr>
          <w:rFonts w:cs="Times New Roman"/>
          <w:sz w:val="20"/>
        </w:rPr>
        <w:t xml:space="preserve"> Cormack, C. L. A. Clarke and S. Buettcher, "Reciprocal rank fusion outperforms Condorcet and individual rank learning methods," in </w:t>
      </w:r>
      <w:r>
        <w:rPr>
          <w:rFonts w:cs="Times New Roman"/>
          <w:i/>
          <w:sz w:val="20"/>
        </w:rPr>
        <w:t>Proc. 32nd Int. ACM SIGIR Conf. Research and Development in Information Retrieval</w:t>
      </w:r>
      <w:r>
        <w:rPr>
          <w:rFonts w:cs="Times New Roman"/>
          <w:sz w:val="20"/>
        </w:rPr>
        <w:t>, 2009, pp. 758-759.</w:t>
      </w:r>
    </w:p>
    <w:p w:rsidR="00E52A98" w:rsidRDefault="0035662D">
      <w:pPr>
        <w:spacing w:after="100" w:line="276" w:lineRule="auto"/>
        <w:ind w:left="648" w:hanging="648"/>
      </w:pPr>
      <w:r>
        <w:rPr>
          <w:rFonts w:cs="Times New Roman"/>
          <w:sz w:val="20"/>
        </w:rPr>
        <w:t>[26]  G. Xiong, Q. Jin</w:t>
      </w:r>
      <w:r>
        <w:rPr>
          <w:rFonts w:cs="Times New Roman"/>
          <w:sz w:val="20"/>
        </w:rPr>
        <w:t xml:space="preserve">, Z. Lu and A. Zhang, "Benchmarking retrieval-augmented generation for medicine," in </w:t>
      </w:r>
      <w:r>
        <w:rPr>
          <w:rFonts w:cs="Times New Roman"/>
          <w:i/>
          <w:sz w:val="20"/>
        </w:rPr>
        <w:t>Findings Assoc. Comput. Linguistics: ACL 2024</w:t>
      </w:r>
      <w:r>
        <w:rPr>
          <w:rFonts w:cs="Times New Roman"/>
          <w:sz w:val="20"/>
        </w:rPr>
        <w:t>, 2024, pp. 6233-6251.</w:t>
      </w:r>
    </w:p>
    <w:p w:rsidR="00E52A98" w:rsidRDefault="0035662D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[27]  Z. Ji </w:t>
      </w:r>
      <w:r>
        <w:rPr>
          <w:rFonts w:cs="Times New Roman"/>
          <w:i/>
          <w:sz w:val="20"/>
        </w:rPr>
        <w:t>et al.</w:t>
      </w:r>
      <w:r>
        <w:rPr>
          <w:rFonts w:cs="Times New Roman"/>
          <w:sz w:val="20"/>
        </w:rPr>
        <w:t xml:space="preserve">, "Survey of hallucination in natural language generation," </w:t>
      </w:r>
      <w:r>
        <w:rPr>
          <w:rFonts w:cs="Times New Roman"/>
          <w:i/>
          <w:sz w:val="20"/>
        </w:rPr>
        <w:t>ACM Comput. Surveys</w:t>
      </w:r>
      <w:r>
        <w:rPr>
          <w:rFonts w:cs="Times New Roman"/>
          <w:sz w:val="20"/>
        </w:rPr>
        <w:t>, vol.</w:t>
      </w:r>
      <w:r>
        <w:rPr>
          <w:rFonts w:cs="Times New Roman"/>
          <w:sz w:val="20"/>
        </w:rPr>
        <w:t xml:space="preserve"> 55, no. 12, Art. no. 248, 2023.</w:t>
      </w:r>
    </w:p>
    <w:p w:rsidR="00E52A98" w:rsidRDefault="0035662D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[28]  K. Singhal </w:t>
      </w:r>
      <w:r>
        <w:rPr>
          <w:rFonts w:cs="Times New Roman"/>
          <w:i/>
          <w:sz w:val="20"/>
        </w:rPr>
        <w:t>et al.</w:t>
      </w:r>
      <w:r>
        <w:rPr>
          <w:rFonts w:cs="Times New Roman"/>
          <w:sz w:val="20"/>
        </w:rPr>
        <w:t xml:space="preserve">, "Large language models encode clinical knowledge," </w:t>
      </w:r>
      <w:r>
        <w:rPr>
          <w:rFonts w:cs="Times New Roman"/>
          <w:i/>
          <w:sz w:val="20"/>
        </w:rPr>
        <w:t>Nature</w:t>
      </w:r>
      <w:r>
        <w:rPr>
          <w:rFonts w:cs="Times New Roman"/>
          <w:sz w:val="20"/>
        </w:rPr>
        <w:t>, vol. 620, no. 7972, pp. 172-180, 2023.</w:t>
      </w:r>
    </w:p>
    <w:p w:rsidR="00E52A98" w:rsidRDefault="0035662D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[29]  T. Wolf </w:t>
      </w:r>
      <w:r>
        <w:rPr>
          <w:rFonts w:cs="Times New Roman"/>
          <w:i/>
          <w:sz w:val="20"/>
        </w:rPr>
        <w:t>et al.</w:t>
      </w:r>
      <w:r>
        <w:rPr>
          <w:rFonts w:cs="Times New Roman"/>
          <w:sz w:val="20"/>
        </w:rPr>
        <w:t xml:space="preserve">, "Transformers: state-of-the-art natural language processing," in </w:t>
      </w:r>
      <w:r>
        <w:rPr>
          <w:rFonts w:cs="Times New Roman"/>
          <w:i/>
          <w:sz w:val="20"/>
        </w:rPr>
        <w:t xml:space="preserve">Proc. EMNLP: </w:t>
      </w:r>
      <w:r>
        <w:rPr>
          <w:rFonts w:cs="Times New Roman"/>
          <w:i/>
          <w:sz w:val="20"/>
        </w:rPr>
        <w:t>System Demonstrations</w:t>
      </w:r>
      <w:r>
        <w:rPr>
          <w:rFonts w:cs="Times New Roman"/>
          <w:sz w:val="20"/>
        </w:rPr>
        <w:t>, 2020, pp. 38-45.</w:t>
      </w:r>
    </w:p>
    <w:p w:rsidR="00E52A98" w:rsidRDefault="0035662D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[30]  F. Pedregosa </w:t>
      </w:r>
      <w:r>
        <w:rPr>
          <w:rFonts w:cs="Times New Roman"/>
          <w:i/>
          <w:sz w:val="20"/>
        </w:rPr>
        <w:t>et al.</w:t>
      </w:r>
      <w:r>
        <w:rPr>
          <w:rFonts w:cs="Times New Roman"/>
          <w:sz w:val="20"/>
        </w:rPr>
        <w:t xml:space="preserve">, "Scikit-learn: machine learning in Python," </w:t>
      </w:r>
      <w:r>
        <w:rPr>
          <w:rFonts w:cs="Times New Roman"/>
          <w:i/>
          <w:sz w:val="20"/>
        </w:rPr>
        <w:t>J. Mach. Learn. Res.</w:t>
      </w:r>
      <w:r>
        <w:rPr>
          <w:rFonts w:cs="Times New Roman"/>
          <w:sz w:val="20"/>
        </w:rPr>
        <w:t>, vol. 12, pp. 2825-2830, 2011.</w:t>
      </w:r>
    </w:p>
    <w:p w:rsidR="00E52A98" w:rsidRDefault="0035662D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[31]  C. D. Manning, P. Raghavan and H. Schutze, </w:t>
      </w:r>
      <w:r>
        <w:rPr>
          <w:rFonts w:cs="Times New Roman"/>
          <w:i/>
          <w:sz w:val="20"/>
        </w:rPr>
        <w:t>Introduction to Information Retrieval</w:t>
      </w:r>
      <w:r>
        <w:rPr>
          <w:rFonts w:cs="Times New Roman"/>
          <w:sz w:val="20"/>
        </w:rPr>
        <w:t>. Cambr</w:t>
      </w:r>
      <w:r>
        <w:rPr>
          <w:rFonts w:cs="Times New Roman"/>
          <w:sz w:val="20"/>
        </w:rPr>
        <w:t>idge, U.K.: Cambridge Univ. Press, 2008.</w:t>
      </w:r>
    </w:p>
    <w:p w:rsidR="00E52A98" w:rsidRDefault="0035662D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[32]  N. Provos and D. Mazieres, "A future-adaptable password scheme," in </w:t>
      </w:r>
      <w:r>
        <w:rPr>
          <w:rFonts w:cs="Times New Roman"/>
          <w:i/>
          <w:sz w:val="20"/>
        </w:rPr>
        <w:t>Proc. USENIX Annu. Tech. Conf., FREENIX Track</w:t>
      </w:r>
      <w:r>
        <w:rPr>
          <w:rFonts w:cs="Times New Roman"/>
          <w:sz w:val="20"/>
        </w:rPr>
        <w:t>, 1999, pp. 81-91.</w:t>
      </w:r>
    </w:p>
    <w:p w:rsidR="00E52A98" w:rsidRDefault="0035662D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[33]  M. Jones, J. Bradley and N. Sakimura, "JSON Web Token (JWT)," IETF RFC </w:t>
      </w:r>
      <w:r>
        <w:rPr>
          <w:rFonts w:cs="Times New Roman"/>
          <w:sz w:val="20"/>
        </w:rPr>
        <w:t>7519, May 2015.</w:t>
      </w:r>
    </w:p>
    <w:p w:rsidR="00E52A98" w:rsidRDefault="0035662D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[34]  E. B. Wilson, "Probable inference, the law of succession, and statistical inference," </w:t>
      </w:r>
      <w:r>
        <w:rPr>
          <w:rFonts w:cs="Times New Roman"/>
          <w:i/>
          <w:sz w:val="20"/>
        </w:rPr>
        <w:t>J. Amer. Statist. Assoc.</w:t>
      </w:r>
      <w:r>
        <w:rPr>
          <w:rFonts w:cs="Times New Roman"/>
          <w:sz w:val="20"/>
        </w:rPr>
        <w:t>, vol. 22, no. 158, pp. 209-212, 1927.</w:t>
      </w:r>
    </w:p>
    <w:p w:rsidR="00E52A98" w:rsidRDefault="0035662D">
      <w:pPr>
        <w:spacing w:after="100" w:line="276" w:lineRule="auto"/>
        <w:ind w:left="648" w:hanging="648"/>
      </w:pPr>
      <w:r>
        <w:rPr>
          <w:rFonts w:cs="Times New Roman"/>
          <w:sz w:val="20"/>
        </w:rPr>
        <w:t>[35]  S. Ramirez, "FastAPI," software, 2018. [Online]. Available: https://fastapi.tia</w:t>
      </w:r>
      <w:r>
        <w:rPr>
          <w:rFonts w:cs="Times New Roman"/>
          <w:sz w:val="20"/>
        </w:rPr>
        <w:t>ngolo.com</w:t>
      </w:r>
    </w:p>
    <w:sectPr w:rsidR="00E52A98" w:rsidSect="00034616">
      <w:headerReference w:type="default" r:id="rId10"/>
      <w:footerReference w:type="default" r:id="rId11"/>
      <w:pgSz w:w="11906" w:h="16838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35662D">
      <w:pPr>
        <w:spacing w:after="0" w:line="240" w:lineRule="auto"/>
      </w:pPr>
      <w:r>
        <w:separator/>
      </w:r>
    </w:p>
  </w:endnote>
  <w:endnote w:type="continuationSeparator" w:id="0">
    <w:p w:rsidR="00000000" w:rsidRDefault="003566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52A98" w:rsidRDefault="0035662D">
    <w:pPr>
      <w:pStyle w:val="Footer"/>
      <w:jc w:val="center"/>
    </w:pPr>
    <w:r>
      <w:rPr>
        <w:rFonts w:cs="Times New Roman"/>
        <w:sz w:val="22"/>
      </w:rPr>
      <w:fldChar w:fldCharType="begin"/>
    </w:r>
    <w:r>
      <w:rPr>
        <w:rFonts w:cs="Times New Roman"/>
        <w:sz w:val="22"/>
      </w:rPr>
      <w:instrText xml:space="preserve"> PAGE </w:instrText>
    </w:r>
    <w:r>
      <w:rPr>
        <w:rFonts w:cs="Times New Roman"/>
        <w:sz w:val="22"/>
      </w:rPr>
      <w:fldChar w:fldCharType="separate"/>
    </w:r>
    <w:r>
      <w:rPr>
        <w:rFonts w:cs="Times New Roman"/>
        <w:sz w:val="22"/>
      </w:rPr>
      <w:t>1</w:t>
    </w:r>
    <w:r>
      <w:rPr>
        <w:rFonts w:cs="Times New Roman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35662D">
      <w:pPr>
        <w:spacing w:after="0" w:line="240" w:lineRule="auto"/>
      </w:pPr>
      <w:r>
        <w:separator/>
      </w:r>
    </w:p>
  </w:footnote>
  <w:footnote w:type="continuationSeparator" w:id="0">
    <w:p w:rsidR="00000000" w:rsidRDefault="003566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52A98" w:rsidRDefault="0035662D">
    <w:pPr>
      <w:pStyle w:val="Header"/>
      <w:jc w:val="center"/>
    </w:pPr>
    <w:r>
      <w:rPr>
        <w:rFonts w:cs="Times New Roman"/>
        <w:i/>
        <w:color w:val="555555"/>
        <w:sz w:val="20"/>
      </w:rPr>
      <w:t>SymptoTrackAI  |  Conclusion, Future Scope and References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662D"/>
    <w:rsid w:val="00AA1D8D"/>
    <w:rsid w:val="00B47730"/>
    <w:rsid w:val="00CB0664"/>
    <w:rsid w:val="00E52A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AC66236-5189-49AD-AD1E-521C41E17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jc w:val="left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line="276" w:lineRule="auto"/>
      <w:jc w:val="left"/>
      <w:outlineLvl w:val="1"/>
    </w:pPr>
    <w:rPr>
      <w:rFonts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jc w:val="left"/>
      <w:outlineLvl w:val="2"/>
    </w:pPr>
    <w:rPr>
      <w:rFonts w:cs="Times New Roman"/>
      <w:b/>
      <w:bCs/>
      <w:i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76" w:lineRule="auto"/>
      <w:jc w:val="center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0" w:line="240" w:lineRule="auto"/>
      <w:jc w:val="left"/>
    </w:pPr>
    <w:rPr>
      <w:sz w:val="21"/>
    </w:rPr>
  </w:style>
  <w:style w:type="paragraph" w:customStyle="1" w:styleId="TOC21">
    <w:name w:val="TOC 21"/>
    <w:basedOn w:val="Normal"/>
    <w:pPr>
      <w:spacing w:after="0" w:line="240" w:lineRule="auto"/>
      <w:ind w:left="360"/>
      <w:jc w:val="left"/>
    </w:pPr>
    <w:rPr>
      <w:sz w:val="21"/>
    </w:rPr>
  </w:style>
  <w:style w:type="paragraph" w:customStyle="1" w:styleId="TableofFigures1">
    <w:name w:val="Table of Figures1"/>
    <w:basedOn w:val="Normal"/>
    <w:pPr>
      <w:spacing w:after="0" w:line="240" w:lineRule="auto"/>
      <w:jc w:val="left"/>
    </w:pPr>
    <w:rPr>
      <w:sz w:val="21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5662D"/>
    <w:pPr>
      <w:spacing w:after="0" w:line="240" w:lineRule="auto"/>
    </w:pPr>
    <w:rPr>
      <w:rFonts w:cs="Times New Roman"/>
      <w:sz w:val="19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35662D"/>
    <w:pPr>
      <w:spacing w:after="0" w:line="240" w:lineRule="auto"/>
      <w:ind w:left="240"/>
    </w:pPr>
    <w:rPr>
      <w:rFonts w:cs="Times New Roman"/>
      <w:sz w:val="19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35662D"/>
    <w:pPr>
      <w:spacing w:after="0" w:line="240" w:lineRule="auto"/>
    </w:pPr>
    <w:rPr>
      <w:rFonts w:cs="Times New Roman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21D324-43EB-417D-9C93-ED0635AAF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2313</Words>
  <Characters>13194</Characters>
  <Application>Microsoft Office Word</Application>
  <DocSecurity>0</DocSecurity>
  <Lines>256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Madhava Reddy</cp:lastModifiedBy>
  <cp:revision>2</cp:revision>
  <dcterms:created xsi:type="dcterms:W3CDTF">2013-12-23T23:15:00Z</dcterms:created>
  <dcterms:modified xsi:type="dcterms:W3CDTF">2026-10-22T13:16:00Z</dcterms:modified>
  <cp:category/>
</cp:coreProperties>
</file>