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SymptoTrackAI: Hybrid RAG Based Symptom Tracking and Health Monitoring System</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Mariyada Karthika Reddy</w:t>
            </w:r>
          </w:p>
          <w:p>
            <w:pPr>
              <w:spacing w:after="0"/>
              <w:jc w:val="center"/>
            </w:pPr>
            <w:r>
              <w:rPr>
                <w:rFonts w:ascii="Times New Roman" w:hAnsi="Times New Roman" w:cs="Times New Roman" w:eastAsia="Times New Roman"/>
                <w:b w:val="0"/>
                <w:sz w:val="18"/>
              </w:rPr>
              <w:t>Roll No. 23K91A05E9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Nacharam Akshaya</w:t>
            </w:r>
          </w:p>
          <w:p>
            <w:pPr>
              <w:spacing w:after="0"/>
              <w:jc w:val="center"/>
            </w:pPr>
            <w:r>
              <w:rPr>
                <w:rFonts w:ascii="Times New Roman" w:hAnsi="Times New Roman" w:cs="Times New Roman" w:eastAsia="Times New Roman"/>
                <w:b w:val="0"/>
                <w:sz w:val="18"/>
              </w:rPr>
              <w:t>Roll No. 23K91A05G6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Madoori Prabath Teja</w:t>
            </w:r>
          </w:p>
          <w:p>
            <w:pPr>
              <w:spacing w:after="0"/>
              <w:jc w:val="center"/>
            </w:pPr>
            <w:r>
              <w:rPr>
                <w:rFonts w:ascii="Times New Roman" w:hAnsi="Times New Roman" w:cs="Times New Roman" w:eastAsia="Times New Roman"/>
                <w:b w:val="0"/>
                <w:sz w:val="18"/>
              </w:rPr>
              <w:t>Roll No. 23K91A05D6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Pulimadhi Keerthan</w:t>
            </w:r>
          </w:p>
          <w:p>
            <w:pPr>
              <w:spacing w:after="0"/>
              <w:jc w:val="center"/>
            </w:pPr>
            <w:r>
              <w:rPr>
                <w:rFonts w:ascii="Times New Roman" w:hAnsi="Times New Roman" w:cs="Times New Roman" w:eastAsia="Times New Roman"/>
                <w:b w:val="0"/>
                <w:sz w:val="18"/>
              </w:rPr>
              <w:t>Roll No. 23K91A05K1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Dr. Ch. B. Naga Lakshmi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Patients often delay care because early symptoms look minor, and web self-diagnosis returns alarming and unreliable answers. This paper presents SymptoTrackAI, implemented as the CareLens AI web application, a local symptom-monitoring assistant that answers only from a retrieved medical knowledge base. A symptom description in everyday language is normalised, expanded with a rule-based hypothetical-document template, searched by a dense retriever (MiniLM with FAISS) and a lexical retriever (BM25), fused, reranked by a cross-encoder, turned into a grounded answer and screened by a rule-based safety layer; each consultation is stored privately per user. On a synthetic knowledge base of 176 records and 30 conditions, the shipped configuration ranks the right condition first for 96.7% of 60 lay-language probes, 88.1% of two-symptom queries and 97.2% of leave-one-out verbatim queries, in under one second per request on a CPU. Testing also exposed defects: the local generator echoes its prompt, the displayed relevance is always 100%, and the safety rules caught none of 12 paraphrased emergencies. The knowledge base is synthetic and the probes are written by the authors, so the results show that the pipeline works, not that it is clinically accurate.</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FAISS semantic search, healthcare chatbot, hybrid retrieval, query expansion, retrieval-augmented generation, safety escalation, symptom monitoring.</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People often delay consulting a clinician because early symptoms seem minor or access is inconvenient, and a general web search for them returns alarming and frequently wrong conclusions. Language models can interpret symptoms written in ordinary language, but ungrounded models hallucinate [2], which is unacceptable when the answer may be acted on. Retrieval-augmented generation (RAG) [3] restricts the answer to passages fetched from a curated knowledge base, and a benchmark of medical question answering examines how far retrieval helps language models and how much the choice of retriever and corpus matters [4].</w:t>
      </w:r>
    </w:p>
    <w:p>
      <w:pPr>
        <w:keepNext w:val="0"/>
        <w:spacing w:after="0" w:before="0" w:line="240" w:lineRule="auto"/>
        <w:ind w:firstLine="288"/>
        <w:jc w:val="both"/>
      </w:pPr>
      <w:r>
        <w:rPr>
          <w:rFonts w:ascii="Times New Roman" w:hAnsi="Times New Roman" w:cs="Times New Roman" w:eastAsia="Times New Roman"/>
          <w:sz w:val="20"/>
        </w:rPr>
        <w:t>Medical chatbots have been built with machine learning, natural-language understanding and BERT [5], [6], [7] and, more recently, with retrieval over medical books [8]. The base paper [1] combines a transformer encoder, FAISS similarity search and RAG in a web application with registration, login and a stored consultation history. It reports no measurement: its results are qualitative observations and one worked example, and it describes neither a lexical retriever, a reranker nor any handling of emergencies. A user is therefore left with no evidence of how often the right condition is retrieved, how long an answer takes, or what happens when the question is outside the knowledge base.</w:t>
      </w:r>
    </w:p>
    <w:p>
      <w:pPr>
        <w:keepNext w:val="0"/>
        <w:spacing w:after="0" w:before="0" w:line="240" w:lineRule="auto"/>
        <w:ind w:firstLine="288"/>
        <w:jc w:val="both"/>
      </w:pPr>
      <w:r>
        <w:rPr>
          <w:rFonts w:ascii="Times New Roman" w:hAnsi="Times New Roman" w:cs="Times New Roman" w:eastAsia="Times New Roman"/>
          <w:sz w:val="20"/>
        </w:rPr>
        <w:t>SymptoTrackAI, implemented as the CareLens AI web application, takes the base paper's retrieve-then-answer design and adds what is needed to measure and use it. The contributions are: (1) a local pipeline with hybrid dense and lexical retrieval, cross-encoder reranking, grounded generation with an offline fallback, a rule-based safety layer and a private per-user consultation history; (2) a retrieval evaluation that separates the shipped upper-bound protocol from leave-one-out, two-symptom and lay-language tests and from an ablation of each stage; (3) measurements of the safety layer, the displayed relevance score and latency; and (4) a plain record of the defects this testing found. Section II reviews related work, Section III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used one desktop PC: 12th Gen Intel Core i5-12500 (6 cores / 12 threads), no GPU, 15.7 GB of RAM and Windows 11. Models ran on the CPU.</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FastAPI 0.159.1 with SQLite through SQLAlchemy 2.1.6; sentence-transformers 6.2.0 with all-MiniLM-L6-v2 [9], [10] and the MS MARCO MiniLM cross-encoder [11]; FAISS 1.15.1 [12]; rank-bm25; PyTorch 2.14.1+cpu and Transformers 5.20.2 running Flan-T5-small [13]; scikit-learn 1.9.1 [14]; bcrypt and PyJWT for accounts; and a React and Vite interface.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Madhury and Ramesh [1] present a symptom-monitoring framework in which a transformer (named Sequence-NQ in the paper) embeds user queries and the records of a symptom-disease knowledge base into one space, FAISS retrieves the nearest records, and a RAG step writes a response. A secure web application provides registration, login, a chatbot and a log of past consultations, and the paper's figure shows an example in which constipation, stomach ache, high fever and swollen lymph nodes lead to a suggestion of typhoid. The knowledge base is described as de-duplicated and indexed but its size, source and licence are not given, and the results section contains no accuracy, latency or ablation figure. Its stated future work is a larger knowledge base, multilingual support, multimodal input and cloud deployment.</w:t>
      </w:r>
    </w:p>
    <w:p>
      <w:pPr>
        <w:keepNext w:val="0"/>
        <w:spacing w:after="0" w:before="0" w:line="240" w:lineRule="auto"/>
        <w:ind w:firstLine="288"/>
        <w:jc w:val="both"/>
      </w:pPr>
      <w:r>
        <w:rPr>
          <w:rFonts w:ascii="Times New Roman" w:hAnsi="Times New Roman" w:cs="Times New Roman" w:eastAsia="Times New Roman"/>
          <w:b/>
          <w:sz w:val="20"/>
        </w:rPr>
        <w:t>Medical chatbots.</w:t>
      </w:r>
      <w:r>
        <w:rPr>
          <w:rFonts w:ascii="Times New Roman" w:hAnsi="Times New Roman" w:cs="Times New Roman" w:eastAsia="Times New Roman"/>
          <w:sz w:val="20"/>
        </w:rPr>
        <w:t xml:space="preserve"> Divya et al. [5] built an early self-diagnosis chatbot, Hsu and Yu [6] combined machine learning with language understanding, and Babu and Boddu [7] used BERT; as summarised in [1] these works report better interaction or understanding than rule-based chatbots, without figures that can be compared here. Peri et al. [8] answer from medical books with a RAG model. Son et al. [15] fine-tune embedding models for a hospital chatbot over electronic-medical-record manuals and report retrieval accuracy of 97.6% (BGE-M3) and 89.7% (Multilingual-E5-Large) on 5,931 question-document pairs with query latency under 10 ms. ClinicBot [16] extracts diabetes guidelines into structured units, ranks evidence by clinical priority and shows verifiable citations in a system demonstration.</w:t>
      </w:r>
    </w:p>
    <w:p>
      <w:pPr>
        <w:keepNext w:val="0"/>
        <w:spacing w:after="0" w:before="0" w:line="240" w:lineRule="auto"/>
        <w:ind w:firstLine="288"/>
        <w:jc w:val="both"/>
      </w:pPr>
      <w:r>
        <w:rPr>
          <w:rFonts w:ascii="Times New Roman" w:hAnsi="Times New Roman" w:cs="Times New Roman" w:eastAsia="Times New Roman"/>
          <w:b/>
          <w:sz w:val="20"/>
        </w:rPr>
        <w:t>Retrieval components.</w:t>
      </w:r>
      <w:r>
        <w:rPr>
          <w:rFonts w:ascii="Times New Roman" w:hAnsi="Times New Roman" w:cs="Times New Roman" w:eastAsia="Times New Roman"/>
          <w:sz w:val="20"/>
        </w:rPr>
        <w:t xml:space="preserve"> Dense passage retrieval [17] and sentence embeddings [10] compare meaning by vector similarity, FAISS [12] makes that search fast, and BM25 [18] remains a strong lexical baseline. Hypothetical-document embeddings [19] ask a language model to write a pseudo-document and search with it; here a fixed template plays that role. Cross-encoder rerankers score the query and a candidate together [11], and reciprocal rank fusion [20] is a common alternative to score fusion.</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432"/>
          </w:tcPr>
          <w:p>
            <w:pPr>
              <w:jc w:val="center"/>
            </w:pPr>
            <w:r/>
            <w:r>
              <w:rPr>
                <w:rFonts w:ascii="Times New Roman" w:hAnsi="Times New Roman" w:cs="Times New Roman" w:eastAsia="Times New Roman"/>
                <w:b/>
                <w:sz w:val="14"/>
              </w:rPr>
              <w:t>Work</w:t>
            </w:r>
          </w:p>
        </w:tc>
        <w:tc>
          <w:tcPr>
            <w:tcW w:type="dxa" w:w="1224"/>
          </w:tcPr>
          <w:p>
            <w:pPr>
              <w:jc w:val="center"/>
            </w:pPr>
            <w:r/>
            <w:r>
              <w:rPr>
                <w:rFonts w:ascii="Times New Roman" w:hAnsi="Times New Roman" w:cs="Times New Roman" w:eastAsia="Times New Roman"/>
                <w:b/>
                <w:sz w:val="14"/>
              </w:rPr>
              <w:t>Approach</w:t>
            </w:r>
          </w:p>
        </w:tc>
        <w:tc>
          <w:tcPr>
            <w:tcW w:type="dxa" w:w="1080"/>
          </w:tcPr>
          <w:p>
            <w:pPr>
              <w:jc w:val="center"/>
            </w:pPr>
            <w:r/>
            <w:r>
              <w:rPr>
                <w:rFonts w:ascii="Times New Roman" w:hAnsi="Times New Roman" w:cs="Times New Roman" w:eastAsia="Times New Roman"/>
                <w:b/>
                <w:sz w:val="14"/>
              </w:rPr>
              <w:t>Data</w:t>
            </w:r>
          </w:p>
        </w:tc>
        <w:tc>
          <w:tcPr>
            <w:tcW w:type="dxa" w:w="1152"/>
          </w:tcPr>
          <w:p>
            <w:pPr>
              <w:jc w:val="center"/>
            </w:pPr>
            <w:r/>
            <w:r>
              <w:rPr>
                <w:rFonts w:ascii="Times New Roman" w:hAnsi="Times New Roman" w:cs="Times New Roman" w:eastAsia="Times New Roman"/>
                <w:b/>
                <w:sz w:val="14"/>
              </w:rPr>
              <w:t>Reported result</w:t>
            </w:r>
          </w:p>
        </w:tc>
        <w:tc>
          <w:tcPr>
            <w:tcW w:type="dxa" w:w="1008"/>
          </w:tcPr>
          <w:p>
            <w:pPr>
              <w:jc w:val="center"/>
            </w:pPr>
            <w:r/>
            <w:r>
              <w:rPr>
                <w:rFonts w:ascii="Times New Roman" w:hAnsi="Times New Roman" w:cs="Times New Roman" w:eastAsia="Times New Roman"/>
                <w:b/>
                <w:sz w:val="14"/>
              </w:rPr>
              <w:t>Limitation</w:t>
            </w:r>
          </w:p>
        </w:tc>
      </w:tr>
      <w:tr>
        <w:trPr>
          <w:cantSplit w:val="true"/>
        </w:trPr>
        <w:tc>
          <w:tcPr>
            <w:tcW w:type="dxa" w:w="432"/>
          </w:tcPr>
          <w:p>
            <w:pPr>
              <w:jc w:val="center"/>
            </w:pPr>
            <w:r/>
            <w:r>
              <w:rPr>
                <w:rFonts w:ascii="Times New Roman" w:hAnsi="Times New Roman" w:cs="Times New Roman" w:eastAsia="Times New Roman"/>
                <w:sz w:val="14"/>
              </w:rPr>
              <w:t>[1]</w:t>
            </w:r>
          </w:p>
        </w:tc>
        <w:tc>
          <w:tcPr>
            <w:tcW w:type="dxa" w:w="1224"/>
          </w:tcPr>
          <w:p>
            <w:pPr>
              <w:jc w:val="left"/>
            </w:pPr>
            <w:r/>
            <w:r>
              <w:rPr>
                <w:rFonts w:ascii="Times New Roman" w:hAnsi="Times New Roman" w:cs="Times New Roman" w:eastAsia="Times New Roman"/>
                <w:sz w:val="14"/>
              </w:rPr>
              <w:t>Transformer + FAISS + RAG chatbot, history log</w:t>
            </w:r>
          </w:p>
        </w:tc>
        <w:tc>
          <w:tcPr>
            <w:tcW w:type="dxa" w:w="1080"/>
          </w:tcPr>
          <w:p>
            <w:pPr>
              <w:jc w:val="left"/>
            </w:pPr>
            <w:r/>
            <w:r>
              <w:rPr>
                <w:rFonts w:ascii="Times New Roman" w:hAnsi="Times New Roman" w:cs="Times New Roman" w:eastAsia="Times New Roman"/>
                <w:sz w:val="14"/>
              </w:rPr>
              <w:t>Symptom-disease KB, size not given</w:t>
            </w:r>
          </w:p>
        </w:tc>
        <w:tc>
          <w:tcPr>
            <w:tcW w:type="dxa" w:w="1152"/>
          </w:tcPr>
          <w:p>
            <w:pPr>
              <w:jc w:val="left"/>
            </w:pPr>
            <w:r/>
            <w:r>
              <w:rPr>
                <w:rFonts w:ascii="Times New Roman" w:hAnsi="Times New Roman" w:cs="Times New Roman" w:eastAsia="Times New Roman"/>
                <w:sz w:val="14"/>
              </w:rPr>
              <w:t>Qualitative; one typhoid example</w:t>
            </w:r>
          </w:p>
        </w:tc>
        <w:tc>
          <w:tcPr>
            <w:tcW w:type="dxa" w:w="1008"/>
          </w:tcPr>
          <w:p>
            <w:pPr>
              <w:jc w:val="left"/>
            </w:pPr>
            <w:r/>
            <w:r>
              <w:rPr>
                <w:rFonts w:ascii="Times New Roman" w:hAnsi="Times New Roman" w:cs="Times New Roman" w:eastAsia="Times New Roman"/>
                <w:sz w:val="14"/>
              </w:rPr>
              <w:t>No metrics, no safety, no lexical or rerank stage</w:t>
            </w:r>
          </w:p>
        </w:tc>
      </w:tr>
      <w:tr>
        <w:trPr>
          <w:cantSplit w:val="true"/>
        </w:trPr>
        <w:tc>
          <w:tcPr>
            <w:tcW w:type="dxa" w:w="432"/>
          </w:tcPr>
          <w:p>
            <w:pPr>
              <w:jc w:val="center"/>
            </w:pPr>
            <w:r/>
            <w:r>
              <w:rPr>
                <w:rFonts w:ascii="Times New Roman" w:hAnsi="Times New Roman" w:cs="Times New Roman" w:eastAsia="Times New Roman"/>
                <w:sz w:val="14"/>
              </w:rPr>
              <w:t>[8]</w:t>
            </w:r>
          </w:p>
        </w:tc>
        <w:tc>
          <w:tcPr>
            <w:tcW w:type="dxa" w:w="1224"/>
          </w:tcPr>
          <w:p>
            <w:pPr>
              <w:jc w:val="left"/>
            </w:pPr>
            <w:r/>
            <w:r>
              <w:rPr>
                <w:rFonts w:ascii="Times New Roman" w:hAnsi="Times New Roman" w:cs="Times New Roman" w:eastAsia="Times New Roman"/>
                <w:sz w:val="14"/>
              </w:rPr>
              <w:t>RAG over medical books</w:t>
            </w:r>
          </w:p>
        </w:tc>
        <w:tc>
          <w:tcPr>
            <w:tcW w:type="dxa" w:w="1080"/>
          </w:tcPr>
          <w:p>
            <w:pPr>
              <w:jc w:val="left"/>
            </w:pPr>
            <w:r/>
            <w:r>
              <w:rPr>
                <w:rFonts w:ascii="Times New Roman" w:hAnsi="Times New Roman" w:cs="Times New Roman" w:eastAsia="Times New Roman"/>
                <w:sz w:val="14"/>
              </w:rPr>
              <w:t>Medical literature</w:t>
            </w:r>
          </w:p>
        </w:tc>
        <w:tc>
          <w:tcPr>
            <w:tcW w:type="dxa" w:w="1152"/>
          </w:tcPr>
          <w:p>
            <w:pPr>
              <w:jc w:val="left"/>
            </w:pPr>
            <w:r/>
            <w:r>
              <w:rPr>
                <w:rFonts w:ascii="Times New Roman" w:hAnsi="Times New Roman" w:cs="Times New Roman" w:eastAsia="Times New Roman"/>
                <w:sz w:val="14"/>
              </w:rPr>
              <w:t>Improved factual consistency (as summarised in [1])</w:t>
            </w:r>
          </w:p>
        </w:tc>
        <w:tc>
          <w:tcPr>
            <w:tcW w:type="dxa" w:w="1008"/>
          </w:tcPr>
          <w:p>
            <w:pPr>
              <w:jc w:val="left"/>
            </w:pPr>
            <w:r/>
            <w:r>
              <w:rPr>
                <w:rFonts w:ascii="Times New Roman" w:hAnsi="Times New Roman" w:cs="Times New Roman" w:eastAsia="Times New Roman"/>
                <w:sz w:val="14"/>
              </w:rPr>
              <w:t>No figures in the summary</w:t>
            </w:r>
          </w:p>
        </w:tc>
      </w:tr>
      <w:tr>
        <w:trPr>
          <w:cantSplit w:val="true"/>
        </w:trPr>
        <w:tc>
          <w:tcPr>
            <w:tcW w:type="dxa" w:w="432"/>
          </w:tcPr>
          <w:p>
            <w:pPr>
              <w:jc w:val="center"/>
            </w:pPr>
            <w:r/>
            <w:r>
              <w:rPr>
                <w:rFonts w:ascii="Times New Roman" w:hAnsi="Times New Roman" w:cs="Times New Roman" w:eastAsia="Times New Roman"/>
                <w:sz w:val="14"/>
              </w:rPr>
              <w:t>[15]</w:t>
            </w:r>
          </w:p>
        </w:tc>
        <w:tc>
          <w:tcPr>
            <w:tcW w:type="dxa" w:w="1224"/>
          </w:tcPr>
          <w:p>
            <w:pPr>
              <w:jc w:val="left"/>
            </w:pPr>
            <w:r/>
            <w:r>
              <w:rPr>
                <w:rFonts w:ascii="Times New Roman" w:hAnsi="Times New Roman" w:cs="Times New Roman" w:eastAsia="Times New Roman"/>
                <w:sz w:val="14"/>
              </w:rPr>
              <w:t>Fine-tuned embeddings + RAG</w:t>
            </w:r>
          </w:p>
        </w:tc>
        <w:tc>
          <w:tcPr>
            <w:tcW w:type="dxa" w:w="1080"/>
          </w:tcPr>
          <w:p>
            <w:pPr>
              <w:jc w:val="left"/>
            </w:pPr>
            <w:r/>
            <w:r>
              <w:rPr>
                <w:rFonts w:ascii="Times New Roman" w:hAnsi="Times New Roman" w:cs="Times New Roman" w:eastAsia="Times New Roman"/>
                <w:sz w:val="14"/>
              </w:rPr>
              <w:t>5,931 question-document pairs, EMR manuals</w:t>
            </w:r>
          </w:p>
        </w:tc>
        <w:tc>
          <w:tcPr>
            <w:tcW w:type="dxa" w:w="1152"/>
          </w:tcPr>
          <w:p>
            <w:pPr>
              <w:jc w:val="left"/>
            </w:pPr>
            <w:r/>
            <w:r>
              <w:rPr>
                <w:rFonts w:ascii="Times New Roman" w:hAnsi="Times New Roman" w:cs="Times New Roman" w:eastAsia="Times New Roman"/>
                <w:sz w:val="14"/>
              </w:rPr>
              <w:t>97.6% / 89.7% retrieval accuracy, &lt; 10 ms</w:t>
            </w:r>
          </w:p>
        </w:tc>
        <w:tc>
          <w:tcPr>
            <w:tcW w:type="dxa" w:w="1008"/>
          </w:tcPr>
          <w:p>
            <w:pPr>
              <w:jc w:val="left"/>
            </w:pPr>
            <w:r/>
            <w:r>
              <w:rPr>
                <w:rFonts w:ascii="Times New Roman" w:hAnsi="Times New Roman" w:cs="Times New Roman" w:eastAsia="Times New Roman"/>
                <w:sz w:val="14"/>
              </w:rPr>
              <w:t>Hospital administration, not symptoms</w:t>
            </w:r>
          </w:p>
        </w:tc>
      </w:tr>
      <w:tr>
        <w:trPr>
          <w:cantSplit w:val="true"/>
        </w:trPr>
        <w:tc>
          <w:tcPr>
            <w:tcW w:type="dxa" w:w="432"/>
          </w:tcPr>
          <w:p>
            <w:pPr>
              <w:jc w:val="center"/>
            </w:pPr>
            <w:r/>
            <w:r>
              <w:rPr>
                <w:rFonts w:ascii="Times New Roman" w:hAnsi="Times New Roman" w:cs="Times New Roman" w:eastAsia="Times New Roman"/>
                <w:sz w:val="14"/>
              </w:rPr>
              <w:t>[16]</w:t>
            </w:r>
          </w:p>
        </w:tc>
        <w:tc>
          <w:tcPr>
            <w:tcW w:type="dxa" w:w="1224"/>
          </w:tcPr>
          <w:p>
            <w:pPr>
              <w:jc w:val="left"/>
            </w:pPr>
            <w:r/>
            <w:r>
              <w:rPr>
                <w:rFonts w:ascii="Times New Roman" w:hAnsi="Times New Roman" w:cs="Times New Roman" w:eastAsia="Times New Roman"/>
                <w:sz w:val="14"/>
              </w:rPr>
              <w:t>Guideline extraction, prioritised evidence, citations</w:t>
            </w:r>
          </w:p>
        </w:tc>
        <w:tc>
          <w:tcPr>
            <w:tcW w:type="dxa" w:w="1080"/>
          </w:tcPr>
          <w:p>
            <w:pPr>
              <w:jc w:val="left"/>
            </w:pPr>
            <w:r/>
            <w:r>
              <w:rPr>
                <w:rFonts w:ascii="Times New Roman" w:hAnsi="Times New Roman" w:cs="Times New Roman" w:eastAsia="Times New Roman"/>
                <w:sz w:val="14"/>
              </w:rPr>
              <w:t>ADA Standards of Care 2025</w:t>
            </w:r>
          </w:p>
        </w:tc>
        <w:tc>
          <w:tcPr>
            <w:tcW w:type="dxa" w:w="1152"/>
          </w:tcPr>
          <w:p>
            <w:pPr>
              <w:jc w:val="left"/>
            </w:pPr>
            <w:r/>
            <w:r>
              <w:rPr>
                <w:rFonts w:ascii="Times New Roman" w:hAnsi="Times New Roman" w:cs="Times New Roman" w:eastAsia="Times New Roman"/>
                <w:sz w:val="14"/>
              </w:rPr>
              <w:t>System demonstration</w:t>
            </w:r>
          </w:p>
        </w:tc>
        <w:tc>
          <w:tcPr>
            <w:tcW w:type="dxa" w:w="1008"/>
          </w:tcPr>
          <w:p>
            <w:pPr>
              <w:jc w:val="left"/>
            </w:pPr>
            <w:r/>
            <w:r>
              <w:rPr>
                <w:rFonts w:ascii="Times New Roman" w:hAnsi="Times New Roman" w:cs="Times New Roman" w:eastAsia="Times New Roman"/>
                <w:sz w:val="14"/>
              </w:rPr>
              <w:t>One disease area; no accuracy table</w:t>
            </w:r>
          </w:p>
        </w:tc>
      </w:tr>
      <w:tr>
        <w:trPr>
          <w:cantSplit w:val="true"/>
        </w:trPr>
        <w:tc>
          <w:tcPr>
            <w:tcW w:type="dxa" w:w="432"/>
          </w:tcPr>
          <w:p>
            <w:pPr>
              <w:jc w:val="center"/>
            </w:pPr>
            <w:r/>
            <w:r>
              <w:rPr>
                <w:rFonts w:ascii="Times New Roman" w:hAnsi="Times New Roman" w:cs="Times New Roman" w:eastAsia="Times New Roman"/>
                <w:sz w:val="14"/>
              </w:rPr>
              <w:t>[4]</w:t>
            </w:r>
          </w:p>
        </w:tc>
        <w:tc>
          <w:tcPr>
            <w:tcW w:type="dxa" w:w="1224"/>
          </w:tcPr>
          <w:p>
            <w:pPr>
              <w:jc w:val="left"/>
            </w:pPr>
            <w:r/>
            <w:r>
              <w:rPr>
                <w:rFonts w:ascii="Times New Roman" w:hAnsi="Times New Roman" w:cs="Times New Roman" w:eastAsia="Times New Roman"/>
                <w:sz w:val="14"/>
              </w:rPr>
              <w:t>Benchmark of RAG for medical QA</w:t>
            </w:r>
          </w:p>
        </w:tc>
        <w:tc>
          <w:tcPr>
            <w:tcW w:type="dxa" w:w="1080"/>
          </w:tcPr>
          <w:p>
            <w:pPr>
              <w:jc w:val="left"/>
            </w:pPr>
            <w:r/>
            <w:r>
              <w:rPr>
                <w:rFonts w:ascii="Times New Roman" w:hAnsi="Times New Roman" w:cs="Times New Roman" w:eastAsia="Times New Roman"/>
                <w:sz w:val="14"/>
              </w:rPr>
              <w:t>Medical QA sets</w:t>
            </w:r>
          </w:p>
        </w:tc>
        <w:tc>
          <w:tcPr>
            <w:tcW w:type="dxa" w:w="1152"/>
          </w:tcPr>
          <w:p>
            <w:pPr>
              <w:jc w:val="left"/>
            </w:pPr>
            <w:r/>
            <w:r>
              <w:rPr>
                <w:rFonts w:ascii="Times New Roman" w:hAnsi="Times New Roman" w:cs="Times New Roman" w:eastAsia="Times New Roman"/>
                <w:sz w:val="14"/>
              </w:rPr>
              <w:t>Studies retrieval, retriever and corpus choices</w:t>
            </w:r>
          </w:p>
        </w:tc>
        <w:tc>
          <w:tcPr>
            <w:tcW w:type="dxa" w:w="1008"/>
          </w:tcPr>
          <w:p>
            <w:pPr>
              <w:jc w:val="left"/>
            </w:pPr>
            <w:r/>
            <w:r>
              <w:rPr>
                <w:rFonts w:ascii="Times New Roman" w:hAnsi="Times New Roman" w:cs="Times New Roman" w:eastAsia="Times New Roman"/>
                <w:sz w:val="14"/>
              </w:rPr>
              <w:t>Question answering, not symptoms</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surveyed chatbots either report no measurement or work on another task, none evaluates hybrid retrieval for symptom queries, and none reports what happens to the shown confidence when the question is outside the knowledge base or whether an emergency is flagged. The longitudinal tracking promised by the base paper is a stored list of consultations. SymptoTrackAI targets the missing measurement and safety evidence at demonstration scale; it does not enlarge the knowledge base to clinical scale.</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tiers. A React single-page application calls a FastAPI service on the same machine. The service runs the retrieval pipeline, keeps two SQLite tables (users and consultations), authenticates with bcrypt-hashed passwords and a signed JWT in an httponly cookie, and exposes ten endpoints for health, registration, login, logout, session check, chat, history list, detail and delete, and the stored metrics. Nothing leaves the machine.</w:t>
      </w:r>
    </w:p>
    <w:p>
      <w:pPr>
        <w:keepNext/>
        <w:spacing w:before="80"/>
        <w:jc w:val="center"/>
      </w:pPr>
      <w:r>
        <w:drawing>
          <wp:inline xmlns:a="http://schemas.openxmlformats.org/drawingml/2006/main" xmlns:pic="http://schemas.openxmlformats.org/drawingml/2006/picture">
            <wp:extent cx="3108960" cy="2971800"/>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971800"/>
                    </a:xfrm>
                    <a:prstGeom prst="rect"/>
                  </pic:spPr>
                </pic:pic>
              </a:graphicData>
            </a:graphic>
          </wp:inline>
        </w:drawing>
      </w:r>
    </w:p>
    <w:p>
      <w:pPr>
        <w:spacing w:after="100"/>
        <w:jc w:val="both"/>
      </w:pPr>
      <w:r>
        <w:rPr>
          <w:rFonts w:ascii="Times New Roman" w:hAnsi="Times New Roman" w:cs="Times New Roman" w:eastAsia="Times New Roman"/>
          <w:sz w:val="16"/>
        </w:rPr>
        <w:t>Fig. 1. SymptoTrackAI (CareLens AI) architecture: React interface, FastAPI service with the retrieval pipeline, SQLite storage and local model files.</w:t>
      </w:r>
    </w:p>
    <w:p>
      <w:pPr>
        <w:keepNext w:val="0"/>
        <w:spacing w:after="0" w:before="0" w:line="240" w:lineRule="auto"/>
        <w:ind w:firstLine="288"/>
        <w:jc w:val="both"/>
      </w:pPr>
      <w:r>
        <w:rPr>
          <w:rFonts w:ascii="Times New Roman" w:hAnsi="Times New Roman" w:cs="Times New Roman" w:eastAsia="Times New Roman"/>
          <w:b/>
          <w:sz w:val="20"/>
        </w:rPr>
        <w:t>Knowledge base.</w:t>
      </w:r>
      <w:r>
        <w:rPr>
          <w:rFonts w:ascii="Times New Roman" w:hAnsi="Times New Roman" w:cs="Times New Roman" w:eastAsia="Times New Roman"/>
          <w:sz w:val="20"/>
        </w:rPr>
        <w:t xml:space="preserve"> The base holds 176 records for 30 conditions (4 to 6 each), with 3.98 symptoms per record on average from a vocabulary of 97. Each record has symptoms, a description, guidance, a severity level and red-flag symptoms; all records of a condition share one description and guidance (30 distinct pairs). The records were generated by the project from a hand-written table (random symptom subsets, seed 42) because no public dataset was used; the base is labelled synthetic in the application and has not been reviewed clinically.</w:t>
      </w:r>
    </w:p>
    <w:p>
      <w:pPr>
        <w:keepNext w:val="0"/>
        <w:spacing w:after="0" w:before="0" w:line="240" w:lineRule="auto"/>
        <w:ind w:firstLine="288"/>
        <w:jc w:val="both"/>
      </w:pPr>
      <w:r>
        <w:rPr>
          <w:rFonts w:ascii="Times New Roman" w:hAnsi="Times New Roman" w:cs="Times New Roman" w:eastAsia="Times New Roman"/>
          <w:b/>
          <w:sz w:val="20"/>
        </w:rPr>
        <w:t>Main flow.</w:t>
      </w:r>
      <w:r>
        <w:rPr>
          <w:rFonts w:ascii="Times New Roman" w:hAnsi="Times New Roman" w:cs="Times New Roman" w:eastAsia="Times New Roman"/>
          <w:sz w:val="20"/>
        </w:rPr>
        <w:t xml:space="preserve"> Fig. 2 follows one request. The text (3 to 2,000 characters) is lowercased and split into fragments, and a template turns them into a pseudo-document, "medical symptom presentation involving ...", that is appended to the query. This is a rule, not a model. The combined text is embedded by all-MiniLM-L6-v2 (384 dimensions, normalised) and matched by inner product in a flat FAISS index, and scored by BM25 with the standard saturation and length terms</w:t>
      </w:r>
    </w:p>
    <w:p>
      <w:pPr>
        <w:keepLines/>
        <w:spacing w:before="40" w:after="40"/>
        <w:jc w:val="center"/>
      </w:pPr>
      <w:r>
        <w:rPr>
          <w:rFonts w:ascii="Times New Roman" w:hAnsi="Times New Roman" w:cs="Times New Roman" w:eastAsia="Times New Roman"/>
          <w:b w:val="0"/>
          <w:i/>
          <w:sz w:val="20"/>
        </w:rPr>
        <w:t>BM25(q, d) = Σ</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 xml:space="preserve"> IDF(t) f(t,d)(k1+1) / (f(t,d) + k1(1 - b + b|d|/avgdl)),</w:t>
      </w:r>
      <w:r>
        <w:rPr>
          <w:rFonts w:ascii="Times New Roman" w:hAnsi="Times New Roman" w:cs="Times New Roman" w:eastAsia="Times New Roman"/>
          <w:sz w:val="20"/>
        </w:rPr>
        <w:t xml:space="preserve">        (1)</w:t>
      </w:r>
    </w:p>
    <w:p>
      <w:pPr>
        <w:keepNext/>
        <w:spacing w:before="80"/>
        <w:jc w:val="center"/>
      </w:pPr>
      <w:r>
        <w:drawing>
          <wp:inline xmlns:a="http://schemas.openxmlformats.org/drawingml/2006/main" xmlns:pic="http://schemas.openxmlformats.org/drawingml/2006/picture">
            <wp:extent cx="3108960" cy="4114800"/>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4114800"/>
                    </a:xfrm>
                    <a:prstGeom prst="rect"/>
                  </pic:spPr>
                </pic:pic>
              </a:graphicData>
            </a:graphic>
          </wp:inline>
        </w:drawing>
      </w:r>
    </w:p>
    <w:p>
      <w:pPr>
        <w:spacing w:after="100"/>
        <w:jc w:val="both"/>
      </w:pPr>
      <w:r>
        <w:rPr>
          <w:rFonts w:ascii="Times New Roman" w:hAnsi="Times New Roman" w:cs="Times New Roman" w:eastAsia="Times New Roman"/>
          <w:sz w:val="16"/>
        </w:rPr>
        <w:t>Fig. 2. Main flow of one chat request: expansion, dual retrieval, fusion, reranking, grounded answer, safety check and storage.</w:t>
      </w:r>
    </w:p>
    <w:p>
      <w:pPr>
        <w:keepNext w:val="0"/>
        <w:spacing w:after="0" w:before="0" w:line="240" w:lineRule="auto"/>
        <w:ind w:firstLine="288"/>
        <w:jc w:val="both"/>
      </w:pPr>
      <w:r>
        <w:rPr>
          <w:rFonts w:ascii="Times New Roman" w:hAnsi="Times New Roman" w:cs="Times New Roman" w:eastAsia="Times New Roman"/>
          <w:sz w:val="20"/>
        </w:rPr>
        <w:t>Each retriever returns 15 candidates. Their scores are min-max normalised over the union and fused,</w:t>
      </w:r>
    </w:p>
    <w:p>
      <w:pPr>
        <w:keepLines/>
        <w:spacing w:before="40" w:after="40"/>
        <w:jc w:val="center"/>
      </w:pPr>
      <w:r>
        <w:rPr>
          <w:rFonts w:ascii="Times New Roman" w:hAnsi="Times New Roman" w:cs="Times New Roman" w:eastAsia="Times New Roman"/>
          <w:b w:val="0"/>
          <w:i/>
          <w:sz w:val="20"/>
        </w:rPr>
        <w:t>s</w:t>
      </w:r>
      <w:r>
        <w:rPr>
          <w:rFonts w:ascii="Times New Roman" w:hAnsi="Times New Roman" w:cs="Times New Roman" w:eastAsia="Times New Roman"/>
          <w:b w:val="0"/>
          <w:i/>
          <w:sz w:val="20"/>
          <w:vertAlign w:val="subscript"/>
        </w:rPr>
        <w:t>hyb</w:t>
      </w:r>
      <w:r>
        <w:rPr>
          <w:rFonts w:ascii="Times New Roman" w:hAnsi="Times New Roman" w:cs="Times New Roman" w:eastAsia="Times New Roman"/>
          <w:b w:val="0"/>
          <w:i/>
          <w:sz w:val="20"/>
        </w:rPr>
        <w:t>(d) = 0.65 n</w:t>
      </w:r>
      <w:r>
        <w:rPr>
          <w:rFonts w:ascii="Times New Roman" w:hAnsi="Times New Roman" w:cs="Times New Roman" w:eastAsia="Times New Roman"/>
          <w:b w:val="0"/>
          <w:i/>
          <w:sz w:val="20"/>
          <w:vertAlign w:val="subscript"/>
        </w:rPr>
        <w:t>dense</w:t>
      </w:r>
      <w:r>
        <w:rPr>
          <w:rFonts w:ascii="Times New Roman" w:hAnsi="Times New Roman" w:cs="Times New Roman" w:eastAsia="Times New Roman"/>
          <w:b w:val="0"/>
          <w:i/>
          <w:sz w:val="20"/>
        </w:rPr>
        <w:t>(d) + 0.35 n</w:t>
      </w:r>
      <w:r>
        <w:rPr>
          <w:rFonts w:ascii="Times New Roman" w:hAnsi="Times New Roman" w:cs="Times New Roman" w:eastAsia="Times New Roman"/>
          <w:b w:val="0"/>
          <w:i/>
          <w:sz w:val="20"/>
          <w:vertAlign w:val="subscript"/>
        </w:rPr>
        <w:t>bm25</w:t>
      </w:r>
      <w:r>
        <w:rPr>
          <w:rFonts w:ascii="Times New Roman" w:hAnsi="Times New Roman" w:cs="Times New Roman" w:eastAsia="Times New Roman"/>
          <w:b w:val="0"/>
          <w:i/>
          <w:sz w:val="20"/>
        </w:rPr>
        <w:t>(d),</w:t>
      </w:r>
      <w:r>
        <w:rPr>
          <w:rFonts w:ascii="Times New Roman" w:hAnsi="Times New Roman" w:cs="Times New Roman" w:eastAsia="Times New Roman"/>
          <w:sz w:val="20"/>
        </w:rPr>
        <w:t xml:space="preserve">        (2)</w:t>
      </w:r>
    </w:p>
    <w:p>
      <w:pPr>
        <w:keepNext w:val="0"/>
        <w:spacing w:after="0" w:before="0" w:line="240" w:lineRule="auto"/>
        <w:jc w:val="both"/>
      </w:pPr>
      <w:r>
        <w:rPr>
          <w:rFonts w:ascii="Times New Roman" w:hAnsi="Times New Roman" w:cs="Times New Roman" w:eastAsia="Times New Roman"/>
          <w:sz w:val="20"/>
        </w:rPr>
        <w:t>and the 15 fused candidates are rescored by a cross-encoder trained on MS MARCO, which reads the query and the record text together. The five best become the evidence cards. The relevance shown to the user is the cross-encoder score min-max normalised over the 15 candidates, with bands at 0.66 and 0.33 labelled Strong, Moderate and Weak.</w:t>
      </w:r>
    </w:p>
    <w:p>
      <w:pPr>
        <w:keepNext w:val="0"/>
        <w:spacing w:after="0" w:before="0" w:line="240" w:lineRule="auto"/>
        <w:ind w:firstLine="288"/>
        <w:jc w:val="both"/>
      </w:pPr>
      <w:r>
        <w:rPr>
          <w:rFonts w:ascii="Times New Roman" w:hAnsi="Times New Roman" w:cs="Times New Roman" w:eastAsia="Times New Roman"/>
          <w:b/>
          <w:sz w:val="20"/>
        </w:rPr>
        <w:t>Generation and safety.</w:t>
      </w:r>
      <w:r>
        <w:rPr>
          <w:rFonts w:ascii="Times New Roman" w:hAnsi="Times New Roman" w:cs="Times New Roman" w:eastAsia="Times New Roman"/>
          <w:sz w:val="20"/>
        </w:rPr>
        <w:t xml:space="preserve"> The answer is produced by Flan-T5-small [13] from a prompt that contains the symptoms and the retrieved records; if the model cannot be loaded, a deterministic template that lists the matched conditions, their symptoms and guidance is used instead. A safety layer of ten regular-expression rules (chest pain, breathing difficulty, severe bleeding, loss of consciousness, stroke signs, anaphylaxis, self-harm, sudden neurological signs, seizures, severe abdominal pain) prepends an emergency notice, six keywords raise a caution banner, a disclaimer is always shown, and a filter replaces five medication phrases in the answer.</w:t>
      </w:r>
    </w:p>
    <w:p>
      <w:pPr>
        <w:keepNext w:val="0"/>
        <w:spacing w:after="0" w:before="0" w:line="240" w:lineRule="auto"/>
        <w:ind w:firstLine="288"/>
        <w:jc w:val="both"/>
      </w:pPr>
      <w:r>
        <w:rPr>
          <w:rFonts w:ascii="Times New Roman" w:hAnsi="Times New Roman" w:cs="Times New Roman" w:eastAsia="Times New Roman"/>
          <w:b/>
          <w:sz w:val="20"/>
        </w:rPr>
        <w:t>Implementation.</w:t>
      </w:r>
      <w:r>
        <w:rPr>
          <w:rFonts w:ascii="Times New Roman" w:hAnsi="Times New Roman" w:cs="Times New Roman" w:eastAsia="Times New Roman"/>
          <w:sz w:val="20"/>
        </w:rPr>
        <w:t xml:space="preserve"> Requests are validated by Pydantic schemas (e-mail format, password of 6 to 128 characters, query of 3 to 2,000 characters), and failures return a JSON detail with a meaningful status: 400 for a duplicate account, 401 for a missing or invalid session or a wrong password, 404 for another user's consultation, 422 for a malformed body, 503 when the knowledge base is missing and a generic 500 for an unexpected error. Every consultation row stores the query, the answer, the top condition, the five evidence records as JSON, the relevance and the safety flag, and every history query filters on the signed-in user, so one user cannot read or delete another's records (covered by a test). The history list returns the latest 200 consultations and can be searched by symptom or condition. The models load lazily on the first chat request, which takes about a minute on the test machine.</w:t>
      </w:r>
    </w:p>
    <w:p>
      <w:pPr>
        <w:keepNext w:val="0"/>
        <w:spacing w:after="0" w:before="0" w:line="240" w:lineRule="auto"/>
        <w:ind w:firstLine="288"/>
        <w:jc w:val="both"/>
      </w:pPr>
      <w:r>
        <w:rPr>
          <w:rFonts w:ascii="Times New Roman" w:hAnsi="Times New Roman" w:cs="Times New Roman" w:eastAsia="Times New Roman"/>
          <w:b/>
          <w:sz w:val="20"/>
        </w:rPr>
        <w:t>Reproducibility.</w:t>
      </w:r>
      <w:r>
        <w:rPr>
          <w:rFonts w:ascii="Times New Roman" w:hAnsi="Times New Roman" w:cs="Times New Roman" w:eastAsia="Times New Roman"/>
          <w:sz w:val="20"/>
        </w:rPr>
        <w:t xml:space="preserve"> The knowledge base, indexes, probe sets and every number in Section IV are produced by scripts in the repository (data preparation with a fixed seed, an index builder, a measurement script and a screen-capture script), and the figures quoted here are read from the JSON files they write, so the text cannot drift from the measurements. The application starts with one batch file, uses ports 8412 and 5412, and creates a demo account on first start.</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Top-1, top-3 and mean reciprocal rank (MRR@5) of the true condition are computed for five query sets: the 30 held-out records of the shipped script with the record still indexed (the shipped protocol); the same 30 with the record removed (leave-one-out); all 176 records as verbatim queries, leave-one-out; 176 queries of two random symptoms, leave-one-out; and 60 lay-language descriptions (two per condition) written by the authors. Seven configurations are compared: BM25, dense, hybrid, hybrid with the cross-encoder (shipped), the shipped system without the expansion template, and the offline TF-IDF fallback with and without BM25. Intervals are Wilson 95% intervals. Safety rules were tried on 40 emergency and 30 non-emergency sentences written by the authors, and latency was timed over 30 requests. 9 of 9 pytest tests and 22 of 22 end-to-end smoke checks pass.</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Everything ran on the machine of Section I-A with warm models. The knowledge base is synthetic, siblings of a held-out record stay in the index, and the lay-language probes were written by the authors, not by clinicians, so all accuracies are optimistic and say nothing about real patients. Table II gives the top-1 results.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TOP-1 CONDITION ACCURACY BY CONFIGURATION AND QUERY SET</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944"/>
          </w:tcPr>
          <w:p>
            <w:pPr>
              <w:jc w:val="center"/>
            </w:pPr>
            <w:r/>
            <w:r>
              <w:rPr>
                <w:rFonts w:ascii="Times New Roman" w:hAnsi="Times New Roman" w:cs="Times New Roman" w:eastAsia="Times New Roman"/>
                <w:b/>
                <w:sz w:val="14"/>
              </w:rPr>
              <w:t>Configuration</w:t>
            </w:r>
          </w:p>
        </w:tc>
        <w:tc>
          <w:tcPr>
            <w:tcW w:type="dxa" w:w="720"/>
          </w:tcPr>
          <w:p>
            <w:pPr>
              <w:jc w:val="center"/>
            </w:pPr>
            <w:r/>
            <w:r>
              <w:rPr>
                <w:rFonts w:ascii="Times New Roman" w:hAnsi="Times New Roman" w:cs="Times New Roman" w:eastAsia="Times New Roman"/>
                <w:b/>
                <w:sz w:val="14"/>
              </w:rPr>
              <w:t>Shipped (30)</w:t>
            </w:r>
          </w:p>
        </w:tc>
        <w:tc>
          <w:tcPr>
            <w:tcW w:type="dxa" w:w="720"/>
          </w:tcPr>
          <w:p>
            <w:pPr>
              <w:jc w:val="center"/>
            </w:pPr>
            <w:r/>
            <w:r>
              <w:rPr>
                <w:rFonts w:ascii="Times New Roman" w:hAnsi="Times New Roman" w:cs="Times New Roman" w:eastAsia="Times New Roman"/>
                <w:b/>
                <w:sz w:val="14"/>
              </w:rPr>
              <w:t>Verbatim LOO (176)</w:t>
            </w:r>
          </w:p>
        </w:tc>
        <w:tc>
          <w:tcPr>
            <w:tcW w:type="dxa" w:w="720"/>
          </w:tcPr>
          <w:p>
            <w:pPr>
              <w:jc w:val="center"/>
            </w:pPr>
            <w:r/>
            <w:r>
              <w:rPr>
                <w:rFonts w:ascii="Times New Roman" w:hAnsi="Times New Roman" w:cs="Times New Roman" w:eastAsia="Times New Roman"/>
                <w:b/>
                <w:sz w:val="14"/>
              </w:rPr>
              <w:t>Two symptoms (176)</w:t>
            </w:r>
          </w:p>
        </w:tc>
        <w:tc>
          <w:tcPr>
            <w:tcW w:type="dxa" w:w="720"/>
          </w:tcPr>
          <w:p>
            <w:pPr>
              <w:jc w:val="center"/>
            </w:pPr>
            <w:r/>
            <w:r>
              <w:rPr>
                <w:rFonts w:ascii="Times New Roman" w:hAnsi="Times New Roman" w:cs="Times New Roman" w:eastAsia="Times New Roman"/>
                <w:b/>
                <w:sz w:val="14"/>
              </w:rPr>
              <w:t>Lay (60)</w:t>
            </w:r>
          </w:p>
        </w:tc>
      </w:tr>
      <w:tr>
        <w:trPr>
          <w:cantSplit w:val="true"/>
        </w:trPr>
        <w:tc>
          <w:tcPr>
            <w:tcW w:type="dxa" w:w="1944"/>
          </w:tcPr>
          <w:p>
            <w:pPr>
              <w:jc w:val="left"/>
            </w:pPr>
            <w:r/>
            <w:r>
              <w:rPr>
                <w:rFonts w:ascii="Times New Roman" w:hAnsi="Times New Roman" w:cs="Times New Roman" w:eastAsia="Times New Roman"/>
                <w:sz w:val="14"/>
              </w:rPr>
              <w:t>BM25 only</w:t>
            </w:r>
          </w:p>
        </w:tc>
        <w:tc>
          <w:tcPr>
            <w:tcW w:type="dxa" w:w="720"/>
          </w:tcPr>
          <w:p>
            <w:pPr>
              <w:jc w:val="center"/>
            </w:pPr>
            <w:r/>
            <w:r>
              <w:rPr>
                <w:rFonts w:ascii="Times New Roman" w:hAnsi="Times New Roman" w:cs="Times New Roman" w:eastAsia="Times New Roman"/>
                <w:sz w:val="14"/>
              </w:rPr>
              <w:t>1.00</w:t>
            </w:r>
          </w:p>
        </w:tc>
        <w:tc>
          <w:tcPr>
            <w:tcW w:type="dxa" w:w="720"/>
          </w:tcPr>
          <w:p>
            <w:pPr>
              <w:jc w:val="center"/>
            </w:pPr>
            <w:r/>
            <w:r>
              <w:rPr>
                <w:rFonts w:ascii="Times New Roman" w:hAnsi="Times New Roman" w:cs="Times New Roman" w:eastAsia="Times New Roman"/>
                <w:sz w:val="14"/>
              </w:rPr>
              <w:t>1.00</w:t>
            </w:r>
          </w:p>
        </w:tc>
        <w:tc>
          <w:tcPr>
            <w:tcW w:type="dxa" w:w="720"/>
          </w:tcPr>
          <w:p>
            <w:pPr>
              <w:jc w:val="center"/>
            </w:pPr>
            <w:r/>
            <w:r>
              <w:rPr>
                <w:rFonts w:ascii="Times New Roman" w:hAnsi="Times New Roman" w:cs="Times New Roman" w:eastAsia="Times New Roman"/>
                <w:sz w:val="14"/>
              </w:rPr>
              <w:t>0.90</w:t>
            </w:r>
          </w:p>
        </w:tc>
        <w:tc>
          <w:tcPr>
            <w:tcW w:type="dxa" w:w="720"/>
          </w:tcPr>
          <w:p>
            <w:pPr>
              <w:jc w:val="center"/>
            </w:pPr>
            <w:r/>
            <w:r>
              <w:rPr>
                <w:rFonts w:ascii="Times New Roman" w:hAnsi="Times New Roman" w:cs="Times New Roman" w:eastAsia="Times New Roman"/>
                <w:sz w:val="14"/>
              </w:rPr>
              <w:t>0.88</w:t>
            </w:r>
          </w:p>
        </w:tc>
      </w:tr>
      <w:tr>
        <w:trPr>
          <w:cantSplit w:val="true"/>
        </w:trPr>
        <w:tc>
          <w:tcPr>
            <w:tcW w:type="dxa" w:w="1944"/>
          </w:tcPr>
          <w:p>
            <w:pPr>
              <w:jc w:val="left"/>
            </w:pPr>
            <w:r/>
            <w:r>
              <w:rPr>
                <w:rFonts w:ascii="Times New Roman" w:hAnsi="Times New Roman" w:cs="Times New Roman" w:eastAsia="Times New Roman"/>
                <w:sz w:val="14"/>
              </w:rPr>
              <w:t>Dense only (MiniLM, FAISS)</w:t>
            </w:r>
          </w:p>
        </w:tc>
        <w:tc>
          <w:tcPr>
            <w:tcW w:type="dxa" w:w="720"/>
          </w:tcPr>
          <w:p>
            <w:pPr>
              <w:jc w:val="center"/>
            </w:pPr>
            <w:r/>
            <w:r>
              <w:rPr>
                <w:rFonts w:ascii="Times New Roman" w:hAnsi="Times New Roman" w:cs="Times New Roman" w:eastAsia="Times New Roman"/>
                <w:sz w:val="14"/>
              </w:rPr>
              <w:t>0.90</w:t>
            </w:r>
          </w:p>
        </w:tc>
        <w:tc>
          <w:tcPr>
            <w:tcW w:type="dxa" w:w="720"/>
          </w:tcPr>
          <w:p>
            <w:pPr>
              <w:jc w:val="center"/>
            </w:pPr>
            <w:r/>
            <w:r>
              <w:rPr>
                <w:rFonts w:ascii="Times New Roman" w:hAnsi="Times New Roman" w:cs="Times New Roman" w:eastAsia="Times New Roman"/>
                <w:sz w:val="14"/>
              </w:rPr>
              <w:t>0.86</w:t>
            </w:r>
          </w:p>
        </w:tc>
        <w:tc>
          <w:tcPr>
            <w:tcW w:type="dxa" w:w="720"/>
          </w:tcPr>
          <w:p>
            <w:pPr>
              <w:jc w:val="center"/>
            </w:pPr>
            <w:r/>
            <w:r>
              <w:rPr>
                <w:rFonts w:ascii="Times New Roman" w:hAnsi="Times New Roman" w:cs="Times New Roman" w:eastAsia="Times New Roman"/>
                <w:sz w:val="14"/>
              </w:rPr>
              <w:t>0.70</w:t>
            </w:r>
          </w:p>
        </w:tc>
        <w:tc>
          <w:tcPr>
            <w:tcW w:type="dxa" w:w="720"/>
          </w:tcPr>
          <w:p>
            <w:pPr>
              <w:jc w:val="center"/>
            </w:pPr>
            <w:r/>
            <w:r>
              <w:rPr>
                <w:rFonts w:ascii="Times New Roman" w:hAnsi="Times New Roman" w:cs="Times New Roman" w:eastAsia="Times New Roman"/>
                <w:sz w:val="14"/>
              </w:rPr>
              <w:t>0.90</w:t>
            </w:r>
          </w:p>
        </w:tc>
      </w:tr>
      <w:tr>
        <w:trPr>
          <w:cantSplit w:val="true"/>
        </w:trPr>
        <w:tc>
          <w:tcPr>
            <w:tcW w:type="dxa" w:w="1944"/>
          </w:tcPr>
          <w:p>
            <w:pPr>
              <w:jc w:val="left"/>
            </w:pPr>
            <w:r/>
            <w:r>
              <w:rPr>
                <w:rFonts w:ascii="Times New Roman" w:hAnsi="Times New Roman" w:cs="Times New Roman" w:eastAsia="Times New Roman"/>
                <w:sz w:val="14"/>
              </w:rPr>
              <w:t>Hybrid fusion</w:t>
            </w:r>
          </w:p>
        </w:tc>
        <w:tc>
          <w:tcPr>
            <w:tcW w:type="dxa" w:w="720"/>
          </w:tcPr>
          <w:p>
            <w:pPr>
              <w:jc w:val="center"/>
            </w:pPr>
            <w:r/>
            <w:r>
              <w:rPr>
                <w:rFonts w:ascii="Times New Roman" w:hAnsi="Times New Roman" w:cs="Times New Roman" w:eastAsia="Times New Roman"/>
                <w:sz w:val="14"/>
              </w:rPr>
              <w:t>1.00</w:t>
            </w:r>
          </w:p>
        </w:tc>
        <w:tc>
          <w:tcPr>
            <w:tcW w:type="dxa" w:w="720"/>
          </w:tcPr>
          <w:p>
            <w:pPr>
              <w:jc w:val="center"/>
            </w:pPr>
            <w:r/>
            <w:r>
              <w:rPr>
                <w:rFonts w:ascii="Times New Roman" w:hAnsi="Times New Roman" w:cs="Times New Roman" w:eastAsia="Times New Roman"/>
                <w:sz w:val="14"/>
              </w:rPr>
              <w:t>0.97</w:t>
            </w:r>
          </w:p>
        </w:tc>
        <w:tc>
          <w:tcPr>
            <w:tcW w:type="dxa" w:w="720"/>
          </w:tcPr>
          <w:p>
            <w:pPr>
              <w:jc w:val="center"/>
            </w:pPr>
            <w:r/>
            <w:r>
              <w:rPr>
                <w:rFonts w:ascii="Times New Roman" w:hAnsi="Times New Roman" w:cs="Times New Roman" w:eastAsia="Times New Roman"/>
                <w:sz w:val="14"/>
              </w:rPr>
              <w:t>0.86</w:t>
            </w:r>
          </w:p>
        </w:tc>
        <w:tc>
          <w:tcPr>
            <w:tcW w:type="dxa" w:w="720"/>
          </w:tcPr>
          <w:p>
            <w:pPr>
              <w:jc w:val="center"/>
            </w:pPr>
            <w:r/>
            <w:r>
              <w:rPr>
                <w:rFonts w:ascii="Times New Roman" w:hAnsi="Times New Roman" w:cs="Times New Roman" w:eastAsia="Times New Roman"/>
                <w:sz w:val="14"/>
              </w:rPr>
              <w:t>0.90</w:t>
            </w:r>
          </w:p>
        </w:tc>
      </w:tr>
      <w:tr>
        <w:trPr>
          <w:cantSplit w:val="true"/>
        </w:trPr>
        <w:tc>
          <w:tcPr>
            <w:tcW w:type="dxa" w:w="1944"/>
          </w:tcPr>
          <w:p>
            <w:pPr>
              <w:jc w:val="left"/>
            </w:pPr>
            <w:r/>
            <w:r>
              <w:rPr>
                <w:rFonts w:ascii="Times New Roman" w:hAnsi="Times New Roman" w:cs="Times New Roman" w:eastAsia="Times New Roman"/>
                <w:sz w:val="14"/>
              </w:rPr>
              <w:t>Hybrid + cross-encoder (shipped)</w:t>
            </w:r>
          </w:p>
        </w:tc>
        <w:tc>
          <w:tcPr>
            <w:tcW w:type="dxa" w:w="720"/>
          </w:tcPr>
          <w:p>
            <w:pPr>
              <w:jc w:val="center"/>
            </w:pPr>
            <w:r/>
            <w:r>
              <w:rPr>
                <w:rFonts w:ascii="Times New Roman" w:hAnsi="Times New Roman" w:cs="Times New Roman" w:eastAsia="Times New Roman"/>
                <w:sz w:val="14"/>
              </w:rPr>
              <w:t>1.00</w:t>
            </w:r>
          </w:p>
        </w:tc>
        <w:tc>
          <w:tcPr>
            <w:tcW w:type="dxa" w:w="720"/>
          </w:tcPr>
          <w:p>
            <w:pPr>
              <w:jc w:val="center"/>
            </w:pPr>
            <w:r/>
            <w:r>
              <w:rPr>
                <w:rFonts w:ascii="Times New Roman" w:hAnsi="Times New Roman" w:cs="Times New Roman" w:eastAsia="Times New Roman"/>
                <w:sz w:val="14"/>
              </w:rPr>
              <w:t>0.97</w:t>
            </w:r>
          </w:p>
        </w:tc>
        <w:tc>
          <w:tcPr>
            <w:tcW w:type="dxa" w:w="720"/>
          </w:tcPr>
          <w:p>
            <w:pPr>
              <w:jc w:val="center"/>
            </w:pPr>
            <w:r/>
            <w:r>
              <w:rPr>
                <w:rFonts w:ascii="Times New Roman" w:hAnsi="Times New Roman" w:cs="Times New Roman" w:eastAsia="Times New Roman"/>
                <w:sz w:val="14"/>
              </w:rPr>
              <w:t>0.88</w:t>
            </w:r>
          </w:p>
        </w:tc>
        <w:tc>
          <w:tcPr>
            <w:tcW w:type="dxa" w:w="720"/>
          </w:tcPr>
          <w:p>
            <w:pPr>
              <w:jc w:val="center"/>
            </w:pPr>
            <w:r/>
            <w:r>
              <w:rPr>
                <w:rFonts w:ascii="Times New Roman" w:hAnsi="Times New Roman" w:cs="Times New Roman" w:eastAsia="Times New Roman"/>
                <w:sz w:val="14"/>
              </w:rPr>
              <w:t>0.97</w:t>
            </w:r>
          </w:p>
        </w:tc>
      </w:tr>
      <w:tr>
        <w:trPr>
          <w:cantSplit w:val="true"/>
        </w:trPr>
        <w:tc>
          <w:tcPr>
            <w:tcW w:type="dxa" w:w="1944"/>
          </w:tcPr>
          <w:p>
            <w:pPr>
              <w:jc w:val="left"/>
            </w:pPr>
            <w:r/>
            <w:r>
              <w:rPr>
                <w:rFonts w:ascii="Times New Roman" w:hAnsi="Times New Roman" w:cs="Times New Roman" w:eastAsia="Times New Roman"/>
                <w:sz w:val="14"/>
              </w:rPr>
              <w:t>Shipped, no expansion template</w:t>
            </w:r>
          </w:p>
        </w:tc>
        <w:tc>
          <w:tcPr>
            <w:tcW w:type="dxa" w:w="720"/>
          </w:tcPr>
          <w:p>
            <w:pPr>
              <w:jc w:val="center"/>
            </w:pPr>
            <w:r/>
            <w:r>
              <w:rPr>
                <w:rFonts w:ascii="Times New Roman" w:hAnsi="Times New Roman" w:cs="Times New Roman" w:eastAsia="Times New Roman"/>
                <w:sz w:val="14"/>
              </w:rPr>
              <w:t>1.00</w:t>
            </w:r>
          </w:p>
        </w:tc>
        <w:tc>
          <w:tcPr>
            <w:tcW w:type="dxa" w:w="720"/>
          </w:tcPr>
          <w:p>
            <w:pPr>
              <w:jc w:val="center"/>
            </w:pPr>
            <w:r/>
            <w:r>
              <w:rPr>
                <w:rFonts w:ascii="Times New Roman" w:hAnsi="Times New Roman" w:cs="Times New Roman" w:eastAsia="Times New Roman"/>
                <w:sz w:val="14"/>
              </w:rPr>
              <w:t>0.99</w:t>
            </w:r>
          </w:p>
        </w:tc>
        <w:tc>
          <w:tcPr>
            <w:tcW w:type="dxa" w:w="720"/>
          </w:tcPr>
          <w:p>
            <w:pPr>
              <w:jc w:val="center"/>
            </w:pPr>
            <w:r/>
            <w:r>
              <w:rPr>
                <w:rFonts w:ascii="Times New Roman" w:hAnsi="Times New Roman" w:cs="Times New Roman" w:eastAsia="Times New Roman"/>
                <w:sz w:val="14"/>
              </w:rPr>
              <w:t>0.90</w:t>
            </w:r>
          </w:p>
        </w:tc>
        <w:tc>
          <w:tcPr>
            <w:tcW w:type="dxa" w:w="720"/>
          </w:tcPr>
          <w:p>
            <w:pPr>
              <w:jc w:val="center"/>
            </w:pPr>
            <w:r/>
            <w:r>
              <w:rPr>
                <w:rFonts w:ascii="Times New Roman" w:hAnsi="Times New Roman" w:cs="Times New Roman" w:eastAsia="Times New Roman"/>
                <w:sz w:val="14"/>
              </w:rPr>
              <w:t>1.00</w:t>
            </w:r>
          </w:p>
        </w:tc>
      </w:tr>
      <w:tr>
        <w:trPr>
          <w:cantSplit w:val="true"/>
        </w:trPr>
        <w:tc>
          <w:tcPr>
            <w:tcW w:type="dxa" w:w="1944"/>
          </w:tcPr>
          <w:p>
            <w:pPr>
              <w:jc w:val="left"/>
            </w:pPr>
            <w:r/>
            <w:r>
              <w:rPr>
                <w:rFonts w:ascii="Times New Roman" w:hAnsi="Times New Roman" w:cs="Times New Roman" w:eastAsia="Times New Roman"/>
                <w:sz w:val="14"/>
              </w:rPr>
              <w:t>Offline: TF-IDF + BM25</w:t>
            </w:r>
          </w:p>
        </w:tc>
        <w:tc>
          <w:tcPr>
            <w:tcW w:type="dxa" w:w="720"/>
          </w:tcPr>
          <w:p>
            <w:pPr>
              <w:jc w:val="center"/>
            </w:pPr>
            <w:r/>
            <w:r>
              <w:rPr>
                <w:rFonts w:ascii="Times New Roman" w:hAnsi="Times New Roman" w:cs="Times New Roman" w:eastAsia="Times New Roman"/>
                <w:sz w:val="14"/>
              </w:rPr>
              <w:t>1.00</w:t>
            </w:r>
          </w:p>
        </w:tc>
        <w:tc>
          <w:tcPr>
            <w:tcW w:type="dxa" w:w="720"/>
          </w:tcPr>
          <w:p>
            <w:pPr>
              <w:jc w:val="center"/>
            </w:pPr>
            <w:r/>
            <w:r>
              <w:rPr>
                <w:rFonts w:ascii="Times New Roman" w:hAnsi="Times New Roman" w:cs="Times New Roman" w:eastAsia="Times New Roman"/>
                <w:sz w:val="14"/>
              </w:rPr>
              <w:t>1.00</w:t>
            </w:r>
          </w:p>
        </w:tc>
        <w:tc>
          <w:tcPr>
            <w:tcW w:type="dxa" w:w="720"/>
          </w:tcPr>
          <w:p>
            <w:pPr>
              <w:jc w:val="center"/>
            </w:pPr>
            <w:r/>
            <w:r>
              <w:rPr>
                <w:rFonts w:ascii="Times New Roman" w:hAnsi="Times New Roman" w:cs="Times New Roman" w:eastAsia="Times New Roman"/>
                <w:sz w:val="14"/>
              </w:rPr>
              <w:t>0.90</w:t>
            </w:r>
          </w:p>
        </w:tc>
        <w:tc>
          <w:tcPr>
            <w:tcW w:type="dxa" w:w="720"/>
          </w:tcPr>
          <w:p>
            <w:pPr>
              <w:jc w:val="center"/>
            </w:pPr>
            <w:r/>
            <w:r>
              <w:rPr>
                <w:rFonts w:ascii="Times New Roman" w:hAnsi="Times New Roman" w:cs="Times New Roman" w:eastAsia="Times New Roman"/>
                <w:sz w:val="14"/>
              </w:rPr>
              <w:t>0.82</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3385927"/>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3385927"/>
                    </a:xfrm>
                    <a:prstGeom prst="rect"/>
                  </pic:spPr>
                </pic:pic>
              </a:graphicData>
            </a:graphic>
          </wp:inline>
        </w:drawing>
      </w:r>
    </w:p>
    <w:p>
      <w:pPr>
        <w:spacing w:after="100"/>
        <w:jc w:val="both"/>
      </w:pPr>
      <w:r>
        <w:rPr>
          <w:rFonts w:ascii="Times New Roman" w:hAnsi="Times New Roman" w:cs="Times New Roman" w:eastAsia="Times New Roman"/>
          <w:sz w:val="16"/>
        </w:rPr>
        <w:t>Fig. 3. (a) Top-1 accuracy of each retrieval configuration on three query sets. (b) The raw cross-encoder score of the top record for in-knowledge-base and out-of-knowledge-base queries.</w:t>
      </w:r>
    </w:p>
    <w:p>
      <w:pPr>
        <w:keepNext w:val="0"/>
        <w:spacing w:after="0" w:before="0" w:line="240" w:lineRule="auto"/>
        <w:ind w:firstLine="288"/>
        <w:jc w:val="both"/>
      </w:pPr>
      <w:r>
        <w:rPr>
          <w:rFonts w:ascii="Times New Roman" w:hAnsi="Times New Roman" w:cs="Times New Roman" w:eastAsia="Times New Roman"/>
          <w:b/>
          <w:sz w:val="20"/>
        </w:rPr>
        <w:t>Retrieval.</w:t>
      </w:r>
      <w:r>
        <w:rPr>
          <w:rFonts w:ascii="Times New Roman" w:hAnsi="Times New Roman" w:cs="Times New Roman" w:eastAsia="Times New Roman"/>
          <w:sz w:val="20"/>
        </w:rPr>
        <w:t xml:space="preserve"> The shipped protocol scores 1.00 for every configuration that includes BM25, which is why the 100% on the application's About page is an upper bound for the wiring and not an accuracy. Removing the held-out record gives 0.97 on the same 30 queries and 0.97 on all 176 verbatim queries (Wilson 95% interval 93.5-98.8%). With only two symptoms the shipped system falls to 0.88 (82.5-92.1%), because pairs such as headache with fatigue or fever with chills fit several conditions, and on lay language it reaches 0.97 (88.6-99.1%). The cross-encoder helps on lay language (hybrid 0.90 to 0.97) and on two-symptom queries (0.86 to 0.88). BM25 alone is competitive (0.88 on lay language, 1.00 on verbatim queries) because the knowledge base is small and its vocabulary is repeated; dense retrieval alone is weaker on verbatim queries (0.86) and on two symptoms (0.70).</w:t>
      </w:r>
    </w:p>
    <w:p>
      <w:pPr>
        <w:keepNext w:val="0"/>
        <w:spacing w:after="0" w:before="0" w:line="240" w:lineRule="auto"/>
        <w:ind w:firstLine="288"/>
        <w:jc w:val="both"/>
      </w:pPr>
      <w:r>
        <w:rPr>
          <w:rFonts w:ascii="Times New Roman" w:hAnsi="Times New Roman" w:cs="Times New Roman" w:eastAsia="Times New Roman"/>
          <w:b/>
          <w:sz w:val="20"/>
        </w:rPr>
        <w:t>Where retrieval fails.</w:t>
      </w:r>
      <w:r>
        <w:rPr>
          <w:rFonts w:ascii="Times New Roman" w:hAnsi="Times New Roman" w:cs="Times New Roman" w:eastAsia="Times New Roman"/>
          <w:sz w:val="20"/>
        </w:rPr>
        <w:t xml:space="preserve"> The 5 verbatim misses are almost all typhoid, the condition with the fewest records (4): once one record is removed its remaining symptom lists look like influenza, appendicitis or migraine. The 21 two-symptom misses are overlaps between conditions that really share symptoms in the base: "headache and fatigue" went to migraine instead of influenza, "fever and chills" to malaria instead of pneumonia, and "dry cough and fever" to influenza instead of covid-19. Because the interface shows five cards that are mostly the same condition, a user is not shown the second-best alternative in these cases.</w:t>
      </w:r>
    </w:p>
    <w:p>
      <w:pPr>
        <w:keepNext w:val="0"/>
        <w:spacing w:after="0" w:before="0" w:line="240" w:lineRule="auto"/>
        <w:ind w:firstLine="288"/>
        <w:jc w:val="both"/>
      </w:pPr>
      <w:r>
        <w:rPr>
          <w:rFonts w:ascii="Times New Roman" w:hAnsi="Times New Roman" w:cs="Times New Roman" w:eastAsia="Times New Roman"/>
          <w:b/>
          <w:sz w:val="20"/>
        </w:rPr>
        <w:t>Per-condition view.</w:t>
      </w:r>
      <w:r>
        <w:rPr>
          <w:rFonts w:ascii="Times New Roman" w:hAnsi="Times New Roman" w:cs="Times New Roman" w:eastAsia="Times New Roman"/>
          <w:sz w:val="20"/>
        </w:rPr>
        <w:t xml:space="preserve"> On the lay probes 28 of 30 conditions were retrieved correctly for both of their descriptions. The two exceptions each lost one probe (common cold and typhoid). Emergency conditions (heart attack, stroke, anaphylaxis, appendicitis) were all retrieved correctly, but that is a statement about retrieval; whether the user is told to seek urgent care depends on the separate safety rules, which behave differently (below).</w:t>
      </w:r>
    </w:p>
    <w:p>
      <w:pPr>
        <w:keepNext w:val="0"/>
        <w:spacing w:after="0" w:before="0" w:line="240" w:lineRule="auto"/>
        <w:ind w:firstLine="288"/>
        <w:jc w:val="both"/>
      </w:pPr>
      <w:r>
        <w:rPr>
          <w:rFonts w:ascii="Times New Roman" w:hAnsi="Times New Roman" w:cs="Times New Roman" w:eastAsia="Times New Roman"/>
          <w:b/>
          <w:sz w:val="20"/>
        </w:rPr>
        <w:t>Expansion and offline mode.</w:t>
      </w:r>
      <w:r>
        <w:rPr>
          <w:rFonts w:ascii="Times New Roman" w:hAnsi="Times New Roman" w:cs="Times New Roman" w:eastAsia="Times New Roman"/>
          <w:sz w:val="20"/>
        </w:rPr>
        <w:t xml:space="preserve"> The template expansion does not help: without it the shipped system scores 1.00 on lay language, 0.99 on verbatim and 0.90 on two-symptom queries, never lower than with it, although the lay-language difference is only two of 60 probes. The template adds the same generic words to every query. In offline mode (TF-IDF vectors with BM25, no reranker) accuracy on lay language drops to 0.82 while verbatim queries stay at 1.00, so the fallback keeps the application usable but is weaker on everyday wording. The five evidence cards are a poor differential: a condition has several near-identical records, so the top five contain on average 1.2 distinct conditions on the lay probes.</w:t>
      </w:r>
    </w:p>
    <w:p>
      <w:pPr>
        <w:keepNext w:val="0"/>
        <w:spacing w:after="0" w:before="0" w:line="240" w:lineRule="auto"/>
        <w:ind w:firstLine="288"/>
        <w:jc w:val="both"/>
      </w:pPr>
      <w:r>
        <w:rPr>
          <w:rFonts w:ascii="Times New Roman" w:hAnsi="Times New Roman" w:cs="Times New Roman" w:eastAsia="Times New Roman"/>
          <w:b/>
          <w:sz w:val="20"/>
        </w:rPr>
        <w:t>Failure cases.</w:t>
      </w:r>
      <w:r>
        <w:rPr>
          <w:rFonts w:ascii="Times New Roman" w:hAnsi="Times New Roman" w:cs="Times New Roman" w:eastAsia="Times New Roman"/>
          <w:sz w:val="20"/>
        </w:rPr>
        <w:t xml:space="preserve"> On the lay probes the shipped system missed 2: a running nose with a slight cough was called allergic rhinitis instead of a common cold, and a slow-rising fever with weakness and abdominal pain was called appendicitis instead of typhoid. Both are plausible confusions between conditions that share symptoms in the knowledge base.</w:t>
      </w:r>
    </w:p>
    <w:p>
      <w:pPr>
        <w:keepNext w:val="0"/>
        <w:spacing w:after="0" w:before="0" w:line="240" w:lineRule="auto"/>
        <w:ind w:firstLine="288"/>
        <w:jc w:val="both"/>
      </w:pPr>
      <w:r>
        <w:rPr>
          <w:rFonts w:ascii="Times New Roman" w:hAnsi="Times New Roman" w:cs="Times New Roman" w:eastAsia="Times New Roman"/>
          <w:b/>
          <w:sz w:val="20"/>
        </w:rPr>
        <w:t>Displayed relevance.</w:t>
      </w:r>
      <w:r>
        <w:rPr>
          <w:rFonts w:ascii="Times New Roman" w:hAnsi="Times New Roman" w:cs="Times New Roman" w:eastAsia="Times New Roman"/>
          <w:sz w:val="20"/>
        </w:rPr>
        <w:t xml:space="preserve"> The relevance is normalised over the candidates, so the top record is always 100%: all 60 in-base probes and all 15 out-of-base complaints (tooth ache, sprained ankle, lower back pain) were shown as a Strong match, and the 15 out-of-base queries still returned a condition. The raw cross-encoder score does separate them (mean 2.481 against -6.336; area under the ROC curve 1.00, Fig. 3b), so the information needed for an honest confidence exists but is discarded by the display.</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SAFETY LAYER, GENERATION AND LATENCY</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3528"/>
          </w:tcPr>
          <w:p>
            <w:pPr>
              <w:jc w:val="center"/>
            </w:pPr>
            <w:r/>
            <w:r>
              <w:rPr>
                <w:rFonts w:ascii="Times New Roman" w:hAnsi="Times New Roman" w:cs="Times New Roman" w:eastAsia="Times New Roman"/>
                <w:b/>
                <w:sz w:val="14"/>
              </w:rPr>
              <w:t>Measurement</w:t>
            </w:r>
          </w:p>
        </w:tc>
        <w:tc>
          <w:tcPr>
            <w:tcW w:type="dxa" w:w="1368"/>
          </w:tcPr>
          <w:p>
            <w:pPr>
              <w:jc w:val="center"/>
            </w:pPr>
            <w:r/>
            <w:r>
              <w:rPr>
                <w:rFonts w:ascii="Times New Roman" w:hAnsi="Times New Roman" w:cs="Times New Roman" w:eastAsia="Times New Roman"/>
                <w:b/>
                <w:sz w:val="14"/>
              </w:rPr>
              <w:t>Result</w:t>
            </w:r>
          </w:p>
        </w:tc>
      </w:tr>
      <w:tr>
        <w:trPr>
          <w:cantSplit w:val="true"/>
        </w:trPr>
        <w:tc>
          <w:tcPr>
            <w:tcW w:type="dxa" w:w="3528"/>
          </w:tcPr>
          <w:p>
            <w:pPr>
              <w:jc w:val="left"/>
            </w:pPr>
            <w:r/>
            <w:r>
              <w:rPr>
                <w:rFonts w:ascii="Times New Roman" w:hAnsi="Times New Roman" w:cs="Times New Roman" w:eastAsia="Times New Roman"/>
                <w:sz w:val="14"/>
              </w:rPr>
              <w:t>Emergency sentences flagged, literal wording</w:t>
            </w:r>
          </w:p>
        </w:tc>
        <w:tc>
          <w:tcPr>
            <w:tcW w:type="dxa" w:w="1368"/>
          </w:tcPr>
          <w:p>
            <w:pPr>
              <w:jc w:val="center"/>
            </w:pPr>
            <w:r/>
            <w:r>
              <w:rPr>
                <w:rFonts w:ascii="Times New Roman" w:hAnsi="Times New Roman" w:cs="Times New Roman" w:eastAsia="Times New Roman"/>
                <w:sz w:val="14"/>
              </w:rPr>
              <w:t>27/28</w:t>
            </w:r>
          </w:p>
        </w:tc>
      </w:tr>
      <w:tr>
        <w:trPr>
          <w:cantSplit w:val="true"/>
        </w:trPr>
        <w:tc>
          <w:tcPr>
            <w:tcW w:type="dxa" w:w="3528"/>
          </w:tcPr>
          <w:p>
            <w:pPr>
              <w:jc w:val="left"/>
            </w:pPr>
            <w:r/>
            <w:r>
              <w:rPr>
                <w:rFonts w:ascii="Times New Roman" w:hAnsi="Times New Roman" w:cs="Times New Roman" w:eastAsia="Times New Roman"/>
                <w:sz w:val="14"/>
              </w:rPr>
              <w:t>Emergency sentences flagged, paraphrased wording</w:t>
            </w:r>
          </w:p>
        </w:tc>
        <w:tc>
          <w:tcPr>
            <w:tcW w:type="dxa" w:w="1368"/>
          </w:tcPr>
          <w:p>
            <w:pPr>
              <w:jc w:val="center"/>
            </w:pPr>
            <w:r/>
            <w:r>
              <w:rPr>
                <w:rFonts w:ascii="Times New Roman" w:hAnsi="Times New Roman" w:cs="Times New Roman" w:eastAsia="Times New Roman"/>
                <w:sz w:val="14"/>
              </w:rPr>
              <w:t>0/12</w:t>
            </w:r>
          </w:p>
        </w:tc>
      </w:tr>
      <w:tr>
        <w:trPr>
          <w:cantSplit w:val="true"/>
        </w:trPr>
        <w:tc>
          <w:tcPr>
            <w:tcW w:type="dxa" w:w="3528"/>
          </w:tcPr>
          <w:p>
            <w:pPr>
              <w:jc w:val="left"/>
            </w:pPr>
            <w:r/>
            <w:r>
              <w:rPr>
                <w:rFonts w:ascii="Times New Roman" w:hAnsi="Times New Roman" w:cs="Times New Roman" w:eastAsia="Times New Roman"/>
                <w:sz w:val="14"/>
              </w:rPr>
              <w:t>False emergencies on 20 ordinary / 10 hard negatives</w:t>
            </w:r>
          </w:p>
        </w:tc>
        <w:tc>
          <w:tcPr>
            <w:tcW w:type="dxa" w:w="1368"/>
          </w:tcPr>
          <w:p>
            <w:pPr>
              <w:jc w:val="center"/>
            </w:pPr>
            <w:r/>
            <w:r>
              <w:rPr>
                <w:rFonts w:ascii="Times New Roman" w:hAnsi="Times New Roman" w:cs="Times New Roman" w:eastAsia="Times New Roman"/>
                <w:sz w:val="14"/>
              </w:rPr>
              <w:t>0/20 / 6/10</w:t>
            </w:r>
          </w:p>
        </w:tc>
      </w:tr>
      <w:tr>
        <w:trPr>
          <w:cantSplit w:val="true"/>
        </w:trPr>
        <w:tc>
          <w:tcPr>
            <w:tcW w:type="dxa" w:w="3528"/>
          </w:tcPr>
          <w:p>
            <w:pPr>
              <w:jc w:val="left"/>
            </w:pPr>
            <w:r/>
            <w:r>
              <w:rPr>
                <w:rFonts w:ascii="Times New Roman" w:hAnsi="Times New Roman" w:cs="Times New Roman" w:eastAsia="Times New Roman"/>
                <w:sz w:val="14"/>
              </w:rPr>
              <w:t>Medication filter, 14 test sentences cleaned</w:t>
            </w:r>
          </w:p>
        </w:tc>
        <w:tc>
          <w:tcPr>
            <w:tcW w:type="dxa" w:w="1368"/>
          </w:tcPr>
          <w:p>
            <w:pPr>
              <w:jc w:val="center"/>
            </w:pPr>
            <w:r/>
            <w:r>
              <w:rPr>
                <w:rFonts w:ascii="Times New Roman" w:hAnsi="Times New Roman" w:cs="Times New Roman" w:eastAsia="Times New Roman"/>
                <w:sz w:val="14"/>
              </w:rPr>
              <w:t>6/14</w:t>
            </w:r>
          </w:p>
        </w:tc>
      </w:tr>
      <w:tr>
        <w:trPr>
          <w:cantSplit w:val="true"/>
        </w:trPr>
        <w:tc>
          <w:tcPr>
            <w:tcW w:type="dxa" w:w="3528"/>
          </w:tcPr>
          <w:p>
            <w:pPr>
              <w:jc w:val="left"/>
            </w:pPr>
            <w:r/>
            <w:r>
              <w:rPr>
                <w:rFonts w:ascii="Times New Roman" w:hAnsi="Times New Roman" w:cs="Times New Roman" w:eastAsia="Times New Roman"/>
                <w:sz w:val="14"/>
              </w:rPr>
              <w:t>Flan-T5 answers that echo the prompt</w:t>
            </w:r>
          </w:p>
        </w:tc>
        <w:tc>
          <w:tcPr>
            <w:tcW w:type="dxa" w:w="1368"/>
          </w:tcPr>
          <w:p>
            <w:pPr>
              <w:jc w:val="center"/>
            </w:pPr>
            <w:r/>
            <w:r>
              <w:rPr>
                <w:rFonts w:ascii="Times New Roman" w:hAnsi="Times New Roman" w:cs="Times New Roman" w:eastAsia="Times New Roman"/>
                <w:sz w:val="14"/>
              </w:rPr>
              <w:t>30/30</w:t>
            </w:r>
          </w:p>
        </w:tc>
      </w:tr>
      <w:tr>
        <w:trPr>
          <w:cantSplit w:val="true"/>
        </w:trPr>
        <w:tc>
          <w:tcPr>
            <w:tcW w:type="dxa" w:w="3528"/>
          </w:tcPr>
          <w:p>
            <w:pPr>
              <w:jc w:val="left"/>
            </w:pPr>
            <w:r/>
            <w:r>
              <w:rPr>
                <w:rFonts w:ascii="Times New Roman" w:hAnsi="Times New Roman" w:cs="Times New Roman" w:eastAsia="Times New Roman"/>
                <w:sz w:val="14"/>
              </w:rPr>
              <w:t>Cross-encoder stage, mean (p95)</w:t>
            </w:r>
          </w:p>
        </w:tc>
        <w:tc>
          <w:tcPr>
            <w:tcW w:type="dxa" w:w="1368"/>
          </w:tcPr>
          <w:p>
            <w:pPr>
              <w:jc w:val="center"/>
            </w:pPr>
            <w:r/>
            <w:r>
              <w:rPr>
                <w:rFonts w:ascii="Times New Roman" w:hAnsi="Times New Roman" w:cs="Times New Roman" w:eastAsia="Times New Roman"/>
                <w:sz w:val="14"/>
              </w:rPr>
              <w:t>555 ms (842 ms)</w:t>
            </w:r>
          </w:p>
        </w:tc>
      </w:tr>
      <w:tr>
        <w:trPr>
          <w:cantSplit w:val="true"/>
        </w:trPr>
        <w:tc>
          <w:tcPr>
            <w:tcW w:type="dxa" w:w="3528"/>
          </w:tcPr>
          <w:p>
            <w:pPr>
              <w:jc w:val="left"/>
            </w:pPr>
            <w:r/>
            <w:r>
              <w:rPr>
                <w:rFonts w:ascii="Times New Roman" w:hAnsi="Times New Roman" w:cs="Times New Roman" w:eastAsia="Times New Roman"/>
                <w:sz w:val="14"/>
              </w:rPr>
              <w:t>POST /api/chat, fallback answer, mean (p95)</w:t>
            </w:r>
          </w:p>
        </w:tc>
        <w:tc>
          <w:tcPr>
            <w:tcW w:type="dxa" w:w="1368"/>
          </w:tcPr>
          <w:p>
            <w:pPr>
              <w:jc w:val="center"/>
            </w:pPr>
            <w:r/>
            <w:r>
              <w:rPr>
                <w:rFonts w:ascii="Times New Roman" w:hAnsi="Times New Roman" w:cs="Times New Roman" w:eastAsia="Times New Roman"/>
                <w:sz w:val="14"/>
              </w:rPr>
              <w:t>403 ms (569 ms)</w:t>
            </w:r>
          </w:p>
        </w:tc>
      </w:tr>
      <w:tr>
        <w:trPr>
          <w:cantSplit w:val="true"/>
        </w:trPr>
        <w:tc>
          <w:tcPr>
            <w:tcW w:type="dxa" w:w="3528"/>
          </w:tcPr>
          <w:p>
            <w:pPr>
              <w:jc w:val="left"/>
            </w:pPr>
            <w:r/>
            <w:r>
              <w:rPr>
                <w:rFonts w:ascii="Times New Roman" w:hAnsi="Times New Roman" w:cs="Times New Roman" w:eastAsia="Times New Roman"/>
                <w:sz w:val="14"/>
              </w:rPr>
              <w:t>POST /api/chat, Flan-T5 answer, mean (p95)</w:t>
            </w:r>
          </w:p>
        </w:tc>
        <w:tc>
          <w:tcPr>
            <w:tcW w:type="dxa" w:w="1368"/>
          </w:tcPr>
          <w:p>
            <w:pPr>
              <w:jc w:val="center"/>
            </w:pPr>
            <w:r/>
            <w:r>
              <w:rPr>
                <w:rFonts w:ascii="Times New Roman" w:hAnsi="Times New Roman" w:cs="Times New Roman" w:eastAsia="Times New Roman"/>
                <w:sz w:val="14"/>
              </w:rPr>
              <w:t>766 ms (1077 ms)</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Safety layer.</w:t>
      </w:r>
      <w:r>
        <w:rPr>
          <w:rFonts w:ascii="Times New Roman" w:hAnsi="Times New Roman" w:cs="Times New Roman" w:eastAsia="Times New Roman"/>
          <w:sz w:val="20"/>
        </w:rPr>
        <w:t xml:space="preserve"> The rules flagged 27 of 28 emergency sentences worded like the rules and none of 12 paraphrases ("pressure in my chest and my left arm hurts", "gasping for air", "I do not want to live anymore"), so overall recall is 67.5% (Wilson interval 52%-80%). Negation and history trigger false alarms: 6 of 10 hard negatives such as "I do not have difficulty breathing" or a stroke in the family were flagged as emergencies. The medication filter replaces text case-sensitively, so "Take ibuprofen" and "Dosage:" pass through, and drugs outside its five phrases are not touched (6 of 14 test sentences cleaned).</w:t>
      </w:r>
    </w:p>
    <w:p>
      <w:pPr>
        <w:keepNext/>
        <w:spacing w:before="80"/>
        <w:jc w:val="center"/>
      </w:pPr>
      <w:r>
        <w:drawing>
          <wp:inline xmlns:a="http://schemas.openxmlformats.org/drawingml/2006/main" xmlns:pic="http://schemas.openxmlformats.org/drawingml/2006/picture">
            <wp:extent cx="2743200" cy="1694329"/>
            <wp:docPr id="4" name="Picture 4"/>
            <wp:cNvGraphicFramePr>
              <a:graphicFrameLocks noChangeAspect="1"/>
            </wp:cNvGraphicFramePr>
            <a:graphic>
              <a:graphicData uri="http://schemas.openxmlformats.org/drawingml/2006/picture">
                <pic:pic>
                  <pic:nvPicPr>
                    <pic:cNvPr id="0" name="paper_safety.png"/>
                    <pic:cNvPicPr/>
                  </pic:nvPicPr>
                  <pic:blipFill>
                    <a:blip r:embed="rId12"/>
                    <a:stretch>
                      <a:fillRect/>
                    </a:stretch>
                  </pic:blipFill>
                  <pic:spPr>
                    <a:xfrm>
                      <a:off x="0" y="0"/>
                      <a:ext cx="2743200" cy="1694329"/>
                    </a:xfrm>
                    <a:prstGeom prst="rect"/>
                  </pic:spPr>
                </pic:pic>
              </a:graphicData>
            </a:graphic>
          </wp:inline>
        </w:drawing>
      </w:r>
    </w:p>
    <w:p>
      <w:pPr>
        <w:spacing w:after="100"/>
        <w:jc w:val="both"/>
      </w:pPr>
      <w:r>
        <w:rPr>
          <w:rFonts w:ascii="Times New Roman" w:hAnsi="Times New Roman" w:cs="Times New Roman" w:eastAsia="Times New Roman"/>
          <w:sz w:val="16"/>
        </w:rPr>
        <w:t>Fig. 4. Safety layer on the author-written sentences: emergencies flagged and false alarms.</w:t>
      </w:r>
    </w:p>
    <w:p>
      <w:pPr>
        <w:keepNext w:val="0"/>
        <w:spacing w:after="0" w:before="0" w:line="240" w:lineRule="auto"/>
        <w:ind w:firstLine="288"/>
        <w:jc w:val="both"/>
      </w:pPr>
      <w:r>
        <w:rPr>
          <w:rFonts w:ascii="Times New Roman" w:hAnsi="Times New Roman" w:cs="Times New Roman" w:eastAsia="Times New Roman"/>
          <w:b/>
          <w:sz w:val="20"/>
        </w:rPr>
        <w:t>Generation.</w:t>
      </w:r>
      <w:r>
        <w:rPr>
          <w:rFonts w:ascii="Times New Roman" w:hAnsi="Times New Roman" w:cs="Times New Roman" w:eastAsia="Times New Roman"/>
          <w:sz w:val="20"/>
        </w:rPr>
        <w:t xml:space="preserve"> With the installed Transformers 5.20.2 the task used by the generator no longer exists, the code falls back to plain text generation, and Flan-T5 returns its prompt unchanged: all 30 of 30 answers repeat the instructions and the retrieved records and are still labelled as locally generated (Fig. 5 shows the evidence-based fallback instead). The fallback is deterministic and cannot name a condition that was not retrieved, so answers are grounded by construction but not synthesised, they do not cite sources per statement, and groundedness was not judged by humans or a model.</w:t>
      </w:r>
    </w:p>
    <w:p>
      <w:pPr>
        <w:keepNext w:val="0"/>
        <w:spacing w:after="0" w:before="0" w:line="240" w:lineRule="auto"/>
        <w:ind w:firstLine="288"/>
        <w:jc w:val="both"/>
      </w:pPr>
      <w:r>
        <w:rPr>
          <w:rFonts w:ascii="Times New Roman" w:hAnsi="Times New Roman" w:cs="Times New Roman" w:eastAsia="Times New Roman"/>
          <w:b/>
          <w:sz w:val="20"/>
        </w:rPr>
        <w:t>Speed and tests.</w:t>
      </w:r>
      <w:r>
        <w:rPr>
          <w:rFonts w:ascii="Times New Roman" w:hAnsi="Times New Roman" w:cs="Times New Roman" w:eastAsia="Times New Roman"/>
          <w:sz w:val="20"/>
        </w:rPr>
        <w:t xml:space="preserve"> On the CPU the cross-encoder dominates (555 ms for 15 pairs); embedding takes 56 ms (median) and FAISS, BM25 and fusion together under 4 ms. A chat request takes 403 ms over HTTP with the fallback answer and 766 ms with Flan-T5; loading all models on first use takes about a minute. The 9 pytest tests (34 s) and 22 smoke checks pass; there is no load test, user study or clinical review.</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PIPELINE STAGE LATENCY (30 REQUESTS, WARM MODELS)</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2304"/>
          </w:tcPr>
          <w:p>
            <w:pPr>
              <w:jc w:val="center"/>
            </w:pPr>
            <w:r/>
            <w:r>
              <w:rPr>
                <w:rFonts w:ascii="Times New Roman" w:hAnsi="Times New Roman" w:cs="Times New Roman" w:eastAsia="Times New Roman"/>
                <w:b/>
                <w:sz w:val="14"/>
              </w:rPr>
              <w:t>Stage</w:t>
            </w:r>
          </w:p>
        </w:tc>
        <w:tc>
          <w:tcPr>
            <w:tcW w:type="dxa" w:w="864"/>
          </w:tcPr>
          <w:p>
            <w:pPr>
              <w:jc w:val="center"/>
            </w:pPr>
            <w:r/>
            <w:r>
              <w:rPr>
                <w:rFonts w:ascii="Times New Roman" w:hAnsi="Times New Roman" w:cs="Times New Roman" w:eastAsia="Times New Roman"/>
                <w:b/>
                <w:sz w:val="14"/>
              </w:rPr>
              <w:t>Mean (ms)</w:t>
            </w:r>
          </w:p>
        </w:tc>
        <w:tc>
          <w:tcPr>
            <w:tcW w:type="dxa" w:w="864"/>
          </w:tcPr>
          <w:p>
            <w:pPr>
              <w:jc w:val="center"/>
            </w:pPr>
            <w:r/>
            <w:r>
              <w:rPr>
                <w:rFonts w:ascii="Times New Roman" w:hAnsi="Times New Roman" w:cs="Times New Roman" w:eastAsia="Times New Roman"/>
                <w:b/>
                <w:sz w:val="14"/>
              </w:rPr>
              <w:t>Median (ms)</w:t>
            </w:r>
          </w:p>
        </w:tc>
        <w:tc>
          <w:tcPr>
            <w:tcW w:type="dxa" w:w="864"/>
          </w:tcPr>
          <w:p>
            <w:pPr>
              <w:jc w:val="center"/>
            </w:pPr>
            <w:r/>
            <w:r>
              <w:rPr>
                <w:rFonts w:ascii="Times New Roman" w:hAnsi="Times New Roman" w:cs="Times New Roman" w:eastAsia="Times New Roman"/>
                <w:b/>
                <w:sz w:val="14"/>
              </w:rPr>
              <w:t>p95 (ms)</w:t>
            </w:r>
          </w:p>
        </w:tc>
      </w:tr>
      <w:tr>
        <w:trPr>
          <w:cantSplit w:val="true"/>
        </w:trPr>
        <w:tc>
          <w:tcPr>
            <w:tcW w:type="dxa" w:w="2304"/>
          </w:tcPr>
          <w:p>
            <w:pPr>
              <w:jc w:val="left"/>
            </w:pPr>
            <w:r/>
            <w:r>
              <w:rPr>
                <w:rFonts w:ascii="Times New Roman" w:hAnsi="Times New Roman" w:cs="Times New Roman" w:eastAsia="Times New Roman"/>
                <w:sz w:val="14"/>
              </w:rPr>
              <w:t>Query expansion (template)</w:t>
            </w:r>
          </w:p>
        </w:tc>
        <w:tc>
          <w:tcPr>
            <w:tcW w:type="dxa" w:w="864"/>
          </w:tcPr>
          <w:p>
            <w:pPr>
              <w:jc w:val="center"/>
            </w:pPr>
            <w:r/>
            <w:r>
              <w:rPr>
                <w:rFonts w:ascii="Times New Roman" w:hAnsi="Times New Roman" w:cs="Times New Roman" w:eastAsia="Times New Roman"/>
                <w:sz w:val="14"/>
              </w:rPr>
              <w:t>0.03</w:t>
            </w:r>
          </w:p>
        </w:tc>
        <w:tc>
          <w:tcPr>
            <w:tcW w:type="dxa" w:w="864"/>
          </w:tcPr>
          <w:p>
            <w:pPr>
              <w:jc w:val="center"/>
            </w:pPr>
            <w:r/>
            <w:r>
              <w:rPr>
                <w:rFonts w:ascii="Times New Roman" w:hAnsi="Times New Roman" w:cs="Times New Roman" w:eastAsia="Times New Roman"/>
                <w:sz w:val="14"/>
              </w:rPr>
              <w:t>0.03</w:t>
            </w:r>
          </w:p>
        </w:tc>
        <w:tc>
          <w:tcPr>
            <w:tcW w:type="dxa" w:w="864"/>
          </w:tcPr>
          <w:p>
            <w:pPr>
              <w:jc w:val="center"/>
            </w:pPr>
            <w:r/>
            <w:r>
              <w:rPr>
                <w:rFonts w:ascii="Times New Roman" w:hAnsi="Times New Roman" w:cs="Times New Roman" w:eastAsia="Times New Roman"/>
                <w:sz w:val="14"/>
              </w:rPr>
              <w:t>0.05</w:t>
            </w:r>
          </w:p>
        </w:tc>
      </w:tr>
      <w:tr>
        <w:trPr>
          <w:cantSplit w:val="true"/>
        </w:trPr>
        <w:tc>
          <w:tcPr>
            <w:tcW w:type="dxa" w:w="2304"/>
          </w:tcPr>
          <w:p>
            <w:pPr>
              <w:jc w:val="left"/>
            </w:pPr>
            <w:r/>
            <w:r>
              <w:rPr>
                <w:rFonts w:ascii="Times New Roman" w:hAnsi="Times New Roman" w:cs="Times New Roman" w:eastAsia="Times New Roman"/>
                <w:sz w:val="14"/>
              </w:rPr>
              <w:t>MiniLM embedding</w:t>
            </w:r>
          </w:p>
        </w:tc>
        <w:tc>
          <w:tcPr>
            <w:tcW w:type="dxa" w:w="864"/>
          </w:tcPr>
          <w:p>
            <w:pPr>
              <w:jc w:val="center"/>
            </w:pPr>
            <w:r/>
            <w:r>
              <w:rPr>
                <w:rFonts w:ascii="Times New Roman" w:hAnsi="Times New Roman" w:cs="Times New Roman" w:eastAsia="Times New Roman"/>
                <w:sz w:val="14"/>
              </w:rPr>
              <w:t>92.96</w:t>
            </w:r>
          </w:p>
        </w:tc>
        <w:tc>
          <w:tcPr>
            <w:tcW w:type="dxa" w:w="864"/>
          </w:tcPr>
          <w:p>
            <w:pPr>
              <w:jc w:val="center"/>
            </w:pPr>
            <w:r/>
            <w:r>
              <w:rPr>
                <w:rFonts w:ascii="Times New Roman" w:hAnsi="Times New Roman" w:cs="Times New Roman" w:eastAsia="Times New Roman"/>
                <w:sz w:val="14"/>
              </w:rPr>
              <w:t>56.21</w:t>
            </w:r>
          </w:p>
        </w:tc>
        <w:tc>
          <w:tcPr>
            <w:tcW w:type="dxa" w:w="864"/>
          </w:tcPr>
          <w:p>
            <w:pPr>
              <w:jc w:val="center"/>
            </w:pPr>
            <w:r/>
            <w:r>
              <w:rPr>
                <w:rFonts w:ascii="Times New Roman" w:hAnsi="Times New Roman" w:cs="Times New Roman" w:eastAsia="Times New Roman"/>
                <w:sz w:val="14"/>
              </w:rPr>
              <w:t>269.18</w:t>
            </w:r>
          </w:p>
        </w:tc>
      </w:tr>
      <w:tr>
        <w:trPr>
          <w:cantSplit w:val="true"/>
        </w:trPr>
        <w:tc>
          <w:tcPr>
            <w:tcW w:type="dxa" w:w="2304"/>
          </w:tcPr>
          <w:p>
            <w:pPr>
              <w:jc w:val="left"/>
            </w:pPr>
            <w:r/>
            <w:r>
              <w:rPr>
                <w:rFonts w:ascii="Times New Roman" w:hAnsi="Times New Roman" w:cs="Times New Roman" w:eastAsia="Times New Roman"/>
                <w:sz w:val="14"/>
              </w:rPr>
              <w:t>FAISS search</w:t>
            </w:r>
          </w:p>
        </w:tc>
        <w:tc>
          <w:tcPr>
            <w:tcW w:type="dxa" w:w="864"/>
          </w:tcPr>
          <w:p>
            <w:pPr>
              <w:jc w:val="center"/>
            </w:pPr>
            <w:r/>
            <w:r>
              <w:rPr>
                <w:rFonts w:ascii="Times New Roman" w:hAnsi="Times New Roman" w:cs="Times New Roman" w:eastAsia="Times New Roman"/>
                <w:sz w:val="14"/>
              </w:rPr>
              <w:t>0.19</w:t>
            </w:r>
          </w:p>
        </w:tc>
        <w:tc>
          <w:tcPr>
            <w:tcW w:type="dxa" w:w="864"/>
          </w:tcPr>
          <w:p>
            <w:pPr>
              <w:jc w:val="center"/>
            </w:pPr>
            <w:r/>
            <w:r>
              <w:rPr>
                <w:rFonts w:ascii="Times New Roman" w:hAnsi="Times New Roman" w:cs="Times New Roman" w:eastAsia="Times New Roman"/>
                <w:sz w:val="14"/>
              </w:rPr>
              <w:t>0.13</w:t>
            </w:r>
          </w:p>
        </w:tc>
        <w:tc>
          <w:tcPr>
            <w:tcW w:type="dxa" w:w="864"/>
          </w:tcPr>
          <w:p>
            <w:pPr>
              <w:jc w:val="center"/>
            </w:pPr>
            <w:r/>
            <w:r>
              <w:rPr>
                <w:rFonts w:ascii="Times New Roman" w:hAnsi="Times New Roman" w:cs="Times New Roman" w:eastAsia="Times New Roman"/>
                <w:sz w:val="14"/>
              </w:rPr>
              <w:t>0.46</w:t>
            </w:r>
          </w:p>
        </w:tc>
      </w:tr>
      <w:tr>
        <w:trPr>
          <w:cantSplit w:val="true"/>
        </w:trPr>
        <w:tc>
          <w:tcPr>
            <w:tcW w:type="dxa" w:w="2304"/>
          </w:tcPr>
          <w:p>
            <w:pPr>
              <w:jc w:val="left"/>
            </w:pPr>
            <w:r/>
            <w:r>
              <w:rPr>
                <w:rFonts w:ascii="Times New Roman" w:hAnsi="Times New Roman" w:cs="Times New Roman" w:eastAsia="Times New Roman"/>
                <w:sz w:val="14"/>
              </w:rPr>
              <w:t>BM25 search</w:t>
            </w:r>
          </w:p>
        </w:tc>
        <w:tc>
          <w:tcPr>
            <w:tcW w:type="dxa" w:w="864"/>
          </w:tcPr>
          <w:p>
            <w:pPr>
              <w:jc w:val="center"/>
            </w:pPr>
            <w:r/>
            <w:r>
              <w:rPr>
                <w:rFonts w:ascii="Times New Roman" w:hAnsi="Times New Roman" w:cs="Times New Roman" w:eastAsia="Times New Roman"/>
                <w:sz w:val="14"/>
              </w:rPr>
              <w:t>2.46</w:t>
            </w:r>
          </w:p>
        </w:tc>
        <w:tc>
          <w:tcPr>
            <w:tcW w:type="dxa" w:w="864"/>
          </w:tcPr>
          <w:p>
            <w:pPr>
              <w:jc w:val="center"/>
            </w:pPr>
            <w:r/>
            <w:r>
              <w:rPr>
                <w:rFonts w:ascii="Times New Roman" w:hAnsi="Times New Roman" w:cs="Times New Roman" w:eastAsia="Times New Roman"/>
                <w:sz w:val="14"/>
              </w:rPr>
              <w:t>2.13</w:t>
            </w:r>
          </w:p>
        </w:tc>
        <w:tc>
          <w:tcPr>
            <w:tcW w:type="dxa" w:w="864"/>
          </w:tcPr>
          <w:p>
            <w:pPr>
              <w:jc w:val="center"/>
            </w:pPr>
            <w:r/>
            <w:r>
              <w:rPr>
                <w:rFonts w:ascii="Times New Roman" w:hAnsi="Times New Roman" w:cs="Times New Roman" w:eastAsia="Times New Roman"/>
                <w:sz w:val="14"/>
              </w:rPr>
              <w:t>4.19</w:t>
            </w:r>
          </w:p>
        </w:tc>
      </w:tr>
      <w:tr>
        <w:trPr>
          <w:cantSplit w:val="true"/>
        </w:trPr>
        <w:tc>
          <w:tcPr>
            <w:tcW w:type="dxa" w:w="2304"/>
          </w:tcPr>
          <w:p>
            <w:pPr>
              <w:jc w:val="left"/>
            </w:pPr>
            <w:r/>
            <w:r>
              <w:rPr>
                <w:rFonts w:ascii="Times New Roman" w:hAnsi="Times New Roman" w:cs="Times New Roman" w:eastAsia="Times New Roman"/>
                <w:sz w:val="14"/>
              </w:rPr>
              <w:t>Score fusion</w:t>
            </w:r>
          </w:p>
        </w:tc>
        <w:tc>
          <w:tcPr>
            <w:tcW w:type="dxa" w:w="864"/>
          </w:tcPr>
          <w:p>
            <w:pPr>
              <w:jc w:val="center"/>
            </w:pPr>
            <w:r/>
            <w:r>
              <w:rPr>
                <w:rFonts w:ascii="Times New Roman" w:hAnsi="Times New Roman" w:cs="Times New Roman" w:eastAsia="Times New Roman"/>
                <w:sz w:val="14"/>
              </w:rPr>
              <w:t>0.07</w:t>
            </w:r>
          </w:p>
        </w:tc>
        <w:tc>
          <w:tcPr>
            <w:tcW w:type="dxa" w:w="864"/>
          </w:tcPr>
          <w:p>
            <w:pPr>
              <w:jc w:val="center"/>
            </w:pPr>
            <w:r/>
            <w:r>
              <w:rPr>
                <w:rFonts w:ascii="Times New Roman" w:hAnsi="Times New Roman" w:cs="Times New Roman" w:eastAsia="Times New Roman"/>
                <w:sz w:val="14"/>
              </w:rPr>
              <w:t>0.06</w:t>
            </w:r>
          </w:p>
        </w:tc>
        <w:tc>
          <w:tcPr>
            <w:tcW w:type="dxa" w:w="864"/>
          </w:tcPr>
          <w:p>
            <w:pPr>
              <w:jc w:val="center"/>
            </w:pPr>
            <w:r/>
            <w:r>
              <w:rPr>
                <w:rFonts w:ascii="Times New Roman" w:hAnsi="Times New Roman" w:cs="Times New Roman" w:eastAsia="Times New Roman"/>
                <w:sz w:val="14"/>
              </w:rPr>
              <w:t>0.11</w:t>
            </w:r>
          </w:p>
        </w:tc>
      </w:tr>
      <w:tr>
        <w:trPr>
          <w:cantSplit w:val="true"/>
        </w:trPr>
        <w:tc>
          <w:tcPr>
            <w:tcW w:type="dxa" w:w="2304"/>
          </w:tcPr>
          <w:p>
            <w:pPr>
              <w:jc w:val="left"/>
            </w:pPr>
            <w:r/>
            <w:r>
              <w:rPr>
                <w:rFonts w:ascii="Times New Roman" w:hAnsi="Times New Roman" w:cs="Times New Roman" w:eastAsia="Times New Roman"/>
                <w:sz w:val="14"/>
              </w:rPr>
              <w:t>Cross-encoder, 15 pairs</w:t>
            </w:r>
          </w:p>
        </w:tc>
        <w:tc>
          <w:tcPr>
            <w:tcW w:type="dxa" w:w="864"/>
          </w:tcPr>
          <w:p>
            <w:pPr>
              <w:jc w:val="center"/>
            </w:pPr>
            <w:r/>
            <w:r>
              <w:rPr>
                <w:rFonts w:ascii="Times New Roman" w:hAnsi="Times New Roman" w:cs="Times New Roman" w:eastAsia="Times New Roman"/>
                <w:sz w:val="14"/>
              </w:rPr>
              <w:t>554.66</w:t>
            </w:r>
          </w:p>
        </w:tc>
        <w:tc>
          <w:tcPr>
            <w:tcW w:type="dxa" w:w="864"/>
          </w:tcPr>
          <w:p>
            <w:pPr>
              <w:jc w:val="center"/>
            </w:pPr>
            <w:r/>
            <w:r>
              <w:rPr>
                <w:rFonts w:ascii="Times New Roman" w:hAnsi="Times New Roman" w:cs="Times New Roman" w:eastAsia="Times New Roman"/>
                <w:sz w:val="14"/>
              </w:rPr>
              <w:t>542.57</w:t>
            </w:r>
          </w:p>
        </w:tc>
        <w:tc>
          <w:tcPr>
            <w:tcW w:type="dxa" w:w="864"/>
          </w:tcPr>
          <w:p>
            <w:pPr>
              <w:jc w:val="center"/>
            </w:pPr>
            <w:r/>
            <w:r>
              <w:rPr>
                <w:rFonts w:ascii="Times New Roman" w:hAnsi="Times New Roman" w:cs="Times New Roman" w:eastAsia="Times New Roman"/>
                <w:sz w:val="14"/>
              </w:rPr>
              <w:t>841.96</w:t>
            </w:r>
          </w:p>
        </w:tc>
      </w:tr>
      <w:tr>
        <w:trPr>
          <w:cantSplit w:val="true"/>
        </w:trPr>
        <w:tc>
          <w:tcPr>
            <w:tcW w:type="dxa" w:w="2304"/>
          </w:tcPr>
          <w:p>
            <w:pPr>
              <w:jc w:val="left"/>
            </w:pPr>
            <w:r/>
            <w:r>
              <w:rPr>
                <w:rFonts w:ascii="Times New Roman" w:hAnsi="Times New Roman" w:cs="Times New Roman" w:eastAsia="Times New Roman"/>
                <w:sz w:val="14"/>
              </w:rPr>
              <w:t>Safety rules</w:t>
            </w:r>
          </w:p>
        </w:tc>
        <w:tc>
          <w:tcPr>
            <w:tcW w:type="dxa" w:w="864"/>
          </w:tcPr>
          <w:p>
            <w:pPr>
              <w:jc w:val="center"/>
            </w:pPr>
            <w:r/>
            <w:r>
              <w:rPr>
                <w:rFonts w:ascii="Times New Roman" w:hAnsi="Times New Roman" w:cs="Times New Roman" w:eastAsia="Times New Roman"/>
                <w:sz w:val="14"/>
              </w:rPr>
              <w:t>0.04</w:t>
            </w:r>
          </w:p>
        </w:tc>
        <w:tc>
          <w:tcPr>
            <w:tcW w:type="dxa" w:w="864"/>
          </w:tcPr>
          <w:p>
            <w:pPr>
              <w:jc w:val="center"/>
            </w:pPr>
            <w:r/>
            <w:r>
              <w:rPr>
                <w:rFonts w:ascii="Times New Roman" w:hAnsi="Times New Roman" w:cs="Times New Roman" w:eastAsia="Times New Roman"/>
                <w:sz w:val="14"/>
              </w:rPr>
              <w:t>0.04</w:t>
            </w:r>
          </w:p>
        </w:tc>
        <w:tc>
          <w:tcPr>
            <w:tcW w:type="dxa" w:w="864"/>
          </w:tcPr>
          <w:p>
            <w:pPr>
              <w:jc w:val="center"/>
            </w:pPr>
            <w:r/>
            <w:r>
              <w:rPr>
                <w:rFonts w:ascii="Times New Roman" w:hAnsi="Times New Roman" w:cs="Times New Roman" w:eastAsia="Times New Roman"/>
                <w:sz w:val="14"/>
              </w:rPr>
              <w:t>0.08</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017520" cy="1415913"/>
            <wp:docPr id="5" name="Picture 5"/>
            <wp:cNvGraphicFramePr>
              <a:graphicFrameLocks noChangeAspect="1"/>
            </wp:cNvGraphicFramePr>
            <a:graphic>
              <a:graphicData uri="http://schemas.openxmlformats.org/drawingml/2006/picture">
                <pic:pic>
                  <pic:nvPicPr>
                    <pic:cNvPr id="0" name="paper_screen_emergency.png"/>
                    <pic:cNvPicPr/>
                  </pic:nvPicPr>
                  <pic:blipFill>
                    <a:blip r:embed="rId13"/>
                    <a:stretch>
                      <a:fillRect/>
                    </a:stretch>
                  </pic:blipFill>
                  <pic:spPr>
                    <a:xfrm>
                      <a:off x="0" y="0"/>
                      <a:ext cx="3017520" cy="1415913"/>
                    </a:xfrm>
                    <a:prstGeom prst="rect"/>
                  </pic:spPr>
                </pic:pic>
              </a:graphicData>
            </a:graphic>
          </wp:inline>
        </w:drawing>
      </w:r>
    </w:p>
    <w:p>
      <w:pPr>
        <w:spacing w:after="100"/>
        <w:jc w:val="both"/>
      </w:pPr>
      <w:r>
        <w:rPr>
          <w:rFonts w:ascii="Times New Roman" w:hAnsi="Times New Roman" w:cs="Times New Roman" w:eastAsia="Times New Roman"/>
          <w:sz w:val="16"/>
        </w:rPr>
        <w:t>Fig. 5. Output screen: an emergency query ("severe chest pain and difficulty breathing") shows the emergency banner above the evidence-based answer.</w:t>
      </w:r>
    </w:p>
    <w:p>
      <w:pPr>
        <w:keepNext/>
        <w:spacing w:before="80"/>
        <w:jc w:val="center"/>
      </w:pPr>
      <w:r>
        <w:drawing>
          <wp:inline xmlns:a="http://schemas.openxmlformats.org/drawingml/2006/main" xmlns:pic="http://schemas.openxmlformats.org/drawingml/2006/picture">
            <wp:extent cx="3108960" cy="1507708"/>
            <wp:docPr id="6" name="Picture 6"/>
            <wp:cNvGraphicFramePr>
              <a:graphicFrameLocks noChangeAspect="1"/>
            </wp:cNvGraphicFramePr>
            <a:graphic>
              <a:graphicData uri="http://schemas.openxmlformats.org/drawingml/2006/picture">
                <pic:pic>
                  <pic:nvPicPr>
                    <pic:cNvPr id="0" name="paper_screen_history.png"/>
                    <pic:cNvPicPr/>
                  </pic:nvPicPr>
                  <pic:blipFill>
                    <a:blip r:embed="rId14"/>
                    <a:stretch>
                      <a:fillRect/>
                    </a:stretch>
                  </pic:blipFill>
                  <pic:spPr>
                    <a:xfrm>
                      <a:off x="0" y="0"/>
                      <a:ext cx="3108960" cy="1507708"/>
                    </a:xfrm>
                    <a:prstGeom prst="rect"/>
                  </pic:spPr>
                </pic:pic>
              </a:graphicData>
            </a:graphic>
          </wp:inline>
        </w:drawing>
      </w:r>
    </w:p>
    <w:p>
      <w:pPr>
        <w:spacing w:after="100"/>
        <w:jc w:val="both"/>
      </w:pPr>
      <w:r>
        <w:rPr>
          <w:rFonts w:ascii="Times New Roman" w:hAnsi="Times New Roman" w:cs="Times New Roman" w:eastAsia="Times New Roman"/>
          <w:sz w:val="16"/>
        </w:rPr>
        <w:t>Fig. 6. Output screen: the private consultation history with search, top condition, safety flag (routine, caution, emergency) and relevance, which is 100% for every row.</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base paper [1] reports no number, so there is nothing to compare quantitatively, and its knowledge base is of unstated size. Qualitatively, SymptoTrackAI adds BM25 retrieval, a cross-encoder, query expansion, an offline fallback, a safety layer and measurements, and it keeps the base paper's registration, login and history. Its knowledge base is synthetic and tiny, so the conditions, data and tasks differ and no claim of superiority is made. Symptom tracking over time is still only a searchable list of consultations; trends and progression are not computed.</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knowledge base and the condition descriptions were written by the project, so there is no external ground truth; sibling records of a condition share their description and guidance, which makes condition retrieval easier than in a real corpus; the 60 lay-language probes and the 70 safety sentences were written by the same authors who built the rules, which favours the system; the intervals are wide for 60 probes (88.6-99.1%); answers were not rated by clinicians or users; and all timings come from one CPU-only machine. The numbers are evidence that the pipeline works and that specific defects exist, not a benchmark of clinical quality.</w:t>
      </w:r>
    </w:p>
    <w:p>
      <w:pPr>
        <w:keepNext/>
        <w:spacing w:before="80"/>
        <w:jc w:val="center"/>
      </w:pPr>
      <w:r>
        <w:rPr>
          <w:rFonts w:ascii="Times New Roman" w:hAnsi="Times New Roman" w:cs="Times New Roman" w:eastAsia="Times New Roman"/>
          <w:sz w:val="16"/>
        </w:rPr>
        <w:t>TABLE V</w:t>
      </w:r>
    </w:p>
    <w:p>
      <w:pPr>
        <w:keepNext/>
        <w:spacing w:after="40"/>
        <w:jc w:val="center"/>
      </w:pPr>
      <w:r>
        <w:rPr>
          <w:rFonts w:ascii="Times New Roman" w:hAnsi="Times New Roman" w:cs="Times New Roman" w:eastAsia="Times New Roman"/>
          <w:sz w:val="16"/>
        </w:rPr>
        <w:t>OBJECTIVES AGAINST OUTCOME</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2304"/>
          </w:tcPr>
          <w:p>
            <w:pPr>
              <w:jc w:val="center"/>
            </w:pPr>
            <w:r/>
            <w:r>
              <w:rPr>
                <w:rFonts w:ascii="Times New Roman" w:hAnsi="Times New Roman" w:cs="Times New Roman" w:eastAsia="Times New Roman"/>
                <w:b/>
                <w:sz w:val="14"/>
              </w:rPr>
              <w:t>Objective</w:t>
            </w:r>
          </w:p>
        </w:tc>
        <w:tc>
          <w:tcPr>
            <w:tcW w:type="dxa" w:w="2592"/>
          </w:tcPr>
          <w:p>
            <w:pPr>
              <w:jc w:val="center"/>
            </w:pPr>
            <w:r/>
            <w:r>
              <w:rPr>
                <w:rFonts w:ascii="Times New Roman" w:hAnsi="Times New Roman" w:cs="Times New Roman" w:eastAsia="Times New Roman"/>
                <w:b/>
                <w:sz w:val="14"/>
              </w:rPr>
              <w:t>Status</w:t>
            </w:r>
          </w:p>
        </w:tc>
      </w:tr>
      <w:tr>
        <w:trPr>
          <w:cantSplit w:val="true"/>
        </w:trPr>
        <w:tc>
          <w:tcPr>
            <w:tcW w:type="dxa" w:w="2304"/>
          </w:tcPr>
          <w:p>
            <w:pPr>
              <w:jc w:val="left"/>
            </w:pPr>
            <w:r/>
            <w:r>
              <w:rPr>
                <w:rFonts w:ascii="Times New Roman" w:hAnsi="Times New Roman" w:cs="Times New Roman" w:eastAsia="Times New Roman"/>
                <w:sz w:val="14"/>
              </w:rPr>
              <w:t>1. Curated knowledge base, indexed</w:t>
            </w:r>
          </w:p>
        </w:tc>
        <w:tc>
          <w:tcPr>
            <w:tcW w:type="dxa" w:w="2592"/>
          </w:tcPr>
          <w:p>
            <w:pPr>
              <w:jc w:val="left"/>
            </w:pPr>
            <w:r/>
            <w:r>
              <w:rPr>
                <w:rFonts w:ascii="Times New Roman" w:hAnsi="Times New Roman" w:cs="Times New Roman" w:eastAsia="Times New Roman"/>
                <w:sz w:val="14"/>
              </w:rPr>
              <w:t>Done: synthetic, 176 records, FAISS + BM25</w:t>
            </w:r>
          </w:p>
        </w:tc>
      </w:tr>
      <w:tr>
        <w:trPr>
          <w:cantSplit w:val="true"/>
        </w:trPr>
        <w:tc>
          <w:tcPr>
            <w:tcW w:type="dxa" w:w="2304"/>
          </w:tcPr>
          <w:p>
            <w:pPr>
              <w:jc w:val="left"/>
            </w:pPr>
            <w:r/>
            <w:r>
              <w:rPr>
                <w:rFonts w:ascii="Times New Roman" w:hAnsi="Times New Roman" w:cs="Times New Roman" w:eastAsia="Times New Roman"/>
                <w:sz w:val="14"/>
              </w:rPr>
              <w:t>2. Natural language and query expansion</w:t>
            </w:r>
          </w:p>
        </w:tc>
        <w:tc>
          <w:tcPr>
            <w:tcW w:type="dxa" w:w="2592"/>
          </w:tcPr>
          <w:p>
            <w:pPr>
              <w:jc w:val="left"/>
            </w:pPr>
            <w:r/>
            <w:r>
              <w:rPr>
                <w:rFonts w:ascii="Times New Roman" w:hAnsi="Times New Roman" w:cs="Times New Roman" w:eastAsia="Times New Roman"/>
                <w:sz w:val="14"/>
              </w:rPr>
              <w:t>Done: template expansion, no measured gain</w:t>
            </w:r>
          </w:p>
        </w:tc>
      </w:tr>
      <w:tr>
        <w:trPr>
          <w:cantSplit w:val="true"/>
        </w:trPr>
        <w:tc>
          <w:tcPr>
            <w:tcW w:type="dxa" w:w="2304"/>
          </w:tcPr>
          <w:p>
            <w:pPr>
              <w:jc w:val="left"/>
            </w:pPr>
            <w:r/>
            <w:r>
              <w:rPr>
                <w:rFonts w:ascii="Times New Roman" w:hAnsi="Times New Roman" w:cs="Times New Roman" w:eastAsia="Times New Roman"/>
                <w:sz w:val="14"/>
              </w:rPr>
              <w:t>3. Hybrid retrieval with reranking</w:t>
            </w:r>
          </w:p>
        </w:tc>
        <w:tc>
          <w:tcPr>
            <w:tcW w:type="dxa" w:w="2592"/>
          </w:tcPr>
          <w:p>
            <w:pPr>
              <w:jc w:val="left"/>
            </w:pPr>
            <w:r/>
            <w:r>
              <w:rPr>
                <w:rFonts w:ascii="Times New Roman" w:hAnsi="Times New Roman" w:cs="Times New Roman" w:eastAsia="Times New Roman"/>
                <w:sz w:val="14"/>
              </w:rPr>
              <w:t>Done and measured (Table II)</w:t>
            </w:r>
          </w:p>
        </w:tc>
      </w:tr>
      <w:tr>
        <w:trPr>
          <w:cantSplit w:val="true"/>
        </w:trPr>
        <w:tc>
          <w:tcPr>
            <w:tcW w:type="dxa" w:w="2304"/>
          </w:tcPr>
          <w:p>
            <w:pPr>
              <w:jc w:val="left"/>
            </w:pPr>
            <w:r/>
            <w:r>
              <w:rPr>
                <w:rFonts w:ascii="Times New Roman" w:hAnsi="Times New Roman" w:cs="Times New Roman" w:eastAsia="Times New Roman"/>
                <w:sz w:val="14"/>
              </w:rPr>
              <w:t>4. Grounded answers, source cited per statement</w:t>
            </w:r>
          </w:p>
        </w:tc>
        <w:tc>
          <w:tcPr>
            <w:tcW w:type="dxa" w:w="2592"/>
          </w:tcPr>
          <w:p>
            <w:pPr>
              <w:jc w:val="left"/>
            </w:pPr>
            <w:r/>
            <w:r>
              <w:rPr>
                <w:rFonts w:ascii="Times New Roman" w:hAnsi="Times New Roman" w:cs="Times New Roman" w:eastAsia="Times New Roman"/>
                <w:sz w:val="14"/>
              </w:rPr>
              <w:t>Partly: evidence cards, no per-statement citation</w:t>
            </w:r>
          </w:p>
        </w:tc>
      </w:tr>
      <w:tr>
        <w:trPr>
          <w:cantSplit w:val="true"/>
        </w:trPr>
        <w:tc>
          <w:tcPr>
            <w:tcW w:type="dxa" w:w="2304"/>
          </w:tcPr>
          <w:p>
            <w:pPr>
              <w:jc w:val="left"/>
            </w:pPr>
            <w:r/>
            <w:r>
              <w:rPr>
                <w:rFonts w:ascii="Times New Roman" w:hAnsi="Times New Roman" w:cs="Times New Roman" w:eastAsia="Times New Roman"/>
                <w:sz w:val="14"/>
              </w:rPr>
              <w:t>5. Track symptoms over time, show trends</w:t>
            </w:r>
          </w:p>
        </w:tc>
        <w:tc>
          <w:tcPr>
            <w:tcW w:type="dxa" w:w="2592"/>
          </w:tcPr>
          <w:p>
            <w:pPr>
              <w:jc w:val="left"/>
            </w:pPr>
            <w:r/>
            <w:r>
              <w:rPr>
                <w:rFonts w:ascii="Times New Roman" w:hAnsi="Times New Roman" w:cs="Times New Roman" w:eastAsia="Times New Roman"/>
                <w:sz w:val="14"/>
              </w:rPr>
              <w:t>Not done beyond storage and search</w:t>
            </w:r>
          </w:p>
        </w:tc>
      </w:tr>
      <w:tr>
        <w:trPr>
          <w:cantSplit w:val="true"/>
        </w:trPr>
        <w:tc>
          <w:tcPr>
            <w:tcW w:type="dxa" w:w="2304"/>
          </w:tcPr>
          <w:p>
            <w:pPr>
              <w:jc w:val="left"/>
            </w:pPr>
            <w:r/>
            <w:r>
              <w:rPr>
                <w:rFonts w:ascii="Times New Roman" w:hAnsi="Times New Roman" w:cs="Times New Roman" w:eastAsia="Times New Roman"/>
                <w:sz w:val="14"/>
              </w:rPr>
              <w:t>6. Evaluate relevance, groundedness, time</w:t>
            </w:r>
          </w:p>
        </w:tc>
        <w:tc>
          <w:tcPr>
            <w:tcW w:type="dxa" w:w="2592"/>
          </w:tcPr>
          <w:p>
            <w:pPr>
              <w:jc w:val="left"/>
            </w:pPr>
            <w:r/>
            <w:r>
              <w:rPr>
                <w:rFonts w:ascii="Times New Roman" w:hAnsi="Times New Roman" w:cs="Times New Roman" w:eastAsia="Times New Roman"/>
                <w:sz w:val="14"/>
              </w:rPr>
              <w:t>Relevance and time measured; groundedness not judged</w:t>
            </w:r>
          </w:p>
        </w:tc>
      </w:tr>
    </w:tbl>
    <w:p>
      <w:pPr>
        <w:spacing w:after="60"/>
      </w:pPr>
      <w:r>
        <w:rPr>
          <w:rFonts w:ascii="Times New Roman" w:hAnsi="Times New Roman" w:cs="Times New Roman" w:eastAsia="Times New Roman"/>
          <w:sz w:val="8"/>
        </w:rPr>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SymptoTrackAI, as the CareLens AI application, retrieves grounded information for symptoms in everyday language with hybrid retrieval and reranking, escalates some emergencies, and keeps a private history. Against the six objectives, the knowledge base (synthetic), query expansion (a template), hybrid retrieval with reranking and the evaluation of relevance and response time are achieved; grounded answers are partly achieved (no per-statement citation, and the local generator echoes its prompt); and tracking symptoms over time is not achieved beyond storage. The key finding is that the ranking works on this small base (97% on lay language) but that a lexical baseline is nearly as good, the expansion template adds nothing, and the safety and confidence displays are weaker than the retrieval: none of 12 paraphrased emergencies was flagged and every answer is shown as a strong match. Other limits are the synthetic base, the authors' own probes and one CPU-only machine.</w:t>
      </w:r>
    </w:p>
    <w:p>
      <w:pPr>
        <w:keepNext w:val="0"/>
        <w:spacing w:after="0" w:before="0" w:line="240" w:lineRule="auto"/>
        <w:ind w:firstLine="288"/>
        <w:jc w:val="both"/>
      </w:pPr>
      <w:r>
        <w:rPr>
          <w:rFonts w:ascii="Times New Roman" w:hAnsi="Times New Roman" w:cs="Times New Roman" w:eastAsia="Times New Roman"/>
          <w:sz w:val="20"/>
        </w:rPr>
        <w:t>Future work: replace the base with a clinically reviewed source; restore the generator with a supported task and add per-statement citations; show the raw reranker score as the confidence and refuse out-of-base queries; add a trained emergency classifier with negation handling; and compute symptom trends and progression from the stored history.</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U. S. Madhury and M. Ramesh, "A hybrid retrieval-augmented generation framework for intelligent symptom monitoring and disease guidance," </w:t>
      </w:r>
      <w:r>
        <w:rPr>
          <w:rFonts w:ascii="Times New Roman" w:hAnsi="Times New Roman" w:cs="Times New Roman" w:eastAsia="Times New Roman"/>
          <w:i/>
          <w:sz w:val="16"/>
        </w:rPr>
        <w:t>Int. J. Eng. Res. Sci. Technol.</w:t>
      </w:r>
      <w:r>
        <w:rPr>
          <w:rFonts w:ascii="Times New Roman" w:hAnsi="Times New Roman" w:cs="Times New Roman" w:eastAsia="Times New Roman"/>
          <w:sz w:val="16"/>
        </w:rPr>
        <w:t>, vol. 22, no. 3, pp. 702-707, 2026, doi: 10.62643/ijerst.2026.v22.n3.4170.</w:t>
      </w:r>
    </w:p>
    <w:p>
      <w:pPr>
        <w:spacing w:after="20"/>
        <w:ind w:left="432" w:hanging="432"/>
        <w:jc w:val="both"/>
      </w:pPr>
      <w:r>
        <w:rPr>
          <w:rFonts w:ascii="Times New Roman" w:hAnsi="Times New Roman" w:cs="Times New Roman" w:eastAsia="Times New Roman"/>
          <w:sz w:val="16"/>
        </w:rPr>
        <w:t xml:space="preserve">[2]  Z. Ji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"Survey of hallucination in natural language generation," </w:t>
      </w:r>
      <w:r>
        <w:rPr>
          <w:rFonts w:ascii="Times New Roman" w:hAnsi="Times New Roman" w:cs="Times New Roman" w:eastAsia="Times New Roman"/>
          <w:i/>
          <w:sz w:val="16"/>
        </w:rPr>
        <w:t>ACM Comput. Surveys</w:t>
      </w:r>
      <w:r>
        <w:rPr>
          <w:rFonts w:ascii="Times New Roman" w:hAnsi="Times New Roman" w:cs="Times New Roman" w:eastAsia="Times New Roman"/>
          <w:sz w:val="16"/>
        </w:rPr>
        <w:t>, vol. 55, no. 12, Art. no. 248, 2023.</w:t>
      </w:r>
    </w:p>
    <w:p>
      <w:pPr>
        <w:spacing w:after="20"/>
        <w:ind w:left="432" w:hanging="432"/>
        <w:jc w:val="both"/>
      </w:pPr>
      <w:r>
        <w:rPr>
          <w:rFonts w:ascii="Times New Roman" w:hAnsi="Times New Roman" w:cs="Times New Roman" w:eastAsia="Times New Roman"/>
          <w:sz w:val="16"/>
        </w:rPr>
        <w:t xml:space="preserve">[3]  P. Lewis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"Retrieval-augmented generation for knowledge-intensive NLP tasks," in </w:t>
      </w:r>
      <w:r>
        <w:rPr>
          <w:rFonts w:ascii="Times New Roman" w:hAnsi="Times New Roman" w:cs="Times New Roman" w:eastAsia="Times New Roman"/>
          <w:i/>
          <w:sz w:val="16"/>
        </w:rPr>
        <w:t>Proc. Adv. Neural Inf. Process. Syst. (NeurIPS)</w:t>
      </w:r>
      <w:r>
        <w:rPr>
          <w:rFonts w:ascii="Times New Roman" w:hAnsi="Times New Roman" w:cs="Times New Roman" w:eastAsia="Times New Roman"/>
          <w:sz w:val="16"/>
        </w:rPr>
        <w:t>, vol. 33, 2020, pp. 9459-9474.</w:t>
      </w:r>
    </w:p>
    <w:p>
      <w:pPr>
        <w:spacing w:after="20"/>
        <w:ind w:left="432" w:hanging="432"/>
        <w:jc w:val="both"/>
      </w:pPr>
      <w:r>
        <w:rPr>
          <w:rFonts w:ascii="Times New Roman" w:hAnsi="Times New Roman" w:cs="Times New Roman" w:eastAsia="Times New Roman"/>
          <w:sz w:val="16"/>
        </w:rPr>
        <w:t xml:space="preserve">[4]  G. Xiong, Q. Jin, Z. Lu and A. Zhang, "Benchmarking retrieval-augmented generation for medicine," in </w:t>
      </w:r>
      <w:r>
        <w:rPr>
          <w:rFonts w:ascii="Times New Roman" w:hAnsi="Times New Roman" w:cs="Times New Roman" w:eastAsia="Times New Roman"/>
          <w:i/>
          <w:sz w:val="16"/>
        </w:rPr>
        <w:t>Findings Assoc. Comput. Linguistics: ACL 2024</w:t>
      </w:r>
      <w:r>
        <w:rPr>
          <w:rFonts w:ascii="Times New Roman" w:hAnsi="Times New Roman" w:cs="Times New Roman" w:eastAsia="Times New Roman"/>
          <w:sz w:val="16"/>
        </w:rPr>
        <w:t>, 2024, pp. 6233-6251.</w:t>
      </w:r>
    </w:p>
    <w:p>
      <w:pPr>
        <w:spacing w:after="20"/>
        <w:ind w:left="432" w:hanging="432"/>
        <w:jc w:val="both"/>
      </w:pPr>
      <w:r>
        <w:rPr>
          <w:rFonts w:ascii="Times New Roman" w:hAnsi="Times New Roman" w:cs="Times New Roman" w:eastAsia="Times New Roman"/>
          <w:sz w:val="16"/>
        </w:rPr>
        <w:t xml:space="preserve">[5]  S. Divya, V. Indumathi, S. Ishwarya, M. Priyasankari and S. K. Devi, "A self-diagnosis medical chatbot using artificial intelligence," </w:t>
      </w:r>
      <w:r>
        <w:rPr>
          <w:rFonts w:ascii="Times New Roman" w:hAnsi="Times New Roman" w:cs="Times New Roman" w:eastAsia="Times New Roman"/>
          <w:i/>
          <w:sz w:val="16"/>
        </w:rPr>
        <w:t>J. Web Develop. Web Designing</w:t>
      </w:r>
      <w:r>
        <w:rPr>
          <w:rFonts w:ascii="Times New Roman" w:hAnsi="Times New Roman" w:cs="Times New Roman" w:eastAsia="Times New Roman"/>
          <w:sz w:val="16"/>
        </w:rPr>
        <w:t>, vol. 3, no. 1, pp. 1-7, 2018.</w:t>
      </w:r>
    </w:p>
    <w:p>
      <w:pPr>
        <w:spacing w:after="20"/>
        <w:ind w:left="432" w:hanging="432"/>
        <w:jc w:val="both"/>
      </w:pPr>
      <w:r>
        <w:rPr>
          <w:rFonts w:ascii="Times New Roman" w:hAnsi="Times New Roman" w:cs="Times New Roman" w:eastAsia="Times New Roman"/>
          <w:sz w:val="16"/>
        </w:rPr>
        <w:t xml:space="preserve">[6]  I.-C. Hsu and J.-D. Yu, "A medical chatbot using machine learning and natural language understanding," </w:t>
      </w:r>
      <w:r>
        <w:rPr>
          <w:rFonts w:ascii="Times New Roman" w:hAnsi="Times New Roman" w:cs="Times New Roman" w:eastAsia="Times New Roman"/>
          <w:i/>
          <w:sz w:val="16"/>
        </w:rPr>
        <w:t>Multimedia Tools Appl.</w:t>
      </w:r>
      <w:r>
        <w:rPr>
          <w:rFonts w:ascii="Times New Roman" w:hAnsi="Times New Roman" w:cs="Times New Roman" w:eastAsia="Times New Roman"/>
          <w:sz w:val="16"/>
        </w:rPr>
        <w:t>, vol. 81, no. 17, pp. 23777-23799, Jul. 2022.</w:t>
      </w:r>
    </w:p>
    <w:p>
      <w:pPr>
        <w:spacing w:after="20"/>
        <w:ind w:left="432" w:hanging="432"/>
        <w:jc w:val="both"/>
      </w:pPr>
      <w:r>
        <w:rPr>
          <w:rFonts w:ascii="Times New Roman" w:hAnsi="Times New Roman" w:cs="Times New Roman" w:eastAsia="Times New Roman"/>
          <w:sz w:val="16"/>
        </w:rPr>
        <w:t xml:space="preserve">[7]  A. Babu and S. B. Boddu, "BERT-based medical chatbot: enhancing healthcare communication through natural language understanding," </w:t>
      </w:r>
      <w:r>
        <w:rPr>
          <w:rFonts w:ascii="Times New Roman" w:hAnsi="Times New Roman" w:cs="Times New Roman" w:eastAsia="Times New Roman"/>
          <w:i/>
          <w:sz w:val="16"/>
        </w:rPr>
        <w:t>Explor. Res. Clin. Social Pharmacy</w:t>
      </w:r>
      <w:r>
        <w:rPr>
          <w:rFonts w:ascii="Times New Roman" w:hAnsi="Times New Roman" w:cs="Times New Roman" w:eastAsia="Times New Roman"/>
          <w:sz w:val="16"/>
        </w:rPr>
        <w:t>, vol. 13, Art. no. 100419, Mar. 2024.</w:t>
      </w:r>
    </w:p>
    <w:p>
      <w:pPr>
        <w:spacing w:after="20"/>
        <w:ind w:left="432" w:hanging="432"/>
        <w:jc w:val="both"/>
      </w:pPr>
      <w:r>
        <w:rPr>
          <w:rFonts w:ascii="Times New Roman" w:hAnsi="Times New Roman" w:cs="Times New Roman" w:eastAsia="Times New Roman"/>
          <w:sz w:val="16"/>
        </w:rPr>
        <w:t xml:space="preserve">[8]  S. D. Bhavani Peri, S. Santhanalakshmi and R. Radha, "Chatbot to chat with medical books using retrieval-augmented generation model," in </w:t>
      </w:r>
      <w:r>
        <w:rPr>
          <w:rFonts w:ascii="Times New Roman" w:hAnsi="Times New Roman" w:cs="Times New Roman" w:eastAsia="Times New Roman"/>
          <w:i/>
          <w:sz w:val="16"/>
        </w:rPr>
        <w:t>Proc. IEEE North Karnataka Subsection Flagship Int. Conf. (NKCon)</w:t>
      </w:r>
      <w:r>
        <w:rPr>
          <w:rFonts w:ascii="Times New Roman" w:hAnsi="Times New Roman" w:cs="Times New Roman" w:eastAsia="Times New Roman"/>
          <w:sz w:val="16"/>
        </w:rPr>
        <w:t>, Bagalkote, India, Sep. 2024, pp. 1-5, doi: 10.1109/NKCON62728.2024.10774900.</w:t>
      </w:r>
    </w:p>
    <w:p>
      <w:pPr>
        <w:spacing w:after="20"/>
        <w:ind w:left="432" w:hanging="432"/>
        <w:jc w:val="both"/>
      </w:pPr>
      <w:r>
        <w:rPr>
          <w:rFonts w:ascii="Times New Roman" w:hAnsi="Times New Roman" w:cs="Times New Roman" w:eastAsia="Times New Roman"/>
          <w:sz w:val="16"/>
        </w:rPr>
        <w:t xml:space="preserve">[9]  W. Wang, F. Wei, L. Dong, H. Bao, N. Yang and M. Zhou, "MiniLM: deep self-attention distillation for task-agnostic compression of pre-trained transformers," in </w:t>
      </w:r>
      <w:r>
        <w:rPr>
          <w:rFonts w:ascii="Times New Roman" w:hAnsi="Times New Roman" w:cs="Times New Roman" w:eastAsia="Times New Roman"/>
          <w:i/>
          <w:sz w:val="16"/>
        </w:rPr>
        <w:t>Proc. Adv. Neural Inf. Process. Syst. (NeurIPS)</w:t>
      </w:r>
      <w:r>
        <w:rPr>
          <w:rFonts w:ascii="Times New Roman" w:hAnsi="Times New Roman" w:cs="Times New Roman" w:eastAsia="Times New Roman"/>
          <w:sz w:val="16"/>
        </w:rPr>
        <w:t>, vol. 33, 2020, pp. 5776-5788.</w:t>
      </w:r>
    </w:p>
    <w:p>
      <w:pPr>
        <w:spacing w:after="20"/>
        <w:ind w:left="432" w:hanging="432"/>
        <w:jc w:val="both"/>
      </w:pPr>
      <w:r>
        <w:rPr>
          <w:rFonts w:ascii="Times New Roman" w:hAnsi="Times New Roman" w:cs="Times New Roman" w:eastAsia="Times New Roman"/>
          <w:sz w:val="16"/>
        </w:rPr>
        <w:t xml:space="preserve">[10]  N. Reimers and I. Gurevych, "Sentence-BERT: sentence embeddings using Siamese BERT-networks," in </w:t>
      </w:r>
      <w:r>
        <w:rPr>
          <w:rFonts w:ascii="Times New Roman" w:hAnsi="Times New Roman" w:cs="Times New Roman" w:eastAsia="Times New Roman"/>
          <w:i/>
          <w:sz w:val="16"/>
        </w:rPr>
        <w:t>Proc. EMNLP-IJCNLP</w:t>
      </w:r>
      <w:r>
        <w:rPr>
          <w:rFonts w:ascii="Times New Roman" w:hAnsi="Times New Roman" w:cs="Times New Roman" w:eastAsia="Times New Roman"/>
          <w:sz w:val="16"/>
        </w:rPr>
        <w:t>, 2019, pp. 3982-3992.</w:t>
      </w:r>
    </w:p>
    <w:p>
      <w:pPr>
        <w:spacing w:after="20"/>
        <w:ind w:left="432" w:hanging="432"/>
        <w:jc w:val="both"/>
      </w:pPr>
      <w:r>
        <w:rPr>
          <w:rFonts w:ascii="Times New Roman" w:hAnsi="Times New Roman" w:cs="Times New Roman" w:eastAsia="Times New Roman"/>
          <w:sz w:val="16"/>
        </w:rPr>
        <w:t>[11]  R. Nogueira and K. Cho, "Passage re-ranking with BERT," arXiv:1901.04085, 2019.</w:t>
      </w:r>
    </w:p>
    <w:p>
      <w:pPr>
        <w:spacing w:after="20"/>
        <w:ind w:left="432" w:hanging="432"/>
        <w:jc w:val="both"/>
      </w:pPr>
      <w:r>
        <w:rPr>
          <w:rFonts w:ascii="Times New Roman" w:hAnsi="Times New Roman" w:cs="Times New Roman" w:eastAsia="Times New Roman"/>
          <w:sz w:val="16"/>
        </w:rPr>
        <w:t xml:space="preserve">[12]  J. Johnson, M. Douze and H. Jegou, "Billion-scale similarity search with GPUs," </w:t>
      </w:r>
      <w:r>
        <w:rPr>
          <w:rFonts w:ascii="Times New Roman" w:hAnsi="Times New Roman" w:cs="Times New Roman" w:eastAsia="Times New Roman"/>
          <w:i/>
          <w:sz w:val="16"/>
        </w:rPr>
        <w:t>IEEE Trans. Big Data</w:t>
      </w:r>
      <w:r>
        <w:rPr>
          <w:rFonts w:ascii="Times New Roman" w:hAnsi="Times New Roman" w:cs="Times New Roman" w:eastAsia="Times New Roman"/>
          <w:sz w:val="16"/>
        </w:rPr>
        <w:t>, vol. 7, no. 3, pp. 535-547, Jul. 2021.</w:t>
      </w:r>
    </w:p>
    <w:p>
      <w:pPr>
        <w:spacing w:after="20"/>
        <w:ind w:left="432" w:hanging="432"/>
        <w:jc w:val="both"/>
      </w:pPr>
      <w:r>
        <w:rPr>
          <w:rFonts w:ascii="Times New Roman" w:hAnsi="Times New Roman" w:cs="Times New Roman" w:eastAsia="Times New Roman"/>
          <w:sz w:val="16"/>
        </w:rPr>
        <w:t xml:space="preserve">[13]  H. W. Chung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"Scaling instruction-finetuned language models,"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25, no. 70, pp. 1-53, 2024.</w:t>
      </w:r>
    </w:p>
    <w:p>
      <w:pPr>
        <w:spacing w:after="20"/>
        <w:ind w:left="432" w:hanging="432"/>
        <w:jc w:val="both"/>
      </w:pPr>
      <w:r>
        <w:rPr>
          <w:rFonts w:ascii="Times New Roman" w:hAnsi="Times New Roman" w:cs="Times New Roman" w:eastAsia="Times New Roman"/>
          <w:sz w:val="16"/>
        </w:rPr>
        <w:t xml:space="preserve">[14]  F. Pedregosa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"Scikit-learn: machine learning in Python,"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12, pp. 2825-2830, 2011.</w:t>
      </w:r>
    </w:p>
    <w:p>
      <w:pPr>
        <w:spacing w:after="20"/>
        <w:ind w:left="432" w:hanging="432"/>
        <w:jc w:val="both"/>
      </w:pPr>
      <w:r>
        <w:rPr>
          <w:rFonts w:ascii="Times New Roman" w:hAnsi="Times New Roman" w:cs="Times New Roman" w:eastAsia="Times New Roman"/>
          <w:sz w:val="16"/>
        </w:rPr>
        <w:t xml:space="preserve">[15]  N. Son, I. Kang, I. Kim, K. Lee, S. Nam and D. Lee, "Development and evaluation of a retrieval-augmented generation-based electronic medical record chatbot system," </w:t>
      </w:r>
      <w:r>
        <w:rPr>
          <w:rFonts w:ascii="Times New Roman" w:hAnsi="Times New Roman" w:cs="Times New Roman" w:eastAsia="Times New Roman"/>
          <w:i/>
          <w:sz w:val="16"/>
        </w:rPr>
        <w:t>Healthc. Inform. Res.</w:t>
      </w:r>
      <w:r>
        <w:rPr>
          <w:rFonts w:ascii="Times New Roman" w:hAnsi="Times New Roman" w:cs="Times New Roman" w:eastAsia="Times New Roman"/>
          <w:sz w:val="16"/>
        </w:rPr>
        <w:t>, vol. 31, no. 3, pp. 218-225, Jul. 2025, doi: 10.4258/hir.2025.31.3.218.</w:t>
      </w:r>
    </w:p>
    <w:p>
      <w:pPr>
        <w:spacing w:after="20"/>
        <w:ind w:left="432" w:hanging="432"/>
        <w:jc w:val="both"/>
      </w:pPr>
      <w:r>
        <w:rPr>
          <w:rFonts w:ascii="Times New Roman" w:hAnsi="Times New Roman" w:cs="Times New Roman" w:eastAsia="Times New Roman"/>
          <w:sz w:val="16"/>
        </w:rPr>
        <w:t>[16]  N. Nananukul and M. Kejriwal, "ClinicBot: a guideline-grounded clinical chatbot with prioritized evidence RAG and verifiable citations," system demonstration, CAIS 2026, arXiv:2605.00846, 2026.</w:t>
      </w:r>
    </w:p>
    <w:p>
      <w:pPr>
        <w:spacing w:after="20"/>
        <w:ind w:left="432" w:hanging="432"/>
        <w:jc w:val="both"/>
      </w:pPr>
      <w:r>
        <w:rPr>
          <w:rFonts w:ascii="Times New Roman" w:hAnsi="Times New Roman" w:cs="Times New Roman" w:eastAsia="Times New Roman"/>
          <w:sz w:val="16"/>
        </w:rPr>
        <w:t xml:space="preserve">[17]  V. Karpukhin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"Dense passage retrieval for open-domain question answering," in </w:t>
      </w:r>
      <w:r>
        <w:rPr>
          <w:rFonts w:ascii="Times New Roman" w:hAnsi="Times New Roman" w:cs="Times New Roman" w:eastAsia="Times New Roman"/>
          <w:i/>
          <w:sz w:val="16"/>
        </w:rPr>
        <w:t>Proc. Conf. Empirical Methods Natural Language Process. (EMNLP)</w:t>
      </w:r>
      <w:r>
        <w:rPr>
          <w:rFonts w:ascii="Times New Roman" w:hAnsi="Times New Roman" w:cs="Times New Roman" w:eastAsia="Times New Roman"/>
          <w:sz w:val="16"/>
        </w:rPr>
        <w:t>, 2020, pp. 6769-6781.</w:t>
      </w:r>
    </w:p>
    <w:p>
      <w:pPr>
        <w:spacing w:after="20"/>
        <w:ind w:left="432" w:hanging="432"/>
        <w:jc w:val="both"/>
      </w:pPr>
      <w:r>
        <w:rPr>
          <w:rFonts w:ascii="Times New Roman" w:hAnsi="Times New Roman" w:cs="Times New Roman" w:eastAsia="Times New Roman"/>
          <w:sz w:val="16"/>
        </w:rPr>
        <w:t xml:space="preserve">[18]  S. Robertson and H. Zaragoza, "The probabilistic relevance framework: BM25 and beyond," </w:t>
      </w:r>
      <w:r>
        <w:rPr>
          <w:rFonts w:ascii="Times New Roman" w:hAnsi="Times New Roman" w:cs="Times New Roman" w:eastAsia="Times New Roman"/>
          <w:i/>
          <w:sz w:val="16"/>
        </w:rPr>
        <w:t>Found. Trends Inf. Retr.</w:t>
      </w:r>
      <w:r>
        <w:rPr>
          <w:rFonts w:ascii="Times New Roman" w:hAnsi="Times New Roman" w:cs="Times New Roman" w:eastAsia="Times New Roman"/>
          <w:sz w:val="16"/>
        </w:rPr>
        <w:t>, vol. 3, no. 4, pp. 333-389, 2009.</w:t>
      </w:r>
    </w:p>
    <w:p>
      <w:pPr>
        <w:spacing w:after="20"/>
        <w:ind w:left="432" w:hanging="432"/>
        <w:jc w:val="both"/>
      </w:pPr>
      <w:r>
        <w:rPr>
          <w:rFonts w:ascii="Times New Roman" w:hAnsi="Times New Roman" w:cs="Times New Roman" w:eastAsia="Times New Roman"/>
          <w:sz w:val="16"/>
        </w:rPr>
        <w:t xml:space="preserve">[19]  L. Gao, X. Ma, J. Lin and J. Callan, "Precise zero-shot dense retrieval without relevance labels," in </w:t>
      </w:r>
      <w:r>
        <w:rPr>
          <w:rFonts w:ascii="Times New Roman" w:hAnsi="Times New Roman" w:cs="Times New Roman" w:eastAsia="Times New Roman"/>
          <w:i/>
          <w:sz w:val="16"/>
        </w:rPr>
        <w:t>Proc. 61st Annu. Meeting Assoc. Comput. Linguistics (ACL)</w:t>
      </w:r>
      <w:r>
        <w:rPr>
          <w:rFonts w:ascii="Times New Roman" w:hAnsi="Times New Roman" w:cs="Times New Roman" w:eastAsia="Times New Roman"/>
          <w:sz w:val="16"/>
        </w:rPr>
        <w:t>, 2023, pp. 1762-1777.</w:t>
      </w:r>
    </w:p>
    <w:p>
      <w:pPr>
        <w:spacing w:after="20"/>
        <w:ind w:left="432" w:hanging="432"/>
        <w:jc w:val="both"/>
      </w:pPr>
      <w:r>
        <w:rPr>
          <w:rFonts w:ascii="Times New Roman" w:hAnsi="Times New Roman" w:cs="Times New Roman" w:eastAsia="Times New Roman"/>
          <w:sz w:val="16"/>
        </w:rPr>
        <w:t xml:space="preserve">[20]  G. V. Cormack, C. L. A. Clarke and S. Buettcher, "Reciprocal rank fusion outperforms Condorcet and individual rank learning methods," in </w:t>
      </w:r>
      <w:r>
        <w:rPr>
          <w:rFonts w:ascii="Times New Roman" w:hAnsi="Times New Roman" w:cs="Times New Roman" w:eastAsia="Times New Roman"/>
          <w:i/>
          <w:sz w:val="16"/>
        </w:rPr>
        <w:t>Proc. 32nd Int. ACM SIGIR Conf. Research and Development in Information Retrieval</w:t>
      </w:r>
      <w:r>
        <w:rPr>
          <w:rFonts w:ascii="Times New Roman" w:hAnsi="Times New Roman" w:cs="Times New Roman" w:eastAsia="Times New Roman"/>
          <w:sz w:val="16"/>
        </w:rPr>
        <w:t>, 2009, pp. 758-759.</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