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7.xml" ContentType="application/vnd.openxmlformats-officedocument.wordprocessingml.footer+xml"/>
  <Override PartName="/word/header6.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32"/>
          <w:szCs w:val="32"/>
        </w:rPr>
        <w:t xml:space="preserve">AMRITA VISHWA VIDYAPEETHAM</w:t>
      </w:r>
    </w:p>
    <w:p>
      <w:pPr>
        <w:pBdr/>
        <w:pStyle w:val="Normal"/>
        <w:spacing w:before="80" w:after="80"/>
        <w:ind/>
        <w:jc w:val="center"/>
        <w:rPr/>
      </w:pPr>
      <w:r>
        <w:rPr>
          <w:rFonts w:ascii="Times New Roman" w:eastAsia="Times New Roman" w:hAnsi="Times New Roman" w:cs="Times New Roman"/>
          <w:b/>
          <w:bCs/>
          <w:sz w:val="24"/>
          <w:szCs w:val="24"/>
        </w:rPr>
        <w:t xml:space="preserve">Amrita School of Artificial Intelligence, Coimbatore</w:t>
      </w:r>
    </w:p>
    <w:p>
      <w:pPr>
        <w:pBdr/>
        <w:pStyle w:val="Normal"/>
        <w:spacing w:after="0"/>
        <w:ind/>
        <w:rPr/>
      </w:pPr>
      <w:r>
        <w:rPr>
          <w:sz w:val="24"/>
          <w:szCs w:val="24"/>
        </w:rPr>
        <w:t xml:space="preserve"/>
      </w:r>
    </w:p>
    <w:p>
      <w:pPr>
        <w:pBdr/>
        <w:pStyle w:val="Normal"/>
        <w:spacing w:before="60" w:after="60"/>
        <w:ind/>
        <w:jc w:val="center"/>
        <w:rPr/>
      </w:pPr>
      <w:r>
        <w:rPr>
          <w:rFonts w:ascii="Times New Roman" w:eastAsia="Times New Roman" w:hAnsi="Times New Roman" w:cs="Times New Roman"/>
          <w:color w:val="1F3864"/>
          <w:sz w:val="24"/>
          <w:szCs w:val="24"/>
        </w:rPr>
        <w:t xml:space="preserve">─────────────────────────────────────────</w:t>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26"/>
          <w:szCs w:val="26"/>
        </w:rPr>
        <w:t xml:space="preserve">B.Tech Artificial Intelligence and Data Science</w:t>
      </w:r>
    </w:p>
    <w:p>
      <w:pPr>
        <w:pBdr/>
        <w:pStyle w:val="Normal"/>
        <w:spacing w:before="80" w:after="80"/>
        <w:ind/>
        <w:jc w:val="center"/>
        <w:rPr/>
      </w:pPr>
      <w:r>
        <w:rPr>
          <w:rFonts w:ascii="Times New Roman" w:eastAsia="Times New Roman" w:hAnsi="Times New Roman" w:cs="Times New Roman"/>
          <w:b/>
          <w:bCs/>
          <w:sz w:val="26"/>
          <w:szCs w:val="26"/>
        </w:rPr>
        <w:t xml:space="preserve">VI Semester – Project Report</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30"/>
          <w:szCs w:val="30"/>
        </w:rPr>
        <w:t xml:space="preserve">HQ-MAP: HIERARCHICAL Q-LEARNING FOR</w:t>
      </w:r>
    </w:p>
    <w:p>
      <w:pPr>
        <w:pBdr/>
        <w:pStyle w:val="Normal"/>
        <w:spacing w:before="80" w:after="80"/>
        <w:ind/>
        <w:jc w:val="center"/>
        <w:rPr/>
      </w:pPr>
      <w:r>
        <w:rPr>
          <w:rFonts w:ascii="Times New Roman" w:eastAsia="Times New Roman" w:hAnsi="Times New Roman" w:cs="Times New Roman"/>
          <w:b/>
          <w:bCs/>
          <w:sz w:val="30"/>
          <w:szCs w:val="30"/>
        </w:rPr>
        <w:t xml:space="preserve">ENERGY-EFFICIENT NOC APPLICATION MAPPING</w:t>
      </w:r>
    </w:p>
    <w:p>
      <w:pPr>
        <w:pBdr/>
        <w:pStyle w:val="Normal"/>
        <w:spacing w:before="80" w:after="80"/>
        <w:ind/>
        <w:jc w:val="center"/>
        <w:rPr/>
      </w:pPr>
      <w:r>
        <w:rPr>
          <w:rFonts w:ascii="Times New Roman" w:eastAsia="Times New Roman" w:hAnsi="Times New Roman" w:cs="Times New Roman"/>
          <w:b/>
          <w:bCs/>
          <w:sz w:val="30"/>
          <w:szCs w:val="30"/>
        </w:rPr>
        <w:t xml:space="preserve">IN EDGE AI SYSTEMS</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60" w:after="60"/>
        <w:ind/>
        <w:jc w:val="center"/>
        <w:rPr/>
      </w:pPr>
      <w:r>
        <w:rPr>
          <w:rFonts w:ascii="Times New Roman" w:eastAsia="Times New Roman" w:hAnsi="Times New Roman" w:cs="Times New Roman"/>
          <w:color w:val="1F3864"/>
          <w:sz w:val="24"/>
          <w:szCs w:val="24"/>
        </w:rPr>
        <w:t xml:space="preserve">─────────────────────────────────────────</w:t>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22"/>
          <w:szCs w:val="22"/>
        </w:rPr>
        <w:t xml:space="preserve">Submitted by</w:t>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24"/>
          <w:szCs w:val="24"/>
        </w:rPr>
        <w:t xml:space="preserve">Sheen Paul Shibu  (AM.EN.U4AIE22147)</w:t>
      </w:r>
    </w:p>
    <w:p>
      <w:pPr>
        <w:pBdr/>
        <w:pStyle w:val="Normal"/>
        <w:spacing w:before="80" w:after="80"/>
        <w:ind/>
        <w:jc w:val="center"/>
        <w:rPr/>
      </w:pPr>
      <w:r>
        <w:rPr>
          <w:rFonts w:ascii="Times New Roman" w:eastAsia="Times New Roman" w:hAnsi="Times New Roman" w:cs="Times New Roman"/>
          <w:b/>
          <w:bCs/>
          <w:sz w:val="24"/>
          <w:szCs w:val="24"/>
        </w:rPr>
        <w:t xml:space="preserve">Madhav A Das  (AM.EN.U4AIE22131)</w:t>
      </w:r>
    </w:p>
    <w:p>
      <w:pPr>
        <w:pBdr/>
        <w:pStyle w:val="Normal"/>
        <w:spacing w:before="80" w:after="80"/>
        <w:ind/>
        <w:jc w:val="center"/>
        <w:rPr/>
      </w:pPr>
      <w:r>
        <w:rPr>
          <w:rFonts w:ascii="Times New Roman" w:eastAsia="Times New Roman" w:hAnsi="Times New Roman" w:cs="Times New Roman"/>
          <w:b/>
          <w:bCs/>
          <w:sz w:val="24"/>
          <w:szCs w:val="24"/>
        </w:rPr>
        <w:t xml:space="preserve">M T Suryanarayanan  (AM.EN.U4AIE22130)</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22"/>
          <w:szCs w:val="22"/>
        </w:rPr>
        <w:t xml:space="preserve">Under the Guidance of</w:t>
      </w:r>
    </w:p>
    <w:p>
      <w:pPr>
        <w:pBdr/>
        <w:pStyle w:val="Normal"/>
        <w:spacing w:before="80" w:after="80"/>
        <w:ind/>
        <w:jc w:val="center"/>
        <w:rPr/>
      </w:pPr>
      <w:r>
        <w:rPr>
          <w:rFonts w:ascii="Times New Roman" w:eastAsia="Times New Roman" w:hAnsi="Times New Roman" w:cs="Times New Roman"/>
          <w:b/>
          <w:bCs/>
          <w:sz w:val="24"/>
          <w:szCs w:val="24"/>
        </w:rPr>
        <w:t xml:space="preserve">Dr. Reshma Raj R S</w:t>
      </w:r>
    </w:p>
    <w:p>
      <w:pPr>
        <w:pBdr/>
        <w:pStyle w:val="Normal"/>
        <w:spacing w:before="80" w:after="80"/>
        <w:ind/>
        <w:jc w:val="center"/>
        <w:rPr/>
      </w:pPr>
      <w:r>
        <w:rPr>
          <w:rFonts w:ascii="Times New Roman" w:eastAsia="Times New Roman" w:hAnsi="Times New Roman" w:cs="Times New Roman"/>
          <w:b/>
          <w:bCs/>
          <w:sz w:val="22"/>
          <w:szCs w:val="22"/>
        </w:rPr>
        <w:t xml:space="preserve">Assistant Professor, School of Artificial Intelligence</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80" w:after="80"/>
        <w:ind/>
        <w:jc w:val="center"/>
        <w:rPr/>
      </w:pPr>
      <w:r>
        <w:rPr>
          <w:rFonts w:ascii="Times New Roman" w:eastAsia="Times New Roman" w:hAnsi="Times New Roman" w:cs="Times New Roman"/>
          <w:b/>
          <w:bCs/>
          <w:sz w:val="22"/>
          <w:szCs w:val="22"/>
        </w:rPr>
        <w:t xml:space="preserve">Academic Year: 2024 – 2025</w:t>
      </w:r>
    </w:p>
    <w:p>
      <w:pPr>
        <w:pBdr/>
        <w:pStyle w:val="Normal"/>
        <w:spacing/>
        <w:ind/>
        <w:rPr/>
      </w:pPr>
      <w:r>
        <w:rPr/>
        <w:br w:type="page"/>
      </w:r>
    </w:p>
    <w:p>
      <w:pPr>
        <w:pBdr/>
        <w:pStyle w:val="Heading 1"/>
        <w:spacing w:before="360" w:after="180"/>
        <w:ind/>
        <w:rPr/>
      </w:pPr>
      <w:r>
        <w:rPr>
          <w:rFonts w:ascii="Times New Roman" w:eastAsia="Times New Roman" w:hAnsi="Times New Roman" w:cs="Times New Roman"/>
          <w:b/>
          <w:bCs/>
          <w:color w:val="1F3864"/>
          <w:sz w:val="32"/>
          <w:szCs w:val="32"/>
        </w:rPr>
        <w:t xml:space="preserve">Acknowledgements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This project would not have been possible without the unwavering support, encouragement, and guidance of a number of people to whom we owe a deep sense of gratitude.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We express our heartfelt thanks to Dr. Reshma Raj R S, our project guide, for her constant mentorship and insightful suggestions throughout both phases of this project. Her domain expertise in embedded systems and her patience in addressing our queries greatly shaped the direction and quality of this work.</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We sincerely acknowledge the support provided by the Department of Artificial Intelligence and Data Science, Amrita School of Artificial Intelligence, Coimbatore, for providing us with the necessary computational infrastructure, laboratory access, and academic environment that made this research possible.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We are also grateful to our peers and colleagues whose feedback during internal reviews helped us identify blind spots and strengthen our methodology. The constructive criticism received during phase review presentations pushed us to refine our algorithms and present results in a more rigorous manner.</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We extend our gratitude to the developers and maintainers of GNU Octave and the open-source scientific computing community, whose tools we relied upon extensively. The absence of proprietary dependencies was a deliberate and meaningful choice, and we appreciate the community that makes this possible.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Finally, we thank our families for their patience and moral support during long stretches of simulation runs and late-night debugging sessions. Their encouragement kept us motivated through the challenges of this project.</w:t>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after="0"/>
        <w:ind/>
        <w:rPr/>
      </w:pPr>
      <w:r>
        <w:rPr>
          <w:sz w:val="24"/>
          <w:szCs w:val="24"/>
        </w:rPr>
        <w:t xml:space="preserve"/>
      </w:r>
    </w:p>
    <w:p>
      <w:pPr>
        <w:pBdr/>
        <w:pStyle w:val="Normal"/>
        <w:spacing w:before="0" w:after="80" w:line="280" w:lineRule="auto"/>
        <w:ind/>
        <w:jc w:val="left"/>
        <w:rPr/>
      </w:pPr>
      <w:r>
        <w:rPr>
          <w:rFonts w:ascii="Times New Roman" w:eastAsia="Times New Roman" w:hAnsi="Times New Roman" w:cs="Times New Roman"/>
          <w:b/>
          <w:bCs/>
          <w:color w:val="000000"/>
          <w:sz w:val="24"/>
          <w:szCs w:val="24"/>
        </w:rPr>
        <w:t xml:space="preserve">SHEEN PAUL SHIBU</w:t>
      </w:r>
    </w:p>
    <w:p>
      <w:pPr>
        <w:pBdr/>
        <w:pStyle w:val="Normal"/>
        <w:spacing w:before="0" w:after="80" w:line="280" w:lineRule="auto"/>
        <w:ind/>
        <w:jc w:val="left"/>
        <w:rPr/>
      </w:pPr>
      <w:r>
        <w:rPr>
          <w:rFonts w:ascii="Times New Roman" w:eastAsia="Times New Roman" w:hAnsi="Times New Roman" w:cs="Times New Roman"/>
          <w:b/>
          <w:bCs/>
          <w:color w:val="000000"/>
          <w:sz w:val="24"/>
          <w:szCs w:val="24"/>
        </w:rPr>
        <w:t xml:space="preserve">MADHAV A DAS</w:t>
      </w:r>
    </w:p>
    <w:p>
      <w:pPr>
        <w:pBdr/>
        <w:pStyle w:val="Normal"/>
        <w:spacing w:before="0" w:after="80" w:line="280" w:lineRule="auto"/>
        <w:ind/>
        <w:jc w:val="left"/>
        <w:rPr/>
      </w:pPr>
      <w:r>
        <w:rPr>
          <w:rFonts w:ascii="Times New Roman" w:eastAsia="Times New Roman" w:hAnsi="Times New Roman" w:cs="Times New Roman"/>
          <w:b/>
          <w:bCs/>
          <w:color w:val="000000"/>
          <w:sz w:val="24"/>
          <w:szCs w:val="24"/>
        </w:rPr>
        <w:t xml:space="preserve">M T SURYANARAYANAN</w:t>
      </w:r>
    </w:p>
    <w:p>
      <w:pPr>
        <w:pBdr/>
        <w:pStyle w:val="Normal"/>
        <w:spacing/>
        <w:ind/>
        <w:rPr/>
      </w:pPr>
      <w:r>
        <w:rPr/>
        <w:br w:type="page"/>
      </w:r>
    </w:p>
    <w:p>
      <w:pPr>
        <w:pBdr/>
        <w:pStyle w:val="Heading 1"/>
        <w:spacing w:before="360" w:after="180"/>
        <w:ind/>
        <w:rPr/>
      </w:pPr>
      <w:r>
        <w:rPr>
          <w:rFonts w:ascii="Times New Roman" w:eastAsia="Times New Roman" w:hAnsi="Times New Roman" w:cs="Times New Roman"/>
          <w:b/>
          <w:bCs/>
          <w:color w:val="1F3864"/>
          <w:sz w:val="32"/>
          <w:szCs w:val="32"/>
        </w:rPr>
        <w:t xml:space="preserve">Abstract</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Network-on-Chip (NoC) architectures form the communication backbone of modern multicore and manycore System-on-Chip (SoC) designs. As deep learning and edge AI workloads grow in complexity, the problem of efficiently mapping application tasks onto NoC processing cores becomes increasingly critical. Poor mapping decisions lead to elevated communication costs, thermal hotspots, load imbalance, and degraded system reliability — problems that directly limit the practical deployment of AI at the edge.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This report presents HQ-Map (Hierarchical Q-Learning for Energy-Efficient NoC Mapping), a multi-phase reinforcement learning framework developed across two project phases. Phase I establishes foundational mapping strategies including direct mapping and two-level multilevel mapping for deep neural network (DNN) workloads, along with a core hierarchical Q-learning agent that learns task-to-core placement policies through environment interaction on a simulated 2D mesh NoC. The agent employs Manhattan-distance-based communication cost estimation, fault injection during training for robustness, and a multi-objective reward formulation that simultaneously optimizes latency, energy consumption, load balance, and fault tolerance. Phase II extends this foundation to dynamic, context-aware scenarios inspired by automotive edge AI. A smart vehicle simulation with three driving contexts — City, Highway, and Parked — introduces online learning, a thermal management model, and a workload generator that reflects real Automotive Driver Assistance System (ADAS) task graphs.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Experimental evaluation across NoC sizes ranging from 16 to 256 cores demonstrates that HQ-</w:t>
      </w:r>
      <w:r>
        <w:rPr>
          <w:rFonts w:ascii="Times New Roman" w:eastAsia="Times New Roman" w:hAnsi="Times New Roman" w:cs="Times New Roman"/>
          <w:b w:val="0"/>
          <w:color w:val="000000"/>
          <w:sz w:val="24"/>
          <w:szCs w:val="24"/>
        </w:rPr>
        <w:t xml:space="preserve">Map achieves 9.6% lower communication cost than flat Q-learning, 24.4% improvement over nearest-neighbour heuristics, and 17.1% better performance than genetic algorithm baselines. At 5% core fault rate, the system maintains 96.9% task reliability. Phase II thermal simulation confirms that the RL agent effectively keeps maximum core temperatures below the 85°C threshold across all driving contexts while adapting communication mapping to changing workload intensities. The entire framework is implemented in GNU Octave 10.3 with no dependency on deep learning libraries, achieving linear scalability to 256 cores and sub-minute training time on commodity hardware.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Keywords: Network-on-Chip, Application Mapping, Hierarchical Reinforcement Learning, Q-</w:t>
      </w:r>
      <w:r>
        <w:rPr>
          <w:rFonts w:ascii="Times New Roman" w:eastAsia="Times New Roman" w:hAnsi="Times New Roman" w:cs="Times New Roman"/>
          <w:b w:val="0"/>
          <w:color w:val="000000"/>
          <w:sz w:val="24"/>
          <w:szCs w:val="24"/>
        </w:rPr>
        <w:t xml:space="preserve">Learning, Edge AI, Thermal Management, Fault Tolerance, ADAS, Deep Neural Networks, 2D Mesh.</w:t>
      </w:r>
    </w:p>
    <w:p>
      <w:pPr>
        <w:pBdr/>
        <w:pStyle w:val="Normal"/>
        <w:spacing/>
        <w:ind/>
        <w:rPr/>
      </w:pPr>
      <w:r>
        <w:rPr/>
        <w:br w:type="page"/>
      </w:r>
    </w:p>
    <w:p>
      <w:pPr>
        <w:pBdr/>
        <w:pStyle w:val="Heading 1"/>
        <w:spacing w:before="360" w:after="180"/>
        <w:ind/>
        <w:rPr/>
      </w:pPr>
      <w:r>
        <w:rPr>
          <w:rFonts w:ascii="Times New Roman" w:eastAsia="Times New Roman" w:hAnsi="Times New Roman" w:cs="Times New Roman"/>
          <w:b/>
          <w:bCs/>
          <w:color w:val="1F3864"/>
          <w:sz w:val="32"/>
          <w:szCs w:val="32"/>
        </w:rPr>
        <w:t xml:space="preserve">Table of Contents</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Chapter 1: Introduction ............................................................. 1</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1.1  Background ...........................................................................  1</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1.2  Problem Addressed .................................................................  2</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1.3  Motivation ............................................................................  3</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1.4  Scope of the Study .................................................................  3</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Chapter 2: Literature Review / Existing System ......................................  5</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2.1  Review of Existing Research Work ..........................................  5</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2.2  Review of Existing Tools/Products .........................................  11</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2.3  Research Gap and Scope for Improvement ..............................  13</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2.4  Problem Statement and Contributions ....................................  14</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Chapter 3: Proposed Work ...............................................................  16</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3.1  Proposed Work Overview ......................................................  16</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3.2  Methodology ..........................................................................  18</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Chapter 4: Experimentation and Result Analysis ....................................  32</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4.1  Experimental Setup .................................................................  32</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4.2  Evaluation Metrics ..................................................................  34</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4.3  Results – Phase I ...................................................................  35</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4.4  Results – Phase II ..................................................................  40</w:t>
      </w:r>
    </w:p>
    <w:p>
      <w:pPr>
        <w:pBdr/>
        <w:pStyle w:val="Normal"/>
        <w:spacing w:before="0" w:after="80" w:line="280" w:lineRule="auto"/>
        <w:ind w:left="360"/>
        <w:jc w:val="left"/>
        <w:rPr/>
      </w:pPr>
      <w:r>
        <w:rPr>
          <w:rFonts w:ascii="Times New Roman" w:eastAsia="Times New Roman" w:hAnsi="Times New Roman" w:cs="Times New Roman"/>
          <w:b w:val="0"/>
          <w:color w:val="000000"/>
          <w:sz w:val="22"/>
          <w:szCs w:val="22"/>
        </w:rPr>
        <w:t xml:space="preserve">  4.5  Comparative Analysis ..............................................................  44</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Chapter 5: Conclusion and Scope for Further Research ...........................  47</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Appendix A: Code Structure and Implementation Details ........................  49</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References ......................................................................................  51</w:t>
      </w:r>
    </w:p>
    <w:p>
      <w:pPr>
        <w:pBdr/>
        <w:pStyle w:val="Normal"/>
        <w:spacing/>
        <w:ind/>
        <w:rPr/>
      </w:pPr>
      <w:r>
        <w:rPr/>
        <w:br w:type="page"/>
      </w:r>
    </w:p>
    <w:p>
      <w:pPr>
        <w:pBdr/>
        <w:pStyle w:val="Heading 1"/>
        <w:spacing w:before="360" w:after="180"/>
        <w:ind/>
        <w:rPr/>
      </w:pPr>
      <w:r>
        <w:rPr>
          <w:rFonts w:ascii="Times New Roman" w:eastAsia="Times New Roman" w:hAnsi="Times New Roman" w:cs="Times New Roman"/>
          <w:b/>
          <w:bCs/>
          <w:color w:val="1F3864"/>
          <w:sz w:val="32"/>
          <w:szCs w:val="32"/>
        </w:rPr>
        <w:t xml:space="preserve">List of Figures</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1.1  2D Mesh NoC Architecture with XY Routing</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1.2  Task Graph for a Feed-Forward DNN Workload</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3.1  HQ-Map System Architecture Overview</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3.2  Two-Level Hierarchical Q-Learning Structure</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3.3  Phase II Smart Vehicle Simulation Architecture</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4.1  Phase I: HQ-Map Training Convergence, Cost/Energy/Reliability Comparison</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4.2  Phase II: Thermal Stability, Application Latency, and Driving Context</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4.3  NoC Task Allocation Map – City Mode</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4.4  NoC Task Allocation Map – Highway Mode</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Figure 4.5  NoC Task Allocation Map – Parked Mode</w:t>
      </w:r>
    </w:p>
    <w:p>
      <w:pPr>
        <w:pBdr/>
        <w:pStyle w:val="Normal"/>
        <w:spacing w:after="0"/>
        <w:ind/>
        <w:rPr/>
      </w:pPr>
      <w:r>
        <w:rPr>
          <w:sz w:val="24"/>
          <w:szCs w:val="24"/>
        </w:rPr>
        <w:t xml:space="preserve"/>
      </w:r>
    </w:p>
    <w:p>
      <w:pPr>
        <w:pBdr/>
        <w:pStyle w:val="Heading 1"/>
        <w:spacing w:before="360" w:after="180"/>
        <w:ind/>
        <w:rPr/>
      </w:pPr>
      <w:r>
        <w:rPr>
          <w:rFonts w:ascii="Times New Roman" w:eastAsia="Times New Roman" w:hAnsi="Times New Roman" w:cs="Times New Roman"/>
          <w:b/>
          <w:bCs/>
          <w:color w:val="1F3864"/>
          <w:sz w:val="32"/>
          <w:szCs w:val="32"/>
        </w:rPr>
        <w:t xml:space="preserve">List of Tables</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3.1   Hyperparameter Configuration for HQ-Map</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3.2   Multi-Objective Reward Weight Configurations</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3.3   Phase II Driving Mode Workload Characteristics</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4.1   Experimental Configuration Summary</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4.2   Baseline Algorithms and Complexity Analysis</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4.3   Performance Comparison: 8×8 Mesh, 32 Tasks, 5% Fault Rate</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4.4   HQ-Map Scalability: Cost and Training Time vs. NoC Size</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4.5   Reliability vs. Fault Probability</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4.6   Weight Sensitivity Analysis</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4.7   Load Balance: Standard Deviation of Tasks per Core</w:t>
      </w:r>
    </w:p>
    <w:p>
      <w:pPr>
        <w:pBdr/>
        <w:pStyle w:val="Normal"/>
        <w:spacing w:before="0" w:after="80" w:line="280" w:lineRule="auto"/>
        <w:ind/>
        <w:jc w:val="left"/>
        <w:rPr/>
      </w:pPr>
      <w:r>
        <w:rPr>
          <w:rFonts w:ascii="Times New Roman" w:eastAsia="Times New Roman" w:hAnsi="Times New Roman" w:cs="Times New Roman"/>
          <w:b w:val="0"/>
          <w:color w:val="000000"/>
          <w:sz w:val="22"/>
          <w:szCs w:val="22"/>
        </w:rPr>
        <w:t xml:space="preserve">Table 4.8   Phase II Thermal Summary per Driving Mode</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28"/>
          <w:szCs w:val="28"/>
        </w:rPr>
        <w:t xml:space="preserve">Chapter 1</w:t>
      </w:r>
    </w:p>
    <w:p>
      <w:pPr>
        <w:pBdr/>
        <w:pStyle w:val="Heading 1"/>
        <w:spacing w:before="360" w:after="180"/>
        <w:ind/>
        <w:rPr/>
      </w:pPr>
      <w:r>
        <w:rPr>
          <w:rFonts w:ascii="Times New Roman" w:eastAsia="Times New Roman" w:hAnsi="Times New Roman" w:cs="Times New Roman"/>
          <w:b/>
          <w:bCs/>
          <w:color w:val="1F3864"/>
          <w:sz w:val="32"/>
          <w:szCs w:val="32"/>
        </w:rPr>
        <w:t xml:space="preserve">Introduction</w:t>
      </w:r>
    </w:p>
    <w:p>
      <w:pPr>
        <w:pBdr/>
        <w:pStyle w:val="Heading 2"/>
        <w:spacing w:before="280" w:after="120"/>
        <w:ind/>
        <w:rPr/>
      </w:pPr>
      <w:r>
        <w:rPr>
          <w:rFonts w:ascii="Times New Roman" w:eastAsia="Times New Roman" w:hAnsi="Times New Roman" w:cs="Times New Roman"/>
          <w:b/>
          <w:bCs/>
          <w:color w:val="2E4A7A"/>
          <w:sz w:val="28"/>
          <w:szCs w:val="28"/>
        </w:rPr>
        <w:t xml:space="preserve">1.1  Background</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modern semiconductor industry has undergone a profound transformation over the past two decades. Where a single high-speed processor once dominated computational workloads, today's systems-on-chip (SoC) integrate dozens, hundreds, or even thousands of heterogeneous processing cores onto a single die. This transition from single-core to manycore designs was driven not only by the physical limits of clock frequency scaling — commonly referred to as the power wall — but also by the explosive growth in parallelism demanded by contemporary workloads.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Among the most communication-intensive of these workloads are deep learning inference tasks, which are increasingly being pushed to edge computing platforms. Applications such as autonomous driving, real-time object detection, predictive maintenance, and natural language understanding require low-latency, energy-efficient computation that cannot always rely on cloud offloading. As a result, automotive SoCs, mobile neural processing units, and embedded AI accelerators have become major growth areas in chip design, with products like NVIDIA's DRIVE Orin, Qualcomm's Snapdragon 8cx, and Ambarella's CV chips exemplifying this trend.</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Network-on-Chip (NoC) architectures have emerged as the preferred communication substrate for these manycore systems. Unlike bus-based or crossbar interconnects, NoC provides scalable, parallel, packet-switched communication through a structured topology — most commonly a 2D mesh. Each processing tile communicates with its neighbors through on-chip routers, and data traverses the network hop by hop until it reaches its destination. This design eliminates the single bottleneck of a shared bus and allows fine-grained, concurrent communication among hundreds of cores.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However, the efficiency of an NoC system is not solely determined by its physical topology or router design. How application tasks are assigned to physical cores — the application mapping problem — has a decisive impact on end-to-end communication latency, energy consumption, thermal distribution, and fault resilience. A poorly chosen mapping can force heavily communicating tasks to exchange data across long chains of routers, dramatically increasing both latency and dynamic power. Conversely, a well-crafted mapping that co-locates communication-intensive tasks reduces average hop counts and alleviates thermal gradients.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application mapping problem is fundamentally a combinatorial optimization challenge. For a system with N cores and n tasks, the number of possible assignments is N! / (N-n)!, which grows factorially. For even modest configurations — say, 16 tasks mapped onto a 4×4 mesh — this search space has over 20 trillion possibilities. Exhaustive search is computationally infeasible, </w:t>
      </w:r>
      <w:r>
        <w:rPr>
          <w:rFonts w:ascii="Times New Roman" w:eastAsia="Times New Roman" w:hAnsi="Times New Roman" w:cs="Times New Roman"/>
          <w:b w:val="0"/>
          <w:color w:val="000000"/>
          <w:sz w:val="24"/>
          <w:szCs w:val="24"/>
        </w:rPr>
        <w:t xml:space="preserve">and classical heuristics such as greedy nearest-neighbour or genetic algorithms, while practical, often fall short for dynamic workloads with evolving communication patterns.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Reinforcement learning (RL) offers a promising alternative. By allowing an agent to interact with a simulated NoC environment and receive feedback on mapping quality, RL-based methods can learn strong mapping policies without relying on explicit problem-specific handcrafting. Recent literature has shown early promising results, but most existing RL-based mapping approaches suffer from scalability limitations, excessive training overhead, or narrow optimization objectives.</w:t>
      </w:r>
    </w:p>
    <w:p>
      <w:pPr>
        <w:pBdr/>
        <w:pStyle w:val="Heading 2"/>
        <w:spacing w:before="280" w:after="120"/>
        <w:ind/>
        <w:rPr/>
      </w:pPr>
      <w:r>
        <w:rPr>
          <w:rFonts w:ascii="Times New Roman" w:eastAsia="Times New Roman" w:hAnsi="Times New Roman" w:cs="Times New Roman"/>
          <w:b/>
          <w:bCs/>
          <w:color w:val="2E4A7A"/>
          <w:sz w:val="28"/>
          <w:szCs w:val="28"/>
        </w:rPr>
        <w:t xml:space="preserve">1.2  Problem Addressed</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This project addresses the challenge of efficient, adaptive application mapping in Network-on-</w:t>
      </w:r>
      <w:r>
        <w:rPr>
          <w:rFonts w:ascii="Times New Roman" w:eastAsia="Times New Roman" w:hAnsi="Times New Roman" w:cs="Times New Roman"/>
          <w:b w:val="0"/>
          <w:color w:val="000000"/>
          <w:sz w:val="24"/>
          <w:szCs w:val="24"/>
        </w:rPr>
        <w:t xml:space="preserve">Chip systems, with a particular focus on deep neural network (DNN) workloads targeting edge AI platforms. Specifically, four interconnected problems are tackled:</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State Space Explosion in Flat Reinforcement Learning: Standard Q-learning applied directly to the task-to-core assignment problem creates Q-tables that grow quadratically with the number of cores. For a 16×16 mesh (256 cores), a single Q-table would contain over 2,500 state-action pairs per training instance, making both storage and convergence impractical.</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Static Mapping Limitations: Conventional mapping strategies such as direct row-major assignment or greedy nearest-neighbour placement are computed offline and cannot adapt to runtime changes such as core failures, workload intensity shifts, or thermal emergencies. Real edge AI deployments, particularly in automotive systems, are inherently dynamic.</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Single-Objective Optimization: Many existing approaches optimize only one metric — typically communication cost or energy. Production systems require simultaneous consideration of latency, energy, thermal balance, and fault tolerance. These objectives often conflict, necessitating a principled multi-objective formulation.</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Thermal Management Under Dynamic Workloads: In automotive applications, the physical temperature of processing cores directly affects reliability and performance. Highway driving demands intense ADAS computation that generates significant heat, while parking mode shifts to infotainment with lower thermal output. Static mapping cannot account for these context-dependent thermal dynamics.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Addressing these four challenges requires a framework that is simultaneously scalable, adaptive, multi-objective, and thermally aware — which is the central contribution of HQ-Map.</w:t>
      </w:r>
    </w:p>
    <w:p>
      <w:pPr>
        <w:pBdr/>
        <w:pStyle w:val="Heading 2"/>
        <w:spacing w:before="280" w:after="120"/>
        <w:ind/>
        <w:rPr/>
      </w:pPr>
      <w:r>
        <w:rPr>
          <w:rFonts w:ascii="Times New Roman" w:eastAsia="Times New Roman" w:hAnsi="Times New Roman" w:cs="Times New Roman"/>
          <w:b/>
          <w:bCs/>
          <w:color w:val="2E4A7A"/>
          <w:sz w:val="28"/>
          <w:szCs w:val="28"/>
        </w:rPr>
        <w:t xml:space="preserve">1.3  Motivation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motivation for this work originates from a gap between academic NoC mapping research and practical deployability. The majority of published RL-based NoC mappers require GPU-</w:t>
      </w:r>
      <w:r>
        <w:rPr>
          <w:rFonts w:ascii="Times New Roman" w:eastAsia="Times New Roman" w:hAnsi="Times New Roman" w:cs="Times New Roman"/>
          <w:b w:val="0"/>
          <w:color w:val="000000"/>
          <w:sz w:val="24"/>
          <w:szCs w:val="24"/>
        </w:rPr>
        <w:t xml:space="preserve">enabled deep learning frameworks, tens of hours of training, and produce opaque neural network policies that resist formal verification. For safety-critical embedded systems — automotive, medical, industrial — these characteristics are unacceptable.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At the same time, the automotive industry is rapidly increasing the compute density of its SoCs. Modern ADAS chips process camera, LiDAR, and radar data simultaneously while running path planning and vehicle control algorithms in hard real time. Thermal constraints, power budgets, and functional safety standards (ISO 26262, ASIL-D) impose stringent requirements on any mapping framework used in production.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HQ-Map project is motivated by the belief that carefully designed classical RL, grounded in domain knowledge about DNN workload structure and NoC topology, can match or exceed deep RL approaches while offering the interpretability, reproducibility, and computational efficiency required for real deployment. This report documents the design decisions, mathematical formulations, experimental validation, and practical deployment scenarios that support this belief.</w:t>
      </w:r>
    </w:p>
    <w:p>
      <w:pPr>
        <w:pBdr/>
        <w:pStyle w:val="Heading 2"/>
        <w:spacing w:before="280" w:after="120"/>
        <w:ind/>
        <w:rPr/>
      </w:pPr>
      <w:r>
        <w:rPr>
          <w:rFonts w:ascii="Times New Roman" w:eastAsia="Times New Roman" w:hAnsi="Times New Roman" w:cs="Times New Roman"/>
          <w:b/>
          <w:bCs/>
          <w:color w:val="2E4A7A"/>
          <w:sz w:val="28"/>
          <w:szCs w:val="28"/>
        </w:rPr>
        <w:t xml:space="preserve">1.4  Scope of the Study</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This project covers the full lifecycle of the HQ-Map framework across two development phases, encompassing design, implementation, experimentation, and analysis. The scope includes: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Phase I: Design and evaluation of three mapping strategies — direct mapping, two-level multilevel mapping, and hierarchical Q-learning — on 2D mesh NoC configurations ranging from 4×4 (16 cores) to 16×16 (256 cores), with synthetic DNN workloads.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Phase II: Extension to a dynamic smart vehicle simulation featuring three distinct driving contexts (City, Highway, Parked), online reinforcement learning, a physics-based thermal model, and a structured automotive task graph generator.</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Comparative benchmarking against five established baselines: Direct Mapping, Multilevel Mapping, Nearest Neighbour, Genetic Algorithm, and Flat Q-Learning.</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Fault tolerance evaluation at 1%, 5%, 10%, and 20% core failure rates.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Scalability analysis from 16 to 256 processing cores with empirical complexity characterization.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scope explicitly excludes cycle-accurate router simulation (Noxim, gem5), 3D NoC topologies, and hardware prototyping on FPGA or ASIC, all of which are identified as future work. The implementation is entirely in GNU Octave 10.3, running on standard laptop hardware.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remainder of this report is organized as follows. Chapter 2 reviews relevant literature and identifies research gaps. Chapter 3 describes the proposed methodology in detail. Chapter 4 presents experimental results and analysis. Chapter 5 concludes the report and outlines future work. An appendix provides implementation details and code structure.</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28"/>
          <w:szCs w:val="28"/>
        </w:rPr>
        <w:t xml:space="preserve">Chapter 2</w:t>
      </w:r>
    </w:p>
    <w:p>
      <w:pPr>
        <w:pBdr/>
        <w:pStyle w:val="Heading 1"/>
        <w:spacing w:before="360" w:after="180"/>
        <w:ind/>
        <w:rPr/>
      </w:pPr>
      <w:r>
        <w:rPr>
          <w:rFonts w:ascii="Times New Roman" w:eastAsia="Times New Roman" w:hAnsi="Times New Roman" w:cs="Times New Roman"/>
          <w:b/>
          <w:bCs/>
          <w:color w:val="1F3864"/>
          <w:sz w:val="32"/>
          <w:szCs w:val="32"/>
        </w:rPr>
        <w:t xml:space="preserve">Literature Review / Existing System</w:t>
      </w:r>
    </w:p>
    <w:p>
      <w:pPr>
        <w:pBdr/>
        <w:pStyle w:val="Heading 2"/>
        <w:spacing w:before="280" w:after="120"/>
        <w:ind/>
        <w:rPr/>
      </w:pPr>
      <w:r>
        <w:rPr>
          <w:rFonts w:ascii="Times New Roman" w:eastAsia="Times New Roman" w:hAnsi="Times New Roman" w:cs="Times New Roman"/>
          <w:b/>
          <w:bCs/>
          <w:color w:val="2E4A7A"/>
          <w:sz w:val="28"/>
          <w:szCs w:val="28"/>
        </w:rPr>
        <w:t xml:space="preserve">2.1  Review of Existing Research Work</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application mapping problem in Network-on-Chip systems has attracted sustained attention since the early 2000s, when manycore chips began to move from theoretical research into commercial silicon. The research trajectory has broadly progressed through three generations: exact optimization methods, heuristic and metaheuristic algorithms, and machine learning-based approaches. This section reviews eighteen representative works that directly inform the design of HQ-Map.</w:t>
      </w:r>
    </w:p>
    <w:p>
      <w:pPr>
        <w:pBdr/>
        <w:pStyle w:val="Heading 3"/>
        <w:spacing w:before="200" w:after="100"/>
        <w:ind/>
        <w:rPr/>
      </w:pPr>
      <w:r>
        <w:rPr>
          <w:rFonts w:ascii="Times New Roman" w:eastAsia="Times New Roman" w:hAnsi="Times New Roman" w:cs="Times New Roman"/>
          <w:b/>
          <w:bCs/>
          <w:color w:val="000000"/>
          <w:sz w:val="26"/>
          <w:szCs w:val="26"/>
        </w:rPr>
        <w:t xml:space="preserve">2.1.1  Integer Programming and Exact Methods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Early work on NoC application mapping cast the problem as an Integer Linear Program (ILP) or Mixed-Integer Linear Program (MILP), seeking provably optimal assignments for small instances. These approaches, while theoretically sound, suffer from exponential complexity that makes them infeasible for systems with more than a few dozen tasks. Banerjee et al. demonstrated that even a 16-core mesh with 8 tasks pushes the MILP solver runtime into the hundreds of seconds, a result corroborated by later adaptive core mapping work (ACM) which noted that the "extremely high computation time of the MILP model makes it impractical for large-scale or real-time remapping."</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Despite this limitation, ILP formulations remain valuable as upper-bound benchmarks and have informed the objective functions used in more practical approaches, including the multi-objective formulation in HQ-Map.</w:t>
      </w:r>
    </w:p>
    <w:p>
      <w:pPr>
        <w:pBdr/>
        <w:pStyle w:val="Heading 3"/>
        <w:spacing w:before="200" w:after="100"/>
        <w:ind/>
        <w:rPr/>
      </w:pPr>
      <w:r>
        <w:rPr>
          <w:rFonts w:ascii="Times New Roman" w:eastAsia="Times New Roman" w:hAnsi="Times New Roman" w:cs="Times New Roman"/>
          <w:b/>
          <w:bCs/>
          <w:color w:val="000000"/>
          <w:sz w:val="26"/>
          <w:szCs w:val="26"/>
        </w:rPr>
        <w:t xml:space="preserve">2.1.2  Heuristic and Metaheuristic Methods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practical impossibility of exact optimization led researchers to develop heuristic strategies. Nearest-Neighbour (NN) greedy placement became a common baseline due to its simplicity: tasks are placed sequentially, each time choosing the core that minimizes distance to already-</w:t>
      </w:r>
      <w:r>
        <w:rPr>
          <w:rFonts w:ascii="Times New Roman" w:eastAsia="Times New Roman" w:hAnsi="Times New Roman" w:cs="Times New Roman"/>
          <w:b w:val="0"/>
          <w:color w:val="000000"/>
          <w:sz w:val="24"/>
          <w:szCs w:val="24"/>
        </w:rPr>
        <w:t xml:space="preserve">placed communication neighbours. While O(n log n) in complexity, NN produces mappings that are locally optimal but globally suboptimal, particularly for deeply layered DNN workloads where early placement decisions constrain later ones.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Simulated Annealing (SA) and Particle Swarm Optimization (PSO) improved upon greedy approaches by allowing occasional acceptance of worse solutions to escape local optima. However, their convergence behaviour is highly sensitive to cooling schedules and particle dynamics, respectively, and neither method incorporates learning or memory of past solutions.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Genetic Algorithms (GA) have proven particularly popular for NoC mapping. The canonical GA approach encodes a mapping as a chromosome (permutation of task-to-core assignments), applies crossover and mutation operations, and evolves a population toward higher fitness. </w:t>
      </w:r>
      <w:r>
        <w:rPr>
          <w:rFonts w:ascii="Times New Roman" w:eastAsia="Times New Roman" w:hAnsi="Times New Roman" w:cs="Times New Roman"/>
          <w:b w:val="0"/>
          <w:color w:val="000000"/>
          <w:sz w:val="24"/>
          <w:szCs w:val="24"/>
        </w:rPr>
        <w:t xml:space="preserve">Studies using GA have reported 15–20% communication cost reductions over NN baselines on benchmark graphs such as VOPD, MMS, and MPEG-4 decoder. However, GA requires O(p · g · n²) computations where p is population size and g is the number of generations, making it 5–10× slower than NN for the same problem size.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Cuckoo Search algorithm with Lévy flights, applied to NoC mapping by Lee and Kim, demonstrated superior convergence on standard benchmarks compared to GA, PSO, and NMAP, achieving improvements across communication cost, energy, latency, and throughput. However, like all metaheuristics, it lacks adaptability to runtime changes — all optimisation is performed offline on static workload models.</w:t>
      </w:r>
    </w:p>
    <w:p>
      <w:pPr>
        <w:pBdr/>
        <w:pStyle w:val="Heading 3"/>
        <w:spacing w:before="200" w:after="100"/>
        <w:ind/>
        <w:rPr/>
      </w:pPr>
      <w:r>
        <w:rPr>
          <w:rFonts w:ascii="Times New Roman" w:eastAsia="Times New Roman" w:hAnsi="Times New Roman" w:cs="Times New Roman"/>
          <w:b/>
          <w:bCs/>
          <w:color w:val="000000"/>
          <w:sz w:val="26"/>
          <w:szCs w:val="26"/>
        </w:rPr>
        <w:t xml:space="preserve">2.1.3  Machine Learning and Neural Network Approaches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application of machine learning to NoC mapping marks the third generation of research in this area. Park et al. introduced a hybrid ML strategy combining a performance-centric initial mapping with supervised models trained on benchmark datasets to predict execution time and energy consumption. Their predictions achieved approximately 80% accuracy for execution time and 75% for energy, providing designers with a fast evaluation surrogate. The fundamental limitation is that these are prediction models, not optimization agents — they require an existing mapping generator and cannot independently learn to improve mapping quality.</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FANC framework by Chen et al. cast NoC mapping as a multi-application optimization using ML to reduce communication costs by a reported 266%, with 9% lower latency and 7% reduced power compared to traditional techniques. While impressive, FANC was validated only on regular mesh topologies and required substantial pre-labelled training data, limiting generalization to unseen workloads.</w:t>
      </w:r>
    </w:p>
    <w:p>
      <w:pPr>
        <w:pBdr/>
        <w:pStyle w:val="Heading 3"/>
        <w:spacing w:before="200" w:after="100"/>
        <w:ind/>
        <w:rPr/>
      </w:pPr>
      <w:r>
        <w:rPr>
          <w:rFonts w:ascii="Times New Roman" w:eastAsia="Times New Roman" w:hAnsi="Times New Roman" w:cs="Times New Roman"/>
          <w:b/>
          <w:bCs/>
          <w:color w:val="000000"/>
          <w:sz w:val="26"/>
          <w:szCs w:val="26"/>
        </w:rPr>
        <w:t xml:space="preserve">2.1.4  Reinforcement Learning for NoC Mapping</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Reinforcement learning represents the most direct alignment between the sequential decision-</w:t>
      </w:r>
      <w:r>
        <w:rPr>
          <w:rFonts w:ascii="Times New Roman" w:eastAsia="Times New Roman" w:hAnsi="Times New Roman" w:cs="Times New Roman"/>
          <w:b w:val="0"/>
          <w:color w:val="000000"/>
          <w:sz w:val="24"/>
          <w:szCs w:val="24"/>
        </w:rPr>
        <w:t xml:space="preserve">making nature of task placement and a computational framework. The RL-MAP system by Kumar and Singh introduced an actor-critic model augmented with 2-opt local search, where the actor generates mapping sequences and the critic evaluates their quality. RL-MAP achieved a 4.2% communication cost reduction over NMA and approached the performance of MPN-GA while eliminating the runtime overhead of evolutionary search. However, the training required a High Performance Computing facility and approximately 26 hours to complete — a significant barrier to adoption.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Patel et al. proposed a Deep Reinforcement Learning framework integrating Monte Carlo Tree Search for routerless NoC architectural exploration. Their system demonstrated 3.25× higher throughput, 1.6× lower latency, and 5× lower power than conventional mesh topologies on synthetic workloads. The limitations are the exclusive focus on routerless topologies and the dependency on synthetic traffic patterns that may not reflect real DNN communication behaviour.</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Wang et al. introduced RA-Map, which applies RL with an improved attention mechanism to 3D NoC mapping. By encoding local task graph structure in the encoder and fusing global and dynamic node information in the decoder, RA-Map reduces communication cost by 6.5% compared to DPSO and 8.5% compared to simulated annealing. The primary limitation is the restriction to synthetic datasets and the requirement for GPU-based training.</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NeuMAC (Network Utilization Medium Access Control) by Sun et al. applied deep RL to wireless NoC protocols, achieving 2.56×–9.18× lower latency and 1.3×–17.3× higher throughput than existing protocols. This work is notable for pushing RL into the NoC physical layer, but the heavy training overhead and strict chip-level timing constraints limit practicality.</w:t>
      </w:r>
    </w:p>
    <w:p>
      <w:pPr>
        <w:pBdr/>
        <w:pStyle w:val="Heading 3"/>
        <w:spacing w:before="200" w:after="100"/>
        <w:ind/>
        <w:rPr/>
      </w:pPr>
      <w:r>
        <w:rPr>
          <w:rFonts w:ascii="Times New Roman" w:eastAsia="Times New Roman" w:hAnsi="Times New Roman" w:cs="Times New Roman"/>
          <w:b/>
          <w:bCs/>
          <w:color w:val="000000"/>
          <w:sz w:val="26"/>
          <w:szCs w:val="26"/>
        </w:rPr>
        <w:t xml:space="preserve">2.1.5  Multi-Level and DNN-Specific Mapping</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Brown et al. addressed DNN-specific mapping with a two-level algorithm that first maps neural network layers to NoC regions and then maps individual neurons to cores within those regions. This approach exploits the structured, layer-wise communication pattern of DNNs to ensure that neurons in adjacent layers are physically co-located. The evaluation relied on high-level analytical models in Octave rather than cycle-accurate simulation, and testing was confined to a single, relatively simple neural network. Importantly, this work directly inspired the multilevel baseline implemented in Phase I of HQ-Map.</w:t>
      </w:r>
    </w:p>
    <w:p>
      <w:pPr>
        <w:pBdr/>
        <w:pStyle w:val="Heading 3"/>
        <w:spacing w:before="200" w:after="100"/>
        <w:ind/>
        <w:rPr/>
      </w:pPr>
      <w:r>
        <w:rPr>
          <w:rFonts w:ascii="Times New Roman" w:eastAsia="Times New Roman" w:hAnsi="Times New Roman" w:cs="Times New Roman"/>
          <w:b/>
          <w:bCs/>
          <w:color w:val="000000"/>
          <w:sz w:val="26"/>
          <w:szCs w:val="26"/>
        </w:rPr>
        <w:t xml:space="preserve">2.1.6  Fault-Tolerant Mapping</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Reliable operation under hardware faults is a first-class concern for edge AI systems. The ACM (Adaptive Core Mapping) algorithm focuses on detecting failed cores and dynamically remapping applications to spare cores. The fault-tolerant task mapping (FTTM) framework by a different group modifies the NoC architecture to better handle permanent faults, achieving notable improvements in energy efficiency and reliability through simulation on the Noxim platform. A third approach by Rashid et al. designs a Secure and Dependable Routing (SDR) algorithm that creates secure communication zones and provides alternative paths to bypass faulty links.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Across these works, a common observation is that post-hoc fault avoidance — reacting to faults after training — is less effective than building fault resilience directly into the training process, which is the approach taken in HQ-Map.</w:t>
      </w:r>
    </w:p>
    <w:p>
      <w:pPr>
        <w:pBdr/>
        <w:pStyle w:val="Heading 3"/>
        <w:spacing w:before="200" w:after="100"/>
        <w:ind/>
        <w:rPr/>
      </w:pPr>
      <w:r>
        <w:rPr>
          <w:rFonts w:ascii="Times New Roman" w:eastAsia="Times New Roman" w:hAnsi="Times New Roman" w:cs="Times New Roman"/>
          <w:b/>
          <w:bCs/>
          <w:color w:val="000000"/>
          <w:sz w:val="26"/>
          <w:szCs w:val="26"/>
        </w:rPr>
        <w:t xml:space="preserve">2.1.7  Survey and Comparative Works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Two recent surveys provide important context. The convergence of edge computing and deep learning survey by Liu et al. (2023) synthesizes five areas of edge intelligence — DL applications, edge inference, edge acceleration, training, and optimization — highlighting the growing urgency of efficient on-chip computation. The comprehensive ML-for-NoC-mapping review by Brown's extended group (2024) categorises existing approaches into supervised, unsupervised, and reinforcement learning methods and identifies three critical gaps: </w:t>
      </w:r>
      <w:r>
        <w:rPr>
          <w:rFonts w:ascii="Times New Roman" w:eastAsia="Times New Roman" w:hAnsi="Times New Roman" w:cs="Times New Roman"/>
          <w:b w:val="0"/>
          <w:color w:val="000000"/>
          <w:sz w:val="24"/>
          <w:szCs w:val="24"/>
        </w:rPr>
        <w:t xml:space="preserve">computational overhead, dependency on high-quality training data, and the opaque nature of deep learning-based policies. Both surveys informed the design priorities of HQ-Map.</w:t>
      </w:r>
    </w:p>
    <w:p>
      <w:pPr>
        <w:pBdr/>
        <w:pStyle w:val="Heading 2"/>
        <w:spacing w:before="280" w:after="120"/>
        <w:ind/>
        <w:rPr/>
      </w:pPr>
      <w:r>
        <w:rPr>
          <w:rFonts w:ascii="Times New Roman" w:eastAsia="Times New Roman" w:hAnsi="Times New Roman" w:cs="Times New Roman"/>
          <w:b/>
          <w:bCs/>
          <w:color w:val="2E4A7A"/>
          <w:sz w:val="28"/>
          <w:szCs w:val="28"/>
        </w:rPr>
        <w:t xml:space="preserve">2.2  Review of Existing Tools and Products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Beyond academic methods, several established tools and commercial products address aspects of the NoC mapping problem.</w:t>
      </w:r>
    </w:p>
    <w:p>
      <w:pPr>
        <w:pBdr/>
        <w:pStyle w:val="Heading 3"/>
        <w:spacing w:before="200" w:after="100"/>
        <w:ind/>
        <w:rPr/>
      </w:pPr>
      <w:r>
        <w:rPr>
          <w:rFonts w:ascii="Times New Roman" w:eastAsia="Times New Roman" w:hAnsi="Times New Roman" w:cs="Times New Roman"/>
          <w:b/>
          <w:bCs/>
          <w:color w:val="000000"/>
          <w:sz w:val="26"/>
          <w:szCs w:val="26"/>
        </w:rPr>
        <w:t xml:space="preserve">2.2.1  NoC Simulation Platforms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Noxim is an open-source, cycle-accurate NoC simulator that models buffer contention, wormhole routing, and virtual channels. It provides detailed performance metrics including throughput, latency, and power, making it the gold standard for NoC evaluation. However, Noxim does not provide a reinforcement learning interface, requiring custom integration for RL-</w:t>
      </w:r>
      <w:r>
        <w:rPr>
          <w:rFonts w:ascii="Times New Roman" w:eastAsia="Times New Roman" w:hAnsi="Times New Roman" w:cs="Times New Roman"/>
          <w:b w:val="0"/>
          <w:color w:val="000000"/>
          <w:sz w:val="24"/>
          <w:szCs w:val="24"/>
        </w:rPr>
        <w:t xml:space="preserve">based work. BookSim is a similarly capable cycle-accurate interconnect simulator developed at Stanford. Both tools were considered for Phase I validation but were ultimately deferred due to integration complexity; they represent a priority for future work.</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gem5 is a full-system simulation platform supporting both processor microarchitecture and on-</w:t>
      </w:r>
      <w:r>
        <w:rPr>
          <w:rFonts w:ascii="Times New Roman" w:eastAsia="Times New Roman" w:hAnsi="Times New Roman" w:cs="Times New Roman"/>
          <w:b w:val="0"/>
          <w:color w:val="000000"/>
          <w:sz w:val="24"/>
          <w:szCs w:val="24"/>
        </w:rPr>
        <w:t xml:space="preserve">chip interconnects. While comprehensive, gem5 simulations of manycore NoCs are computationally expensive — a 256-core simulation can take weeks of wall-clock time — making it unsuitable for the iterative training loop of an RL agent.</w:t>
      </w:r>
    </w:p>
    <w:p>
      <w:pPr>
        <w:pBdr/>
        <w:pStyle w:val="Heading 3"/>
        <w:spacing w:before="200" w:after="100"/>
        <w:ind/>
        <w:rPr/>
      </w:pPr>
      <w:r>
        <w:rPr>
          <w:rFonts w:ascii="Times New Roman" w:eastAsia="Times New Roman" w:hAnsi="Times New Roman" w:cs="Times New Roman"/>
          <w:b/>
          <w:bCs/>
          <w:color w:val="000000"/>
          <w:sz w:val="26"/>
          <w:szCs w:val="26"/>
        </w:rPr>
        <w:t xml:space="preserve">2.2.2  Optimization Frameworks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Octave Forge optim package provides implementations of several optimization algorithms including genetic algorithms, particle swarm optimization, and simplex methods. This package was used directly in Phase I to implement the GA baseline with population size 50 and 100 generations. MATLAB's Global Optimization Toolbox offers similar functionality with commercial support, though its proprietary nature conflicts with the reproducibility goals of this project.</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GNU Octave itself was chosen as the implementation platform for several reasons: it is free and open-source, broadly available on commodity hardware, syntactically compatible with MATLAB for scientific computing, and supports the Statistics package required for k-means clustering. The decision to avoid Python and PyTorch was deliberate — it eliminates a layer of deep learning abstraction and forces the implementation to be transparent and verifiable at every step.</w:t>
      </w:r>
    </w:p>
    <w:p>
      <w:pPr>
        <w:pBdr/>
        <w:pStyle w:val="Heading 3"/>
        <w:spacing w:before="200" w:after="100"/>
        <w:ind/>
        <w:rPr/>
      </w:pPr>
      <w:r>
        <w:rPr>
          <w:rFonts w:ascii="Times New Roman" w:eastAsia="Times New Roman" w:hAnsi="Times New Roman" w:cs="Times New Roman"/>
          <w:b/>
          <w:bCs/>
          <w:color w:val="000000"/>
          <w:sz w:val="26"/>
          <w:szCs w:val="26"/>
        </w:rPr>
        <w:t xml:space="preserve">2.2.3  Commercial NoC IP and EDA Tools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Companies such as Arteris, Sonics (now part of Facebook/Meta), and NetSpeed (acquired by Intel) offer commercial NoC IP and mapping tools. Arteris FlexNoC, for example, provides automated routing and QoS configuration for SoC designs. These tools are highly optimised for specific hardware flows but are proprietary, inaccessible for academic research, and not designed for the kind of algorithmic exploration pursued in this project. They do, however, confirm industrial demand for automated mapping solutions.</w:t>
      </w:r>
    </w:p>
    <w:p>
      <w:pPr>
        <w:pBdr/>
        <w:pStyle w:val="Heading 2"/>
        <w:spacing w:before="280" w:after="120"/>
        <w:ind/>
        <w:rPr/>
      </w:pPr>
      <w:r>
        <w:rPr>
          <w:rFonts w:ascii="Times New Roman" w:eastAsia="Times New Roman" w:hAnsi="Times New Roman" w:cs="Times New Roman"/>
          <w:b/>
          <w:bCs/>
          <w:color w:val="2E4A7A"/>
          <w:sz w:val="28"/>
          <w:szCs w:val="28"/>
        </w:rPr>
        <w:t xml:space="preserve">2.3  Research Gap and Scope for Improvement</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survey of existing research reveals several persistent gaps that motivate the HQ-Map framework:</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Scalability of RL methods: Most RL-based mappers use flat state-action representations that scale quadratically with the number of cores, becoming infeasible beyond 8×8 meshes without GPU support. HQ-Map addresses this through hierarchical decomposition that reduces the state space by over 90%.</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Training overhead: The 26-hour training reported by RL-MAP, and the GPU requirements of DRL-based systems, effectively preclude deployment on commodity embedded hardware. HQ-Map trains in 3.5 seconds on a laptop CPU for an 8×8 mesh.</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Single-objective focus: The majority of approaches optimize either latency or energy, rarely both simultaneously and almost never including thermal balance and fault tolerance in the same framework. HQ-Map's multi-objective reward formulation addresses all four objectives with tunable weights.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Lack of dynamic adaptation: No reviewed work demonstrates online learning across changing workload contexts such as automotive driving modes. Phase II of HQ-Map fills this gap with a simulation-based online RL framework.</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Reproducibility: Deep learning-based mappers rely on stochastic neural network training that is difficult to reproduce exactly. HQ-Map uses fixed random seeds (rng(42)) and tabular Q-tables that are fully deterministic and human-readable.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Automotive applicability: Only one of the eighteen reviewed papers (the IoT edge DRL paper) mentions automotive or ADAS workloads. HQ-Map explicitly models City, Highway, and Parked driving modes with structured ADAS task graphs.</w:t>
      </w:r>
    </w:p>
    <w:p>
      <w:pPr>
        <w:pBdr/>
        <w:pStyle w:val="Heading 2"/>
        <w:spacing w:before="280" w:after="120"/>
        <w:ind/>
        <w:rPr/>
      </w:pPr>
      <w:r>
        <w:rPr>
          <w:rFonts w:ascii="Times New Roman" w:eastAsia="Times New Roman" w:hAnsi="Times New Roman" w:cs="Times New Roman"/>
          <w:b/>
          <w:bCs/>
          <w:color w:val="2E4A7A"/>
          <w:sz w:val="28"/>
          <w:szCs w:val="28"/>
        </w:rPr>
        <w:t xml:space="preserve">2.4  Problem Statement and Contributions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Problem Statement: Given a DNN workload modeled as a task communication graph and a 2D mesh NoC of N×N cores, develop a hierarchical reinforcement learning framework that learns an optimal task-to-core mapping policy minimizing a weighted combination of communication cost, energy consumption, thermal imbalance, and fault violations, while remaining scalable to 256+ cores, trainable in under one minute on commodity hardware, and adaptable to dynamic workload contexts including automotive driving scenarios.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Research Contributions of this work:</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Hierarchical Q-Learning Architecture: The first two-level Q-learning framework for NoC mapping that decomposes the assignment into coarse cluster-to-region and fine task-to-</w:t>
      </w:r>
      <w:r>
        <w:rPr>
          <w:rFonts w:ascii="Times New Roman" w:eastAsia="Times New Roman" w:hAnsi="Times New Roman" w:cs="Times New Roman"/>
          <w:sz w:val="24"/>
          <w:szCs w:val="24"/>
        </w:rPr>
        <w:t xml:space="preserve">core decisions, achieving 92.8% state space reduction and enabling linear scaling to 256+ cores.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Multi-Objective Reward Formulation: A tunable, normalized reward function simultaneously optimizing hop count, communication energy, fault penalty, and load </w:t>
      </w:r>
      <w:r>
        <w:rPr>
          <w:rFonts w:ascii="Times New Roman" w:eastAsia="Times New Roman" w:hAnsi="Times New Roman" w:cs="Times New Roman"/>
          <w:sz w:val="24"/>
          <w:szCs w:val="24"/>
        </w:rPr>
        <w:t xml:space="preserve">imbalance with runtime-adjustable weights — no retraining required for objective re-</w:t>
      </w:r>
      <w:r>
        <w:rPr>
          <w:rFonts w:ascii="Times New Roman" w:eastAsia="Times New Roman" w:hAnsi="Times New Roman" w:cs="Times New Roman"/>
          <w:sz w:val="24"/>
          <w:szCs w:val="24"/>
        </w:rPr>
        <w:t xml:space="preserve">prioritization.</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Fault-Aware Training Protocol: Direct integration of 5–20% random core fault injection into every training episode, producing policies that inherently avoid faulty regions and maintain 96.9% reliability at 5% fault rates.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Dynamic Automotive Edge AI Framework (Phase II): A smart vehicle simulation with online learning, a physics-based thermal model, and a structured ADAS workload generator validated across City, Highway, and Parked driving contexts.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Reproducible Open-Source Implementation: A complete Octave 10.3 implementation (1,100+ lines) with no GPU or proprietary dependencies, achieving identical results across runs via fixed random seeds — suitable for academic reproduction and industrial evaluation.</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28"/>
          <w:szCs w:val="28"/>
        </w:rPr>
        <w:t xml:space="preserve">Chapter 3</w:t>
      </w:r>
    </w:p>
    <w:p>
      <w:pPr>
        <w:pBdr/>
        <w:pStyle w:val="Heading 1"/>
        <w:spacing w:before="360" w:after="180"/>
        <w:ind/>
        <w:rPr/>
      </w:pPr>
      <w:r>
        <w:rPr>
          <w:rFonts w:ascii="Times New Roman" w:eastAsia="Times New Roman" w:hAnsi="Times New Roman" w:cs="Times New Roman"/>
          <w:b/>
          <w:bCs/>
          <w:color w:val="1F3864"/>
          <w:sz w:val="32"/>
          <w:szCs w:val="32"/>
        </w:rPr>
        <w:t xml:space="preserve">Proposed Work</w:t>
      </w:r>
    </w:p>
    <w:p>
      <w:pPr>
        <w:pBdr/>
        <w:pStyle w:val="Heading 2"/>
        <w:spacing w:before="280" w:after="120"/>
        <w:ind/>
        <w:rPr/>
      </w:pPr>
      <w:r>
        <w:rPr>
          <w:rFonts w:ascii="Times New Roman" w:eastAsia="Times New Roman" w:hAnsi="Times New Roman" w:cs="Times New Roman"/>
          <w:b/>
          <w:bCs/>
          <w:color w:val="2E4A7A"/>
          <w:sz w:val="28"/>
          <w:szCs w:val="28"/>
        </w:rPr>
        <w:t xml:space="preserve">3.1  Proposed Work Overview</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HQ-Map is structured as a three-phase framework that progressively builds complexity and capability. Phase I lays the mathematical and algorithmic foundation by establishing the NoC and workload models, implementing static mapping baselines, and developing the core hierarchical Q-learning agent. Phase II extends the learned policies to dynamic, context-aware scenarios with thermal management and online learning. Phase III (described as future work within this report) envisions deployment on physical hardware with full cycle-accurate validation.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progression is intentional: each phase produces independently useful artifacts while contributing to a broader goal. Phase I alone already outperforms all evaluated baselines. Phase II demonstrates that the Phase I agent can be adapted to dynamic environments with relatively modest architectural additions. This staged approach also served a practical purpose during development — it allowed the team to validate core assumptions before investing in more complex extensions.</w:t>
      </w:r>
    </w:p>
    <w:p>
      <w:pPr>
        <w:pBdr/>
        <w:pStyle w:val="Heading 3"/>
        <w:spacing w:before="200" w:after="100"/>
        <w:ind/>
        <w:rPr/>
      </w:pPr>
      <w:r>
        <w:rPr>
          <w:rFonts w:ascii="Times New Roman" w:eastAsia="Times New Roman" w:hAnsi="Times New Roman" w:cs="Times New Roman"/>
          <w:b/>
          <w:bCs/>
          <w:color w:val="000000"/>
          <w:sz w:val="26"/>
          <w:szCs w:val="26"/>
        </w:rPr>
        <w:t xml:space="preserve">3.1.1  Objectives of the Proposed Work</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Primary Objectives: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Design and implement a hierarchical reinforcement learning mapper for 2D mesh NoC systems that achieves at least 10% cost improvement over flat Q-learning.</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Develop a multi-objective reward function that jointly optimizes communication cost, energy consumption, load balance, and fault tolerance.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Demonstrate scalability to 256 cores with training time under one minute on commodity laptop hardware.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Extend the framework to dynamic automotive driving contexts with online learning and thermal management.</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Secondary Objectives: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Provide a fully reproducible implementation in GNU Octave with fixed random seeds and comprehensive documentation.</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Benchmark the framework rigorously against five established baselines across 36 experimental configurations.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Develop practical deployment guidelines for automotive edge AI systems, including fault handling, weight tuning, and transfer learning protocols.</w:t>
      </w:r>
    </w:p>
    <w:p>
      <w:pPr>
        <w:pBdr/>
        <w:pStyle w:val="Heading 2"/>
        <w:spacing w:before="280" w:after="120"/>
        <w:ind/>
        <w:rPr/>
      </w:pPr>
      <w:r>
        <w:rPr>
          <w:rFonts w:ascii="Times New Roman" w:eastAsia="Times New Roman" w:hAnsi="Times New Roman" w:cs="Times New Roman"/>
          <w:b/>
          <w:bCs/>
          <w:color w:val="2E4A7A"/>
          <w:sz w:val="28"/>
          <w:szCs w:val="28"/>
        </w:rPr>
        <w:t xml:space="preserve">3.2  Methodology</w:t>
      </w:r>
    </w:p>
    <w:p>
      <w:pPr>
        <w:pBdr/>
        <w:pStyle w:val="Heading 3"/>
        <w:spacing w:before="200" w:after="100"/>
        <w:ind/>
        <w:rPr/>
      </w:pPr>
      <w:r>
        <w:rPr>
          <w:rFonts w:ascii="Times New Roman" w:eastAsia="Times New Roman" w:hAnsi="Times New Roman" w:cs="Times New Roman"/>
          <w:b/>
          <w:bCs/>
          <w:color w:val="000000"/>
          <w:sz w:val="26"/>
          <w:szCs w:val="26"/>
        </w:rPr>
        <w:t xml:space="preserve">3.2.1  Overview of the Approach</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HQ-Map decomposes the NP-hard application mapping problem into a tractable hierarchical optimization by exploiting the structured communication patterns of DNN workloads. Rather than treating each task-to-core assignment as an independent decision in a flat search space, the framework first groups tasks into communication-affinity clusters using k-means, then decides which NoC region each cluster maps to (coarse-level decision), and finally assigns individual tasks to cores within the designated region (fine-level decision). This two-level hierarchy mirrors the natural structure of DNN computation, where neurons in the same layer communicate intensively within a local neighbourhood but have limited cross-layer communication.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Training proceeds through episodes in which the agent constructs a complete mapping, observes a scalar reward encoding multiple system-level objectives, and updates both Q-tables via temporal-difference learning. Explicit fault injection during every training episode produces policies that naturally route around faulty cores without requiring runtime overhead. After training, the agent operates in pure exploitation mode (ε = 0), executing greedy mapping decisions in microseconds.</w:t>
      </w:r>
    </w:p>
    <w:p>
      <w:pPr>
        <w:pBdr/>
        <w:pStyle w:val="Heading 3"/>
        <w:spacing w:before="200" w:after="100"/>
        <w:ind/>
        <w:rPr/>
      </w:pPr>
      <w:r>
        <w:rPr>
          <w:rFonts w:ascii="Times New Roman" w:eastAsia="Times New Roman" w:hAnsi="Times New Roman" w:cs="Times New Roman"/>
          <w:b/>
          <w:bCs/>
          <w:color w:val="000000"/>
          <w:sz w:val="26"/>
          <w:szCs w:val="26"/>
        </w:rPr>
        <w:t xml:space="preserve">3.2.2  Dataset and Workload Selection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Phase I workloads are synthetic feed-forward DNNs generated programmatically. A workload with n tasks is represented by a communication matrix C where C[i,j] = 1 if tasks i and j belong to adjacent layers, and 0 otherwise. Layer sizes are chosen proportional to NoC capacity (e.g., [4, 8, 12, 8] neurons for a 32-task workload on a 4-region NoC). This structured communication pattern is representative of standard convolutional and fully-connected neural network inference graphs.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Phase II workloads are generated by a structured ADAS workload generator (get_vehicle_workload.m) that produces different communication matrices based on the current driving mode. Three modes are supported:</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City Mode (simulation steps 1–300): Balanced mix of ADAS object detection (Tasks 1–8, critical), navigation (Tasks 9–12, best-effort), and background OS tasks (Tasks 20–32). Communication bandwidths reflect moderate urban sensor rates.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Highway Mode (simulation steps 301–700): Intensive ADAS focus with dual camera and LiDAR pipelines (Tasks 1–15, all critical) fusing at a central node. High communication bandwidths (100 units per pipeline edge) reflect highway-speed sensor data rates.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Parked Mode (simulation steps 701–1000): Infotainment dominance with 4K video decoding (Tasks 1–10, best-effort) and reduced safety monitoring. Lower computation intensity allows thermal recovery.</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2000"/>
        <w:gridCol w:w="1800"/>
        <w:gridCol w:w="1800"/>
        <w:gridCol w:w="19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Mode</w:t>
            </w:r>
          </w:p>
        </w:tc>
        <w:tc>
          <w:tcPr>
            <w:tcW w:w="20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Duration (Steps)</w:t>
            </w:r>
          </w:p>
        </w:tc>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Active Tasks</w:t>
            </w:r>
          </w:p>
        </w:tc>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Max Bandwidth</w:t>
            </w:r>
          </w:p>
        </w:tc>
        <w:tc>
          <w:tcPr>
            <w:tcW w:w="1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Primary Objective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City</w:t>
            </w:r>
          </w:p>
        </w:tc>
        <w:tc>
          <w:tcPr>
            <w:tcW w:w="2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1–300</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20 (8 critical)</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50 units</w:t>
            </w:r>
          </w:p>
        </w:tc>
        <w:tc>
          <w:tcPr>
            <w:tcW w:w="19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Latency + Balance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Highway</w:t>
            </w:r>
          </w:p>
        </w:tc>
        <w:tc>
          <w:tcPr>
            <w:tcW w:w="2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301–700</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27 (15 critical)</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100 units</w:t>
            </w:r>
          </w:p>
        </w:tc>
        <w:tc>
          <w:tcPr>
            <w:tcW w:w="19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Latency + Thermal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Parked</w:t>
            </w:r>
          </w:p>
        </w:tc>
        <w:tc>
          <w:tcPr>
            <w:tcW w:w="2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701–1000</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23 (0 critical)</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120 units (video)</w:t>
            </w:r>
          </w:p>
        </w:tc>
        <w:tc>
          <w:tcPr>
            <w:tcW w:w="19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Energy + Thermal</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3.1: Phase II Driving Mode Workload Characteristics</w:t>
      </w:r>
    </w:p>
    <w:p>
      <w:pPr>
        <w:pBdr/>
        <w:pStyle w:val="Heading 3"/>
        <w:spacing w:before="200" w:after="100"/>
        <w:ind/>
        <w:rPr/>
      </w:pPr>
      <w:r>
        <w:rPr>
          <w:rFonts w:ascii="Times New Roman" w:eastAsia="Times New Roman" w:hAnsi="Times New Roman" w:cs="Times New Roman"/>
          <w:b/>
          <w:bCs/>
          <w:color w:val="000000"/>
          <w:sz w:val="26"/>
          <w:szCs w:val="26"/>
        </w:rPr>
        <w:t xml:space="preserve">3.2.3  System Model and NoC Architecture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target hardware platform is modeled as a square 2D mesh NoC with bidirectional links connecting adjacent processing tiles. Each tile contains a processing core and a local router. Communication follows deterministic XY routing, where a packet first traverses horizontally to the destination column and then vertically to the destination row. This deterministic path choice makes the hop count between any two cores directly computable from their grid coordinates.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Manhattan distance between cores i and j located at coordinates (xᵢ, yᵢ) and (xⱼ, yⱼ) is:</w:t>
      </w:r>
    </w:p>
    <w:p>
      <w:pPr>
        <w:pBdr/>
        <w:pStyle w:val="Normal"/>
        <w:spacing w:before="120" w:after="120"/>
        <w:ind/>
        <w:jc w:val="center"/>
        <w:rPr/>
      </w:pPr>
      <w:r>
        <w:rPr>
          <w:rFonts w:ascii="Courier New" w:eastAsia="Courier New" w:hAnsi="Courier New" w:cs="Courier New"/>
          <w:sz w:val="24"/>
          <w:szCs w:val="24"/>
        </w:rPr>
        <w:t xml:space="preserve">Distance(core_i, core_j) = |x_i - x_j| + |y_i - y_j|</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total communication energy for a given mapping π is:</w:t>
      </w:r>
    </w:p>
    <w:p>
      <w:pPr>
        <w:pBdr/>
        <w:pStyle w:val="Normal"/>
        <w:spacing w:before="120" w:after="120"/>
        <w:ind/>
        <w:jc w:val="center"/>
        <w:rPr/>
      </w:pPr>
      <w:r>
        <w:rPr>
          <w:rFonts w:ascii="Courier New" w:eastAsia="Courier New" w:hAnsi="Courier New" w:cs="Courier New"/>
          <w:sz w:val="24"/>
          <w:szCs w:val="24"/>
        </w:rPr>
        <w:t xml:space="preserve">E_total = Σ_{i≠j} Distance(core_π(i), core_π(j)) · C[i,j] · e_link</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where e_link = 0.1 pJ/bit/hop is the energy consumed per hop, C[i,j] is the communication volume between tasks i and j, and π(i) denotes the core assigned to task i. This formulation captures the dominant dynamic switching energy in on-chip links and routers while abstracting away microarchitectural details that would require cycle-accurate simulation.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This distance-based model is consistent with the approach validated by Brown et al. and allows rapid evaluation of thousands of candidate mappings during RL training without the overhead of a full network simulator.</w:t>
      </w:r>
    </w:p>
    <w:p>
      <w:pPr>
        <w:pBdr/>
        <w:pStyle w:val="Heading 3"/>
        <w:spacing w:before="200" w:after="100"/>
        <w:ind/>
        <w:rPr/>
      </w:pPr>
      <w:r>
        <w:rPr>
          <w:rFonts w:ascii="Times New Roman" w:eastAsia="Times New Roman" w:hAnsi="Times New Roman" w:cs="Times New Roman"/>
          <w:b/>
          <w:bCs/>
          <w:color w:val="000000"/>
          <w:sz w:val="26"/>
          <w:szCs w:val="26"/>
        </w:rPr>
        <w:t xml:space="preserve">3.2.4  Phase I — Baseline Mapping Strategies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Two static mapping strategies were implemented as performance baselines and to establish reference points for the RL agent's improvement.</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Direct Mapping assigns task i to core (i mod N²) in row-major order. Its algorithmic complexity is O(n) and it requires no communication information. The resulting mapping scatters communicating tasks across the NoC, producing maximum average hop counts and serving as the worst-case performance lower bound. Direct mapping also introduces extreme load imbalance when the number of tasks is not a multiple of the number of cores.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Multilevel Mapping exploits the layered structure of DNN workloads. The NoC mesh is partitioned into k contiguous rectangular regions of roughly equal size. Each DNN layer (or group of layers) is assigned to one region based on a simple load-balancing criterion. Within each region, neurons are placed using row-major filling. The algorithm runs in O(n + k log k) time and produces substantially better locality than direct mapping, since neurons in adjacent layers are guaranteed to reside in nearby regions. However, it remains a static, offline strategy that cannot adapt to runtime conditions.</w:t>
      </w:r>
    </w:p>
    <w:p>
      <w:pPr>
        <w:pBdr/>
        <w:pStyle w:val="Heading 3"/>
        <w:spacing w:before="200" w:after="100"/>
        <w:ind/>
        <w:rPr/>
      </w:pPr>
      <w:r>
        <w:rPr>
          <w:rFonts w:ascii="Times New Roman" w:eastAsia="Times New Roman" w:hAnsi="Times New Roman" w:cs="Times New Roman"/>
          <w:b/>
          <w:bCs/>
          <w:color w:val="000000"/>
          <w:sz w:val="26"/>
          <w:szCs w:val="26"/>
        </w:rPr>
        <w:t xml:space="preserve">3.2.5  Phase I — Hierarchical Q-Learning Agent (HQ-Map)</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core contribution of Phase I is the Hierarchical Q-Learning agent, which consists of two cooperating Q-tables: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Coarse Q-Table (Qc): Dimensions 10 × k, where 10 is the number of discretized coarse states (derived from cluster utilization and region load distribution) and k is the number of clusters/regions (default k = 4). The coarse agent assigns task clusters to NoC regions.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Fine Q-Table (Qf): Dimensions 10 × c_p, where c_p is the number of cores per region (e.g., 16 for a 4×4 sub-region). The fine agent places individual tasks within the assigned region.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Both agents use the standard Q-learning update rule:</w:t>
      </w:r>
    </w:p>
    <w:p>
      <w:pPr>
        <w:pBdr/>
        <w:pStyle w:val="Normal"/>
        <w:spacing w:before="120" w:after="120"/>
        <w:ind/>
        <w:jc w:val="center"/>
        <w:rPr/>
      </w:pPr>
      <w:r>
        <w:rPr>
          <w:rFonts w:ascii="Courier New" w:eastAsia="Courier New" w:hAnsi="Courier New" w:cs="Courier New"/>
          <w:sz w:val="24"/>
          <w:szCs w:val="24"/>
        </w:rPr>
        <w:t xml:space="preserve">Q(s, a) ← Q(s, a) + α [ R + γ · max_{a'} Q(s', a') − Q(s, a) ]</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with learning rate α = 0.1 and discount factor γ = 0.9. The exploration policy is ε-greedy with initial ε = 1.0, decay rate 0.995 per episode, and minimum ε = 0.01.</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State discretization converts the continuous load and temperature measurements into a discrete index in [1, 10]. For the fine-level agent, states encode the current load distribution within the assigned region. For the coarse agent, states encode the global utilization balance across all regions.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hierarchical decomposition reduces the effective state-action space from 10 × 256 = 2,560 entries (flat) to approximately 10 × 4 + 10 × 16 × 4 = 680 entries total — a 73.4% reduction for an 8×8 mesh, scaling to 96% reduction for a 16×16 mesh.</w:t>
      </w:r>
    </w:p>
    <w:p>
      <w:pPr>
        <w:pBdr/>
        <w:pStyle w:val="Heading 3"/>
        <w:spacing w:before="200" w:after="100"/>
        <w:ind/>
        <w:rPr/>
      </w:pPr>
      <w:r>
        <w:rPr>
          <w:rFonts w:ascii="Times New Roman" w:eastAsia="Times New Roman" w:hAnsi="Times New Roman" w:cs="Times New Roman"/>
          <w:b/>
          <w:bCs/>
          <w:color w:val="000000"/>
          <w:sz w:val="26"/>
          <w:szCs w:val="26"/>
        </w:rPr>
        <w:t xml:space="preserve">3.2.6  Multi-Objective Reward Function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 scalar reward encodes all four optimization objectives through normalized, weighted combination:</w:t>
      </w:r>
    </w:p>
    <w:p>
      <w:pPr>
        <w:pBdr/>
        <w:pStyle w:val="Normal"/>
        <w:spacing w:before="120" w:after="120"/>
        <w:ind/>
        <w:jc w:val="center"/>
        <w:rPr/>
      </w:pPr>
      <w:r>
        <w:rPr>
          <w:rFonts w:ascii="Courier New" w:eastAsia="Courier New" w:hAnsi="Courier New" w:cs="Courier New"/>
          <w:sz w:val="24"/>
          <w:szCs w:val="24"/>
        </w:rPr>
        <w:t xml:space="preserve">R = −(w₁·h_norm + w₂·e_norm + w₃·f_norm) − 0.1·load_imbalance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where: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h_norm = HopCount / (n · N) is the normalized total hop count across all communicating task pairs.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e_norm = Energy / (n · 0.5) is the normalized communication energy.</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f_norm = (#tasks on faulty cores) / n is the fault penalty.</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load_imbalance = std(core_loads) is the standard deviation of task counts per core.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Default weights are w₁ = 0.5, w₂ = 0.3, w₃ = 0.2, but these can be adjusted for application-</w:t>
      </w:r>
      <w:r>
        <w:rPr>
          <w:rFonts w:ascii="Times New Roman" w:eastAsia="Times New Roman" w:hAnsi="Times New Roman" w:cs="Times New Roman"/>
          <w:b w:val="0"/>
          <w:color w:val="000000"/>
          <w:sz w:val="24"/>
          <w:szCs w:val="24"/>
        </w:rPr>
        <w:t xml:space="preserve">specific priorities: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1600"/>
        <w:gridCol w:w="1600"/>
        <w:gridCol w:w="1600"/>
        <w:gridCol w:w="20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Configuration</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w₁ (Latency)</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w₂ (Energy)</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w₃ (Reliability)</w:t>
            </w:r>
          </w:p>
        </w:tc>
        <w:tc>
          <w:tcPr>
            <w:tcW w:w="2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Target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Balanced (Default)</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0.5</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0.3</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0.2</w:t>
            </w:r>
          </w:p>
        </w:tc>
        <w:tc>
          <w:tcPr>
            <w:tcW w:w="20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General edge 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Latency-Focused</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0.7</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0.2</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0.1</w:t>
            </w:r>
          </w:p>
        </w:tc>
        <w:tc>
          <w:tcPr>
            <w:tcW w:w="20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Autonomous driving, robotics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Energy-Focused</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0.2</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0.7</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0.1</w:t>
            </w:r>
          </w:p>
        </w:tc>
        <w:tc>
          <w:tcPr>
            <w:tcW w:w="20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Battery-constrained IoT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Reliability-Focused</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0.2</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0.2</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0.6</w:t>
            </w:r>
          </w:p>
        </w:tc>
        <w:tc>
          <w:tcPr>
            <w:tcW w:w="20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Medical, avionics</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3.2: Multi-Objective Reward Weight Configurations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negative sign on all terms ensures that lower hop count, energy, faults, and imbalance all increase the reward, guiding the agent toward globally better mappings. Weight tuning at runtime requires no retraining — new weights are applied directly during inference.</w:t>
      </w:r>
    </w:p>
    <w:p>
      <w:pPr>
        <w:pBdr/>
        <w:pStyle w:val="Heading 3"/>
        <w:spacing w:before="200" w:after="100"/>
        <w:ind/>
        <w:rPr/>
      </w:pPr>
      <w:r>
        <w:rPr>
          <w:rFonts w:ascii="Times New Roman" w:eastAsia="Times New Roman" w:hAnsi="Times New Roman" w:cs="Times New Roman"/>
          <w:b/>
          <w:bCs/>
          <w:color w:val="000000"/>
          <w:sz w:val="26"/>
          <w:szCs w:val="26"/>
        </w:rPr>
        <w:t xml:space="preserve">3.2.7  Fault Injection Protocol</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To produce fault-resilient policies, every training episode begins by randomly marking 5–20% of the NoC cores as faulty. This fault mask is drawn uniformly at random at episode initialisation and changes each episode, exposing the agent to a wide variety of fault patterns over the course of training. When the fine-level agent selects a faulty core, the fallback procedure searches the nearest available healthy core within the same region using an expanding-ring search.</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This training-time fault injection approach differs fundamentally from post-hoc fault handling, where a healthy-core mapping is computed first and then repaired when a fault is discovered at runtime. By experiencing faults during every training episode, the agent internalises fault avoidance as part of its core policy rather than as an afterthought. Experimental results in Section 4 demonstrate that this produces 1.6–7.2% better reliability than baselines at fault rates ranging from 5% to 20%.</w:t>
      </w:r>
    </w:p>
    <w:p>
      <w:pPr>
        <w:pBdr/>
        <w:pStyle w:val="Heading 3"/>
        <w:spacing w:before="200" w:after="100"/>
        <w:ind/>
        <w:rPr/>
      </w:pPr>
      <w:r>
        <w:rPr>
          <w:rFonts w:ascii="Times New Roman" w:eastAsia="Times New Roman" w:hAnsi="Times New Roman" w:cs="Times New Roman"/>
          <w:b/>
          <w:bCs/>
          <w:color w:val="000000"/>
          <w:sz w:val="26"/>
          <w:szCs w:val="26"/>
        </w:rPr>
        <w:t xml:space="preserve">3.2.8  Phase II — Dynamic Smart Vehicle Simulation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Phase II extends the HQ-Map framework to a continuous simulation of an automotive SoC operating through City, Highway, and Parked driving contexts over 1,000 simulation steps. The key additions over Phase I are: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Online Learning: Rather than training in discrete episodes followed by deployment, the Phase II agent learns continuously during simulation. The Q-tables are updated at every step using the current reward signal, enabling real-time adaptation to changing workload patterns.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Physics-Based Thermal Model: Core temperatures evolve according to a simplified thermal differential equation. At each step, all cores cool by 15% of the excess above ambient temperature (45°C), and cores assigned tasks in the current step heat up by 8°C. Maximum safe temperature is 85°C (automotive grade). The thermal reward term penalises mappings that cause any core to exceed this threshold.</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Thermal-Aware State Representation: The Phase II state discretization incorporates both load variance and average regional temperature, creating a two-dimensional state that captures both computational and thermal system conditions. States 1–5 correspond to cool (below 65°C) operation with varying loads; states 6–10 correspond to hot (above 65°C) operation.</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Mode-Triggered Re-Clustering: Task clusters are recomputed at every mode transition (step 1, 301, 701) using k-means on the new communication matrix, ensuring that the cluster structure always reflects the current workload pattern.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simulation architecture follows a six-stage loop per step: determine driving mode, generate workload graph, optionally recluster, run one online RL episode, update thermal model, and record metrics. This design allows the thermal and workload subsystems to operate independently of the RL agent, making it straightforward to swap in different thermal models or workload generators.</w:t>
      </w:r>
    </w:p>
    <w:p>
      <w:pPr>
        <w:pBdr/>
        <w:pStyle w:val="Heading 3"/>
        <w:spacing w:before="200" w:after="100"/>
        <w:ind/>
        <w:rPr/>
      </w:pPr>
      <w:r>
        <w:rPr>
          <w:rFonts w:ascii="Times New Roman" w:eastAsia="Times New Roman" w:hAnsi="Times New Roman" w:cs="Times New Roman"/>
          <w:b/>
          <w:bCs/>
          <w:color w:val="000000"/>
          <w:sz w:val="26"/>
          <w:szCs w:val="26"/>
        </w:rPr>
        <w:t xml:space="preserve">3.2.9  Tools and Technologies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entire HQ-Map framework was implemented in GNU Octave 10.3, an open-source numerical computing environment with syntax compatible with MATLAB. The following packages and utilities were used:</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Statistics Package (Octave Forge): Provides the kmeans() function used for task affinity clustering. k-means is run with Replicates = 5 and MaxIter = 100 to ensure consistent cluster assignments.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Optim Package (Octave Forge): Provides the genetic algorithm implementation used for the GA baseline, with population size 50 and 100 generations.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Built-in Plotting: Octave's native figure, subplot, plot, bar, and imagesc functions are used for all result visualizations, including training convergence curves, comparison bar charts, and NoC utilization heat maps.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Hardware: Intel Core i7-12700H at 2.3 GHz with 16 GB RAM. No GPU was used at any stage.</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3120"/>
        <w:gridCol w:w="3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Parameter</w:t>
            </w:r>
          </w:p>
        </w:tc>
        <w:tc>
          <w:tcPr>
            <w:tcW w:w="31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Phase I Value</w:t>
            </w:r>
          </w:p>
        </w:tc>
        <w:tc>
          <w:tcPr>
            <w:tcW w:w="324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Phase II 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NoC Size</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4×4 to 16×16</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8×8 (64 cores)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Number of Tasks</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 to 128</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32 (automotive set)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Number of Clusters</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 (default)</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Learning Rate (α)</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0.1</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Discount Factor (γ)</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0.9</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Initial Epsilon (ε₀)</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1.0</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Epsilon Decay</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0.995 / episode</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0.998 / step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Minimum Epsilon</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0.01</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Training Episodes</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500–5000</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Online (1 per step)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Fault Rate</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0–20% (varied)</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 (thermal focus)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Ambient Temperature</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N/A</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45°C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Max Safe Temperature</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N/A</w:t>
            </w:r>
          </w:p>
        </w:tc>
        <w:tc>
          <w:tcPr>
            <w:tcW w:w="32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85°C</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3.3: Hyperparameter Configuration for Both Phases</w:t>
      </w:r>
    </w:p>
    <w:p>
      <w:pPr>
        <w:pBdr/>
        <w:pStyle w:val="Heading 3"/>
        <w:spacing w:before="200" w:after="100"/>
        <w:ind/>
        <w:rPr/>
      </w:pPr>
      <w:r>
        <w:rPr>
          <w:rFonts w:ascii="Times New Roman" w:eastAsia="Times New Roman" w:hAnsi="Times New Roman" w:cs="Times New Roman"/>
          <w:b/>
          <w:bCs/>
          <w:color w:val="000000"/>
          <w:sz w:val="26"/>
          <w:szCs w:val="26"/>
        </w:rPr>
        <w:t xml:space="preserve">3.2.10  Algorithm Description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complete HQ-Map training procedure (Algorithm 1) proceeds as follows for each training episode:</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Initialize an empty mapping π = {}</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Generate a random fault mask marking 5–20% of cores as faulty</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For each task cluster tc in task_clusters: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  a. Observe coarse state sc from current cluster utilization and region loads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  b. With probability ε, select a random region; otherwise select argmax Qc[sc, :]</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  c. For each task t in cluster tc:</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     i. Observe fine state sf from current core loads in the assigned region</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    ii. With probability ε, select a random available core; otherwise select argmax Qf[sf, :]</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   iii. If selected core is faulty, redirect to nearest healthy core in region</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    iv. Assign task t to selected core</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Compute composite reward R from Equation (Reward Function)</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Update Qc and Qf via Q-learning rule with reward R/2 each</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Decay ε: ε ← max(ε_min, ε × 0.995)</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For Phase II online learning, steps 1–4 are executed once per simulation step rather than per episode, and the fault mask is replaced by the current thermal state of the NoC. The reward function is augmented with a thermal penalty term that fires when any core exceeds 85°C.</w:t>
      </w:r>
    </w:p>
    <w:p>
      <w:pPr>
        <w:pBdr/>
        <w:pStyle w:val="Heading 3"/>
        <w:spacing w:before="200" w:after="100"/>
        <w:ind/>
        <w:rPr/>
      </w:pPr>
      <w:r>
        <w:rPr>
          <w:rFonts w:ascii="Times New Roman" w:eastAsia="Times New Roman" w:hAnsi="Times New Roman" w:cs="Times New Roman"/>
          <w:b/>
          <w:bCs/>
          <w:color w:val="000000"/>
          <w:sz w:val="26"/>
          <w:szCs w:val="26"/>
        </w:rPr>
        <w:t xml:space="preserve">3.2.11  Expected Outcomes and Advantages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Based on the theoretical analysis and preliminary experiments, HQ-Map is expected to achieve the following:</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Communication cost 9–25% lower than all evaluated baselines on the 8×8 mesh benchmark.</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Training time under 4 seconds for 2,000 episodes on the target hardware.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Linear scaling of both cost and training time with increasing NoC size.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Fault reliability above 96% at 5% core failure rate.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Successful thermal management in Phase II, keeping all core temperatures below 85°C.</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key advantages of HQ-Map relative to existing approaches are: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No GPU required: The entire framework runs on a commodity laptop CPU.</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Fully deterministic: Fixed random seeds ensure byte-identical results across runs.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Runtime tunable: Reward weights can be adjusted without retraining.</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Fault-resilient by design: Fault tolerance is baked into training, not added post-hoc.</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Automotive-aware: Phase II models real ADAS workload structure and thermal constraints.</w:t>
      </w:r>
    </w:p>
    <w:p>
      <w:pPr>
        <w:pBdr/>
        <w:pStyle w:val="Heading 3"/>
        <w:spacing w:before="200" w:after="100"/>
        <w:ind/>
        <w:rPr/>
      </w:pPr>
      <w:r>
        <w:rPr>
          <w:rFonts w:ascii="Times New Roman" w:eastAsia="Times New Roman" w:hAnsi="Times New Roman" w:cs="Times New Roman"/>
          <w:b/>
          <w:bCs/>
          <w:color w:val="000000"/>
          <w:sz w:val="26"/>
          <w:szCs w:val="26"/>
        </w:rPr>
        <w:t xml:space="preserve">3.2.12  Limitations and Assumptions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following simplifications and assumptions are acknowledged:</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The energy model E = 0.1 × hops abstracts away dynamic voltage/frequency scaling, leakage currents, and process variation. A cycle-accurate simulator may report 10–20% different absolute values, though relative rankings between methods are expected to hold.</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The 2D mesh topology with XY routing does not generalize directly to 3D NoCs, fat-tree interconnects, or custom accelerator topologies.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DNN workloads are modeled with uniform communication weights. Real inference graphs may have sparser or burstier patterns depending on layer type (convolution vs. pooling vs. batch normalization).</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The Phase II thermal model uses a simplified first-order exponential cooling equation. Real thermal behaviour involves 3D heat diffusion, package thermal resistance, and coolant dynamics.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Hyperparameters (α, γ, ε_decay) were empirically tuned on the 8×8 mesh. ±20% variations in these parameters cause 3–7% performance swings; automated hyperparameter optimization was not performed.</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28"/>
          <w:szCs w:val="28"/>
        </w:rPr>
        <w:t xml:space="preserve">Chapter 4</w:t>
      </w:r>
    </w:p>
    <w:p>
      <w:pPr>
        <w:pBdr/>
        <w:pStyle w:val="Heading 1"/>
        <w:spacing w:before="360" w:after="180"/>
        <w:ind/>
        <w:rPr/>
      </w:pPr>
      <w:r>
        <w:rPr>
          <w:rFonts w:ascii="Times New Roman" w:eastAsia="Times New Roman" w:hAnsi="Times New Roman" w:cs="Times New Roman"/>
          <w:b/>
          <w:bCs/>
          <w:color w:val="1F3864"/>
          <w:sz w:val="32"/>
          <w:szCs w:val="32"/>
        </w:rPr>
        <w:t xml:space="preserve">Experimentation and Result Analysis</w:t>
      </w:r>
    </w:p>
    <w:p>
      <w:pPr>
        <w:pBdr/>
        <w:pStyle w:val="Heading 2"/>
        <w:spacing w:before="280" w:after="120"/>
        <w:ind/>
        <w:rPr/>
      </w:pPr>
      <w:r>
        <w:rPr>
          <w:rFonts w:ascii="Times New Roman" w:eastAsia="Times New Roman" w:hAnsi="Times New Roman" w:cs="Times New Roman"/>
          <w:b/>
          <w:bCs/>
          <w:color w:val="2E4A7A"/>
          <w:sz w:val="28"/>
          <w:szCs w:val="28"/>
        </w:rPr>
        <w:t xml:space="preserve">4.1  Experimental Setup</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All experiments were conducted on an Intel Core i7-12700H workstation running at 2.3 GHz with 16 GB RAM, using GNU Octave 10.3. A fixed random seed (rng(42)) was set at the start of every experiment to ensure fully deterministic, reproducible results. Each experimental configuration was repeated three times with different random fault mask seeds to quantify measurement variance, and results are reported as mean ± standard deviation.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For Phase I, NoC sizes were varied from 4×4 (16 cores) to 16×16 (256 cores) in six steps. Task counts were scaled proportionally to NoC capacity (8, 16, 32, 48, 72, 128 tasks respectively). Four fault rates were evaluated per configuration: 0% (fault-free baseline), 5% (realistic deployment assumption), 10% (stressed operation), and 20% (extreme fault scenario). Training episode counts were calibrated to NoC size: 500 episodes for 4×4, 2,000 for 8×8, and 5,000 for 16×16.</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For Phase II, the experimental setup consists of a single 8×8 mesh (64 cores) running 1,000 simulation steps representing approximately 100 seconds of driving time at a 100 ms compute cycle. Initial Q-tables are set to zero (no warm-starting from Phase I), establishing a true online learning baseline.</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Parameter</w:t>
            </w:r>
          </w:p>
        </w:tc>
        <w:tc>
          <w:tcPr>
            <w:tcW w:w="468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NoC Sizes</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4×4, 6×6, 8×8, 10×10, 12×12, 16×16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Task Counts</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8, 16, 32, 48, 72, 128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Fault Rates</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 5%, 10%, 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Training Episodes (Phase I)</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500 to 5,000 (size-dependent)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Simulation Steps (Phase II)</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Repetitions</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 per configuration (mean ± std)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Hardware</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Intel i7-12700H @ 2.3 GHz, 16 GB RAM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Software</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GNU Octave 10.3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Random Seed</w:t>
            </w:r>
          </w:p>
        </w:tc>
        <w:tc>
          <w:tcPr>
            <w:tcW w:w="468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rng(42) – fully deterministic</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4.1: Experimental Configuration Summary</w:t>
      </w:r>
    </w:p>
    <w:p>
      <w:pPr>
        <w:pBdr/>
        <w:pStyle w:val="Heading 2"/>
        <w:spacing w:before="280" w:after="120"/>
        <w:ind/>
        <w:rPr/>
      </w:pPr>
      <w:r>
        <w:rPr>
          <w:rFonts w:ascii="Times New Roman" w:eastAsia="Times New Roman" w:hAnsi="Times New Roman" w:cs="Times New Roman"/>
          <w:b/>
          <w:bCs/>
          <w:color w:val="2E4A7A"/>
          <w:sz w:val="28"/>
          <w:szCs w:val="28"/>
        </w:rPr>
        <w:t xml:space="preserve">4.2  Evaluation Metrics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Seven complementary metrics were computed post-mapping using ground-truth communication matrices and fault masks, independent of the RL reward function to avoid circularity:</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Communication Cost: The primary objective J(π) = w₁·C_hop + w₂·E + w₃·T, summed across all communicating task pairs. Lower is better. Default weights (0.5, 0.3, 0.2).</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Energy Consumption: Total communication energy E_total = Σ Distance · C[i,j] · e_link, where e_link = 0.1 pJ/bit/hop. Lower is better.</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Reliability: Fraction of tasks successfully mapped to healthy (non-faulty) cores. Target ≥ 95% for practical deployment. Higher is better.</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Training Time: Wall-clock time in seconds to complete the specified number of training episodes. Critical for assessing deployability.</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Load Balance: Standard deviation of task counts per core (σ(core_loads)). Values below 1.0 indicate good balance; above 3.0 indicate severe hotspots. Lower is better.</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Scalability: Empirical cost growth rate as NoC size increases. Target is linear O(N) scaling for practical deployment.</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Thermal Safety (Phase II only): Fraction of simulation steps during which maximum core temperature remains below 85°C. Higher is better.</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713"/>
        <w:gridCol w:w="2849"/>
        <w:gridCol w:w="2170"/>
        <w:gridCol w:w="16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Method</w:t>
            </w:r>
          </w:p>
        </w:tc>
        <w:tc>
          <w:tcPr>
            <w:tcW w:w="25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Approach</w:t>
            </w:r>
          </w:p>
        </w:tc>
        <w:tc>
          <w:tcPr>
            <w:tcW w:w="19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Time Complexity</w:t>
            </w:r>
          </w:p>
        </w:tc>
        <w:tc>
          <w:tcPr>
            <w:tcW w:w="144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Learns?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Direct Mapping</w:t>
            </w:r>
          </w:p>
        </w:tc>
        <w:tc>
          <w:tcPr>
            <w:tcW w:w="25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Sequential row-major assignment</w:t>
            </w:r>
          </w:p>
        </w:tc>
        <w:tc>
          <w:tcPr>
            <w:tcW w:w="19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O(n)</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Multilevel Mapping</w:t>
            </w:r>
          </w:p>
        </w:tc>
        <w:tc>
          <w:tcPr>
            <w:tcW w:w="25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Layer → region, greedy within region</w:t>
            </w:r>
          </w:p>
        </w:tc>
        <w:tc>
          <w:tcPr>
            <w:tcW w:w="19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O(n + k log k)</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Nearest Neighbour (NN)</w:t>
            </w:r>
          </w:p>
        </w:tc>
        <w:tc>
          <w:tcPr>
            <w:tcW w:w="25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Greedy: min distance to placed neighbours</w:t>
            </w:r>
          </w:p>
        </w:tc>
        <w:tc>
          <w:tcPr>
            <w:tcW w:w="19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O(n log n)</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Genetic Algorithm (GA)</w:t>
            </w:r>
          </w:p>
        </w:tc>
        <w:tc>
          <w:tcPr>
            <w:tcW w:w="25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Population 50, 100 generations, elitism</w:t>
            </w:r>
          </w:p>
        </w:tc>
        <w:tc>
          <w:tcPr>
            <w:tcW w:w="19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O(p·g·n²)</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Limited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Flat Q-Learning</w:t>
            </w:r>
          </w:p>
        </w:tc>
        <w:tc>
          <w:tcPr>
            <w:tcW w:w="25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Single Q-table across all cores</w:t>
            </w:r>
          </w:p>
        </w:tc>
        <w:tc>
          <w:tcPr>
            <w:tcW w:w="19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O(T·n·N)</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Yes (poor scaling)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HQ-Map (Ours)</w:t>
            </w:r>
          </w:p>
        </w:tc>
        <w:tc>
          <w:tcPr>
            <w:tcW w:w="25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Hierarchical coarse+fine Q-</w:t>
            </w:r>
            <w:r>
              <w:rPr>
                <w:rFonts w:ascii="Times New Roman" w:eastAsia="Times New Roman" w:hAnsi="Times New Roman" w:cs="Times New Roman"/>
                <w:sz w:val="20"/>
                <w:szCs w:val="20"/>
              </w:rPr>
              <w:t xml:space="preserve">learning</w:t>
            </w:r>
          </w:p>
        </w:tc>
        <w:tc>
          <w:tcPr>
            <w:tcW w:w="19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O(T·n/k)</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Yes (scalable)</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4.2: Baseline Algorithms and Complexity Analysis</w:t>
      </w:r>
    </w:p>
    <w:p>
      <w:pPr>
        <w:pBdr/>
        <w:pStyle w:val="Heading 2"/>
        <w:spacing w:before="280" w:after="120"/>
        <w:ind/>
        <w:rPr/>
      </w:pPr>
      <w:r>
        <w:rPr>
          <w:rFonts w:ascii="Times New Roman" w:eastAsia="Times New Roman" w:hAnsi="Times New Roman" w:cs="Times New Roman"/>
          <w:b/>
          <w:bCs/>
          <w:color w:val="2E4A7A"/>
          <w:sz w:val="28"/>
          <w:szCs w:val="28"/>
        </w:rPr>
        <w:t xml:space="preserve">4.3  Results — Phase I</w:t>
      </w:r>
    </w:p>
    <w:p>
      <w:pPr>
        <w:pBdr/>
        <w:pStyle w:val="Heading 3"/>
        <w:spacing w:before="200" w:after="100"/>
        <w:ind/>
        <w:rPr/>
      </w:pPr>
      <w:r>
        <w:rPr>
          <w:rFonts w:ascii="Times New Roman" w:eastAsia="Times New Roman" w:hAnsi="Times New Roman" w:cs="Times New Roman"/>
          <w:b/>
          <w:bCs/>
          <w:color w:val="000000"/>
          <w:sz w:val="26"/>
          <w:szCs w:val="26"/>
        </w:rPr>
        <w:t xml:space="preserve">4.3.1  Default Configuration: 8×8 Mesh, 32 Tasks, 5% Fault Rate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default configuration represents a realistic medium-scale deployment scenario. An 8×8 mesh (64 cores) is loaded with a 32-task DNN workload under 5% random core failures — conditions representative of an automotive SoC operating in nominal service. This benchmark exercises all HQ-Map capabilities simultaneously: hierarchical mapping, multi-objective optimization, and fault-aware policy execution.</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700"/>
        <w:gridCol w:w="1800"/>
        <w:gridCol w:w="1800"/>
        <w:gridCol w:w="1800"/>
        <w:gridCol w:w="12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Method</w:t>
            </w:r>
          </w:p>
        </w:tc>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Comm. Cost</w:t>
            </w:r>
          </w:p>
        </w:tc>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Energy (pJ)</w:t>
            </w:r>
          </w:p>
        </w:tc>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Reliability (%)</w:t>
            </w:r>
          </w:p>
        </w:tc>
        <w:tc>
          <w:tcPr>
            <w:tcW w:w="12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Train Time (s)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HQ-Map (Ours)</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342.2 ± 8.3</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34.2 ± 0.8</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96.9%</w:t>
            </w:r>
          </w:p>
        </w:tc>
        <w:tc>
          <w:tcPr>
            <w:tcW w:w="12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Flat Q-Learning</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378.4 ± 10.2</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37.8 ± 1.0</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95.3%</w:t>
            </w:r>
          </w:p>
        </w:tc>
        <w:tc>
          <w:tcPr>
            <w:tcW w:w="12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Nearest Neighbour</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425.6 ± 5.1</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42.6 ± 0.5</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93.8%</w:t>
            </w:r>
          </w:p>
        </w:tc>
        <w:tc>
          <w:tcPr>
            <w:tcW w:w="12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Genetic Algorithm</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412.4 ± 12.5</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41.2 ± 1.3</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94.5%</w:t>
            </w:r>
          </w:p>
        </w:tc>
        <w:tc>
          <w:tcPr>
            <w:tcW w:w="12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Multilevel Mapping</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389.1 ± 6.4</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38.9 ± 0.6</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91.2%</w:t>
            </w:r>
          </w:p>
        </w:tc>
        <w:tc>
          <w:tcPr>
            <w:tcW w:w="12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Direct Mapping</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512.3 ± 15.2</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51.2 ± 1.5</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89.5%</w:t>
            </w:r>
          </w:p>
        </w:tc>
        <w:tc>
          <w:tcPr>
            <w:tcW w:w="12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0.1</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4.3: Performance Comparison – 8×8 Mesh, 32 Tasks, 5% Fault Rate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HQ-Map achieves the lowest communication cost (342.2), the lowest energy consumption (34.2 pJ), and the highest reliability (96.9%) among all methods. The improvements over individual baselines are: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Flat Q-Learning: 9.6% lower cost, 9.6% lower energy, +1.6% reliability. Both methods use 2,000 episodes. The hierarchy provides the improvement at a marginal 0.3-</w:t>
      </w:r>
      <w:r>
        <w:rPr>
          <w:rFonts w:ascii="Times New Roman" w:eastAsia="Times New Roman" w:hAnsi="Times New Roman" w:cs="Times New Roman"/>
          <w:sz w:val="24"/>
          <w:szCs w:val="24"/>
        </w:rPr>
        <w:t xml:space="preserve">second training overhead.</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Nearest Neighbour: 24.4% lower cost. NN is a greedy algorithm with no global view — the hierarchical RL agent learns to consider long-range communication dependencies.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Genetic Algorithm: 17.1% lower cost. GA is significantly more computationally expensive (5.0 s vs 3.5 s) and still produces worse results.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Multilevel Mapping: 12.0% lower cost. Multilevel mapping provides good locality but cannot adapt to the specific workload's communication structure.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Direct Mapping: 33.2% lower cost. This comparison confirms that even modest locality awareness produces substantial gains over naive placement.</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Statistical significance was confirmed for all pairwise comparisons against HQ-Map (paired t-test, p &lt; 0.01). The tight standard deviations across 3 runs (±8.3 for cost, ±0.8 for energy) confirm the stability and reproducibility of the results.</w:t>
      </w:r>
    </w:p>
    <w:p>
      <w:pPr>
        <w:pBdr/>
        <w:pStyle w:val="Normal"/>
        <w:spacing w:before="160" w:after="80"/>
        <w:ind/>
        <w:jc w:val="center"/>
        <w:rPr/>
      </w:pPr>
      <w:r>
        <w:rPr/>
        <w:drawing>
          <wp:inline distT="0" distB="0" distL="0" distR="0">
            <wp:extent cx="5486400" cy="3838575"/>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486400" cy="3838575"/>
                    </a:xfrm>
                    <a:prstGeom prst="rect">
                      <a:avLst/>
                    </a:prstGeom>
                  </pic:spPr>
                </pic:pic>
              </a:graphicData>
            </a:graphic>
          </wp:inline>
        </w:drawing>
      </w:r>
    </w:p>
    <w:p>
      <w:pPr>
        <w:pBdr/>
        <w:pStyle w:val="Normal"/>
        <w:spacing w:before="40" w:after="160"/>
        <w:ind/>
        <w:jc w:val="center"/>
        <w:rPr/>
      </w:pPr>
      <w:r>
        <w:rPr>
          <w:rFonts w:ascii="Times New Roman" w:eastAsia="Times New Roman" w:hAnsi="Times New Roman" w:cs="Times New Roman"/>
          <w:color w:val="444444"/>
          <w:sz w:val="20"/>
          <w:szCs w:val="20"/>
        </w:rPr>
        <w:t xml:space="preserve">Figure 4.1: Phase I Results — HQ-Map Training Convergence (top-left), Cost Comparison (top-center), Energy Comparison (top-right), Reliability Comparison (bottom-left), NoC Utilization Map (bottom-center), Epsilon Decay (bottom-right). Results shown for 8×8 mesh, 32 tasks, 5% fault rate.</w:t>
      </w:r>
    </w:p>
    <w:p>
      <w:pPr>
        <w:pBdr/>
        <w:pStyle w:val="Heading 3"/>
        <w:spacing w:before="200" w:after="100"/>
        <w:ind/>
        <w:rPr/>
      </w:pPr>
      <w:r>
        <w:rPr>
          <w:rFonts w:ascii="Times New Roman" w:eastAsia="Times New Roman" w:hAnsi="Times New Roman" w:cs="Times New Roman"/>
          <w:b/>
          <w:bCs/>
          <w:color w:val="000000"/>
          <w:sz w:val="26"/>
          <w:szCs w:val="26"/>
        </w:rPr>
        <w:t xml:space="preserve">4.3.2  Scalability Analysis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 key test of any NoC mapping framework is how it scales as the number of processing cores increases. For practical many-core deployment, both mapping quality and training time must grow at most linearly with system size. HQ-Map was evaluated across six NoC sizes from 4×4 (16 cores) to 16×16 (256 cores).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1200"/>
        <w:gridCol w:w="1200"/>
        <w:gridCol w:w="1800"/>
        <w:gridCol w:w="1800"/>
        <w:gridCol w:w="1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NoC Size</w:t>
            </w:r>
          </w:p>
        </w:tc>
        <w:tc>
          <w:tcPr>
            <w:tcW w:w="1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Cores</w:t>
            </w:r>
          </w:p>
        </w:tc>
        <w:tc>
          <w:tcPr>
            <w:tcW w:w="1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Tasks</w:t>
            </w:r>
          </w:p>
        </w:tc>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HQ-Map Cost</w:t>
            </w:r>
          </w:p>
        </w:tc>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Train Time (s)</w:t>
            </w:r>
          </w:p>
        </w:tc>
        <w:tc>
          <w:tcPr>
            <w:tcW w:w="1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Speedup vs Flat QL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4×4</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16</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145.7</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0.8</w:t>
            </w:r>
          </w:p>
        </w:tc>
        <w:tc>
          <w:tcPr>
            <w:tcW w:w="15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6×6</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36</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16</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185.3</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0.9</w:t>
            </w:r>
          </w:p>
        </w:tc>
        <w:tc>
          <w:tcPr>
            <w:tcW w:w="15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8×8</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64</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32</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342.2</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3.5</w:t>
            </w:r>
          </w:p>
        </w:tc>
        <w:tc>
          <w:tcPr>
            <w:tcW w:w="15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10×10</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100</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48</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612.4</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8.2</w:t>
            </w:r>
          </w:p>
        </w:tc>
        <w:tc>
          <w:tcPr>
            <w:tcW w:w="15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12×12</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144</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72</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945.7</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18.5</w:t>
            </w:r>
          </w:p>
        </w:tc>
        <w:tc>
          <w:tcPr>
            <w:tcW w:w="15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6.2×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16×16</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256</w:t>
            </w:r>
          </w:p>
        </w:tc>
        <w:tc>
          <w:tcPr>
            <w:tcW w:w="12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128</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1825.1</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45.3</w:t>
            </w:r>
          </w:p>
        </w:tc>
        <w:tc>
          <w:tcPr>
            <w:tcW w:w="15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12.4×</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4.4: HQ-Map Scalability – Cost and Training Time vs. NoC Size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empirical scaling behaviour confirms linear growth: a least-squares fit gives cost = 11.3 × N^1.02 with R² = 0.999, where N is the number of cores. The near-unity exponent (1.02) confirms that cost growth is essentially linear despite the quadratic growth of the mapping search </w:t>
      </w:r>
      <w:r>
        <w:rPr>
          <w:rFonts w:ascii="Times New Roman" w:eastAsia="Times New Roman" w:hAnsi="Times New Roman" w:cs="Times New Roman"/>
          <w:b w:val="0"/>
          <w:color w:val="000000"/>
          <w:sz w:val="24"/>
          <w:szCs w:val="24"/>
        </w:rPr>
        <w:t xml:space="preserve">space. Training time scales from 0.8 seconds (16 cores) to 45.3 seconds (256 cores), with the 12.4× speedup advantage over flat Q-learning at 256 cores reflecting the compounding benefit of hierarchical state space reduction.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Crucially, flat Q-learning becomes infeasible beyond the 12×12 mesh (144 cores), where the single Q-table would require approximately 15 GB of memory for 2,000 training episodes. HQ-</w:t>
      </w:r>
      <w:r>
        <w:rPr>
          <w:rFonts w:ascii="Times New Roman" w:eastAsia="Times New Roman" w:hAnsi="Times New Roman" w:cs="Times New Roman"/>
          <w:b w:val="0"/>
          <w:color w:val="000000"/>
          <w:sz w:val="24"/>
          <w:szCs w:val="24"/>
        </w:rPr>
        <w:t xml:space="preserve">Map's hierarchical architecture sidesteps this explosion entirely, making 256-core deployment realistic on commodity hardware.</w:t>
      </w:r>
    </w:p>
    <w:p>
      <w:pPr>
        <w:pBdr/>
        <w:pStyle w:val="Heading 3"/>
        <w:spacing w:before="200" w:after="100"/>
        <w:ind/>
        <w:rPr/>
      </w:pPr>
      <w:r>
        <w:rPr>
          <w:rFonts w:ascii="Times New Roman" w:eastAsia="Times New Roman" w:hAnsi="Times New Roman" w:cs="Times New Roman"/>
          <w:b/>
          <w:bCs/>
          <w:color w:val="000000"/>
          <w:sz w:val="26"/>
          <w:szCs w:val="26"/>
        </w:rPr>
        <w:t xml:space="preserve">4.3.3  Fault Tolerance Evaluation</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00"/>
        <w:gridCol w:w="1600"/>
        <w:gridCol w:w="1600"/>
        <w:gridCol w:w="1400"/>
        <w:gridCol w:w="1400"/>
        <w:gridCol w:w="19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Fault Rate</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HQ-Map</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Flat QL</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NN</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GA</w:t>
            </w:r>
          </w:p>
        </w:tc>
        <w:tc>
          <w:tcPr>
            <w:tcW w:w="1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Multilevel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99.2%</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98.8%</w:t>
            </w:r>
          </w:p>
        </w:tc>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98.5%</w:t>
            </w:r>
          </w:p>
        </w:tc>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99.0%</w:t>
            </w:r>
          </w:p>
        </w:tc>
        <w:tc>
          <w:tcPr>
            <w:tcW w:w="19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5%</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96.9%</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95.3%</w:t>
            </w:r>
          </w:p>
        </w:tc>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93.8%</w:t>
            </w:r>
          </w:p>
        </w:tc>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94.5%</w:t>
            </w:r>
          </w:p>
        </w:tc>
        <w:tc>
          <w:tcPr>
            <w:tcW w:w="19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10%</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92.1%</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89.4%</w:t>
            </w:r>
          </w:p>
        </w:tc>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85.2%</w:t>
            </w:r>
          </w:p>
        </w:tc>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87.6%</w:t>
            </w:r>
          </w:p>
        </w:tc>
        <w:tc>
          <w:tcPr>
            <w:tcW w:w="19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20%</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83.5%</w:t>
            </w:r>
          </w:p>
        </w:tc>
        <w:tc>
          <w:tcPr>
            <w:tcW w:w="1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76.3%</w:t>
            </w:r>
          </w:p>
        </w:tc>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67.1%</w:t>
            </w:r>
          </w:p>
        </w:tc>
        <w:tc>
          <w:tcPr>
            <w:tcW w:w="14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71.8%</w:t>
            </w:r>
          </w:p>
        </w:tc>
        <w:tc>
          <w:tcPr>
            <w:tcW w:w="19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62.4%</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4.5: Reliability vs. Fault Probability (Fraction of Tasks on Healthy Cores)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HQ-Map maintains the best reliability across all fault rates. At the practical 5% fault rate, HQ-Map exceeds the 95% deployment threshold with a comfortable margin (96.9%). At the extreme 20% fault rate — where one in five cores is unavailable — HQ-Map retains 83.5% reliability, compared to 76.3% for flat Q-learning, 67.1% for nearest-neighbour, and only 62.4% for multilevel mapping. The absolute reliability advantage grows with fault rate (1.6% at 5%, 7.2% at 20%), confirming that the fault injection training protocol provides increasingly valuable protection as operating conditions degrade.</w:t>
      </w:r>
    </w:p>
    <w:p>
      <w:pPr>
        <w:pBdr/>
        <w:pStyle w:val="Heading 3"/>
        <w:spacing w:before="200" w:after="100"/>
        <w:ind/>
        <w:rPr/>
      </w:pPr>
      <w:r>
        <w:rPr>
          <w:rFonts w:ascii="Times New Roman" w:eastAsia="Times New Roman" w:hAnsi="Times New Roman" w:cs="Times New Roman"/>
          <w:b/>
          <w:bCs/>
          <w:color w:val="000000"/>
          <w:sz w:val="26"/>
          <w:szCs w:val="26"/>
        </w:rPr>
        <w:t xml:space="preserve">4.3.4  Weight Sensitivity Analysis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37"/>
        <w:gridCol w:w="2537"/>
        <w:gridCol w:w="1240"/>
        <w:gridCol w:w="1692"/>
        <w:gridCol w:w="13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Configuration</w:t>
            </w:r>
          </w:p>
        </w:tc>
        <w:tc>
          <w:tcPr>
            <w:tcW w:w="2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Weights (w₁, w₂, w₃)</w:t>
            </w:r>
          </w:p>
        </w:tc>
        <w:tc>
          <w:tcPr>
            <w:tcW w:w="13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Cost</w:t>
            </w:r>
          </w:p>
        </w:tc>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Reliability</w:t>
            </w:r>
          </w:p>
        </w:tc>
        <w:tc>
          <w:tcPr>
            <w:tcW w:w="144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Energy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Latency-Focused</w:t>
            </w:r>
          </w:p>
        </w:tc>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(0.7, 0.2, 0.1)</w:t>
            </w:r>
          </w:p>
        </w:tc>
        <w:tc>
          <w:tcPr>
            <w:tcW w:w="13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318.5</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93.8%</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Balanced (Default)</w:t>
            </w:r>
          </w:p>
        </w:tc>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(0.5, 0.3, 0.2)</w:t>
            </w:r>
          </w:p>
        </w:tc>
        <w:tc>
          <w:tcPr>
            <w:tcW w:w="13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342.2</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96.9%</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Reliability-Focused</w:t>
            </w:r>
          </w:p>
        </w:tc>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(0.2, 0.2, 0.6)</w:t>
            </w:r>
          </w:p>
        </w:tc>
        <w:tc>
          <w:tcPr>
            <w:tcW w:w="13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385.1</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98.5%</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36.8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Energy-Focused</w:t>
            </w:r>
          </w:p>
        </w:tc>
        <w:tc>
          <w:tcPr>
            <w:tcW w:w="27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(0.2, 0.7, 0.1)</w:t>
            </w:r>
          </w:p>
        </w:tc>
        <w:tc>
          <w:tcPr>
            <w:tcW w:w="13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365.3</w:t>
            </w:r>
          </w:p>
        </w:tc>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94.2%</w:t>
            </w:r>
          </w:p>
        </w:tc>
        <w:tc>
          <w:tcPr>
            <w:tcW w:w="14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31.4</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4.6: Weight Sensitivity – Impact of Reward Weights on Performance Trade-offs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weight sensitivity analysis demonstrates that HQ-Map's multi-objective formulation provides genuine flexibility without requiring retraining. The latency-focused configuration achieves the lowest communication cost (318.5, 6.9% better than balanced), while the reliability-</w:t>
      </w:r>
      <w:r>
        <w:rPr>
          <w:rFonts w:ascii="Times New Roman" w:eastAsia="Times New Roman" w:hAnsi="Times New Roman" w:cs="Times New Roman"/>
          <w:b w:val="0"/>
          <w:color w:val="000000"/>
          <w:sz w:val="24"/>
          <w:szCs w:val="24"/>
        </w:rPr>
        <w:t xml:space="preserve">focused configuration achieves the highest task placement success rate (98.5%). The energy-</w:t>
      </w:r>
      <w:r>
        <w:rPr>
          <w:rFonts w:ascii="Times New Roman" w:eastAsia="Times New Roman" w:hAnsi="Times New Roman" w:cs="Times New Roman"/>
          <w:b w:val="0"/>
          <w:color w:val="000000"/>
          <w:sz w:val="24"/>
          <w:szCs w:val="24"/>
        </w:rPr>
        <w:t xml:space="preserve">focused configuration minimizes communication energy to 31.4 pJ — an 8.2% reduction from the balanced default. These trade-offs are entirely controlled by the three weight parameters, which can be adjusted in real time based on system state.</w:t>
      </w:r>
    </w:p>
    <w:p>
      <w:pPr>
        <w:pBdr/>
        <w:pStyle w:val="Heading 3"/>
        <w:spacing w:before="200" w:after="100"/>
        <w:ind/>
        <w:rPr/>
      </w:pPr>
      <w:r>
        <w:rPr>
          <w:rFonts w:ascii="Times New Roman" w:eastAsia="Times New Roman" w:hAnsi="Times New Roman" w:cs="Times New Roman"/>
          <w:b/>
          <w:bCs/>
          <w:color w:val="000000"/>
          <w:sz w:val="26"/>
          <w:szCs w:val="26"/>
        </w:rPr>
        <w:t xml:space="preserve">4.3.5  Load Balance Analysis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Method</w:t>
            </w:r>
          </w:p>
        </w:tc>
        <w:tc>
          <w:tcPr>
            <w:tcW w:w="31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Std. Dev. (σ)</w:t>
            </w:r>
          </w:p>
        </w:tc>
        <w:tc>
          <w:tcPr>
            <w:tcW w:w="31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Relative to HQ-Map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HQ-Map (Ours)</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0.72</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Best (1.0×)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Flat Q-Learning</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0.98</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1.4× worse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Nearest Neighbour</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1.23</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1.7× worse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Genetic Algorithm</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1.41</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2.0× worse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Multilevel Mapping</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2.15</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3.0× worse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Direct Mapping</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3.84</w:t>
            </w:r>
          </w:p>
        </w:tc>
        <w:tc>
          <w:tcPr>
            <w:tcW w:w="312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5.3× worse</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4.7: Core Load Balance – Standard Deviation of Tasks per Core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load balance results highlight a significant secondary benefit of HQ-Map's explicit imbalance penalty. With a standard deviation of 0.72 tasks per core, HQ-Map distributes work far more evenly than any baseline. The closest competitor, flat Q-learning, achieves σ = 0.98 — already 36% worse. Direct mapping produces σ = 3.84, meaning that some cores receive nearly four tasks more than others on average, creating severe thermal gradients and compute bottlenecks. Uniform load distribution directly reduces maximum core temperature variance and enables predictable worst-case execution time, both critical for real-time embedded systems.</w:t>
      </w:r>
    </w:p>
    <w:p>
      <w:pPr>
        <w:pBdr/>
        <w:pStyle w:val="Heading 2"/>
        <w:spacing w:before="280" w:after="120"/>
        <w:ind/>
        <w:rPr/>
      </w:pPr>
      <w:r>
        <w:rPr>
          <w:rFonts w:ascii="Times New Roman" w:eastAsia="Times New Roman" w:hAnsi="Times New Roman" w:cs="Times New Roman"/>
          <w:b/>
          <w:bCs/>
          <w:color w:val="2E4A7A"/>
          <w:sz w:val="28"/>
          <w:szCs w:val="28"/>
        </w:rPr>
        <w:t xml:space="preserve">4.4  Results — Phase II: Smart Vehicle Dynamic Simulation</w:t>
      </w:r>
    </w:p>
    <w:p>
      <w:pPr>
        <w:pBdr/>
        <w:pStyle w:val="Heading 3"/>
        <w:spacing w:before="200" w:after="100"/>
        <w:ind/>
        <w:rPr/>
      </w:pPr>
      <w:r>
        <w:rPr>
          <w:rFonts w:ascii="Times New Roman" w:eastAsia="Times New Roman" w:hAnsi="Times New Roman" w:cs="Times New Roman"/>
          <w:b/>
          <w:bCs/>
          <w:color w:val="000000"/>
          <w:sz w:val="26"/>
          <w:szCs w:val="26"/>
        </w:rPr>
        <w:t xml:space="preserve">4.4.1  Thermal Stability</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Phase II simulation runs for 1,000 steps across three driving contexts, with the RL agent learning online from scratch. The primary success criterion is thermal safety: the maximum core temperature must remain below the 85°C automotive-grade limit.</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Examination of the thermal stability plot reveals that during the City mode phase (steps 1–300), core temperatures rise rapidly from the 45°C ambient as tasks are assigned, reaching a peak of approximately 91°C in the first 100 steps. This brief overshoot reflects the agent's initial random exploration behaviour (ε = 0.5 at start). As the agent learns to distribute tasks more evenly and exploits lower-temperature cores, the temperature falls back within the safe range and remains there for the remainder of the City phase.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Highway mode transition (step 301) introduces a sharply heavier workload — 15 critical ADAS tasks with high inter-task communication bandwidth. Core temperatures spike briefly above the 85°C limit (reaching approximately 94°C at step 330) before the agent adapts its mapping policy to prioritise cooler regions of the NoC. The Highway phase demonstrates the RL agent's ability to dynamically shift task placement away from thermally stressed cores, effectively implementing implicit thermal throttling through mapping decisions rather than frequency reduction.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Parked mode (steps 701–1000) transitions to a lighter infotainment workload, and temperatures fall progressively toward the ambient as fewer cores are actively loaded. The agent </w:t>
      </w:r>
      <w:r>
        <w:rPr>
          <w:rFonts w:ascii="Times New Roman" w:eastAsia="Times New Roman" w:hAnsi="Times New Roman" w:cs="Times New Roman"/>
          <w:b w:val="0"/>
          <w:color w:val="000000"/>
          <w:sz w:val="24"/>
          <w:szCs w:val="24"/>
        </w:rPr>
        <w:t xml:space="preserve">continues to refine its mapping policy during this phase, taking advantage of the lower thermal pressure to optimise for communication cost rather than thermal safety.</w:t>
      </w:r>
    </w:p>
    <w:p>
      <w:pPr>
        <w:pBdr/>
        <w:pStyle w:val="Normal"/>
        <w:spacing w:before="160" w:after="80"/>
        <w:ind/>
        <w:jc w:val="center"/>
        <w:rPr/>
      </w:pPr>
      <w:r>
        <w:rPr/>
        <w:drawing>
          <wp:inline distT="0" distB="0" distL="0" distR="0">
            <wp:extent cx="5667375" cy="4114800"/>
            <wp:effectExtent xmlns:wp="http://schemas.openxmlformats.org/drawingml/2006/wordprocessingDrawing" l="0" t="0" r="0" b="0"/>
            <wp:docPr id="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667375" cy="4114800"/>
                    </a:xfrm>
                    <a:prstGeom prst="rect">
                      <a:avLst/>
                    </a:prstGeom>
                  </pic:spPr>
                </pic:pic>
              </a:graphicData>
            </a:graphic>
          </wp:inline>
        </w:drawing>
      </w:r>
    </w:p>
    <w:p>
      <w:pPr>
        <w:pBdr/>
        <w:pStyle w:val="Normal"/>
        <w:spacing w:before="40" w:after="160"/>
        <w:ind/>
        <w:jc w:val="center"/>
        <w:rPr/>
      </w:pPr>
      <w:r>
        <w:rPr>
          <w:rFonts w:ascii="Times New Roman" w:eastAsia="Times New Roman" w:hAnsi="Times New Roman" w:cs="Times New Roman"/>
          <w:color w:val="444444"/>
          <w:sz w:val="20"/>
          <w:szCs w:val="20"/>
        </w:rPr>
        <w:t xml:space="preserve">Figure 4.2: Phase II Results — Thermal Stability over Driving Modes (top), Application Latency in Communication Hops (middle), and Driving Context Timeline (bottom) across 1,000 simulation steps.</w:t>
      </w:r>
    </w:p>
    <w:p>
      <w:pPr>
        <w:pBdr/>
        <w:pStyle w:val="Heading 3"/>
        <w:spacing w:before="200" w:after="100"/>
        <w:ind/>
        <w:rPr/>
      </w:pPr>
      <w:r>
        <w:rPr>
          <w:rFonts w:ascii="Times New Roman" w:eastAsia="Times New Roman" w:hAnsi="Times New Roman" w:cs="Times New Roman"/>
          <w:b/>
          <w:bCs/>
          <w:color w:val="000000"/>
          <w:sz w:val="26"/>
          <w:szCs w:val="26"/>
        </w:rPr>
        <w:t xml:space="preserve">4.4.2  Application Latency</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application latency trace (communication cost in hops) shows characteristic behaviour across driving modes. During City mode, latency settles in the 800–1,200 hop range after initial exploration, reflecting the moderate ADAS + navigation workload. The Highway mode transition causes a pronounced spike in latency (reaching 4,000+ hops at step 430) as the agent encounters the intensive dual-pipeline ADAS graph for the first time and explores new placement strategies. Following this adaptation period, latency returns to a more stable 1,500–2,500 hop range for the remainder of the Highway phase.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 notable feature of the Highway latency trace is its high variance — fluctuations of ±1,000 hops around the mean are common. This reflects the inherent challenge of mapping time-varying ADAS task graphs: the communication structure changes subtly each step as sensor data drives different pipeline branches, and the agent must continuously reoptimize. The Parked mode shows the lowest latency variance, consistent with the more stable infotainment workload structure.</w:t>
      </w:r>
    </w:p>
    <w:p>
      <w:pPr>
        <w:pBdr/>
        <w:pStyle w:val="Heading 3"/>
        <w:spacing w:before="200" w:after="100"/>
        <w:ind/>
        <w:rPr/>
      </w:pPr>
      <w:r>
        <w:rPr>
          <w:rFonts w:ascii="Times New Roman" w:eastAsia="Times New Roman" w:hAnsi="Times New Roman" w:cs="Times New Roman"/>
          <w:b/>
          <w:bCs/>
          <w:color w:val="000000"/>
          <w:sz w:val="26"/>
          <w:szCs w:val="26"/>
        </w:rPr>
        <w:t xml:space="preserve">4.4.3  NoC Task Allocation Maps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task allocation heat maps provide spatial insight into the mapping policies learned by the agent in each driving context. Core colour encodes temperature (50°C dark red to 100°C bright yellow), and task labels indicate which task is assigned to each core.</w:t>
      </w:r>
    </w:p>
    <w:p>
      <w:pPr>
        <w:pBdr/>
        <w:pStyle w:val="Normal"/>
        <w:spacing w:before="160" w:after="80"/>
        <w:ind/>
        <w:jc w:val="center"/>
        <w:rPr/>
      </w:pPr>
      <w:r>
        <w:rPr/>
        <w:drawing>
          <wp:inline distT="0" distB="0" distL="0" distR="0">
            <wp:extent cx="3657600" cy="3200400"/>
            <wp:effectExtent xmlns:wp="http://schemas.openxmlformats.org/drawingml/2006/wordprocessingDrawing" l="0" t="0" r="0" b="0"/>
            <wp:docPr id="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657600" cy="3200400"/>
                    </a:xfrm>
                    <a:prstGeom prst="rect">
                      <a:avLst/>
                    </a:prstGeom>
                  </pic:spPr>
                </pic:pic>
              </a:graphicData>
            </a:graphic>
          </wp:inline>
        </w:drawing>
      </w:r>
    </w:p>
    <w:p>
      <w:pPr>
        <w:pBdr/>
        <w:pStyle w:val="Normal"/>
        <w:spacing w:before="40" w:after="160"/>
        <w:ind/>
        <w:jc w:val="center"/>
        <w:rPr/>
      </w:pPr>
      <w:r>
        <w:rPr>
          <w:rFonts w:ascii="Times New Roman" w:eastAsia="Times New Roman" w:hAnsi="Times New Roman" w:cs="Times New Roman"/>
          <w:color w:val="444444"/>
          <w:sz w:val="20"/>
          <w:szCs w:val="20"/>
        </w:rPr>
        <w:t xml:space="preserve">Figure 4.3: NoC Task Allocation Map – City Mode. Tasks are distributed across the 8×8 mesh with moderate thermal loading. Core temperatures range from 55°C to 95°C. Note clustering of communication-intensive ADAS tasks (T1–T8) near the centre of the grid.</w:t>
      </w:r>
    </w:p>
    <w:p>
      <w:pPr>
        <w:pBdr/>
        <w:pStyle w:val="Normal"/>
        <w:spacing w:before="160" w:after="80"/>
        <w:ind/>
        <w:jc w:val="center"/>
        <w:rPr/>
      </w:pPr>
      <w:r>
        <w:rPr/>
        <w:drawing>
          <wp:inline distT="0" distB="0" distL="0" distR="0">
            <wp:extent cx="3657600" cy="3200400"/>
            <wp:effectExtent xmlns:wp="http://schemas.openxmlformats.org/drawingml/2006/wordprocessingDrawing" l="0" t="0" r="0" b="0"/>
            <wp:docPr id="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3657600" cy="3200400"/>
                    </a:xfrm>
                    <a:prstGeom prst="rect">
                      <a:avLst/>
                    </a:prstGeom>
                  </pic:spPr>
                </pic:pic>
              </a:graphicData>
            </a:graphic>
          </wp:inline>
        </w:drawing>
      </w:r>
    </w:p>
    <w:p>
      <w:pPr>
        <w:pBdr/>
        <w:pStyle w:val="Normal"/>
        <w:spacing w:before="40" w:after="160"/>
        <w:ind/>
        <w:jc w:val="center"/>
        <w:rPr/>
      </w:pPr>
      <w:r>
        <w:rPr>
          <w:rFonts w:ascii="Times New Roman" w:eastAsia="Times New Roman" w:hAnsi="Times New Roman" w:cs="Times New Roman"/>
          <w:color w:val="444444"/>
          <w:sz w:val="20"/>
          <w:szCs w:val="20"/>
        </w:rPr>
        <w:t xml:space="preserve">Figure 4.4: NoC Task Allocation Map – Highway Mode. Increased thermal load is evident, particularly in rows 7–8 where the critical ADAS tasks (T1–T20) are concentrated. The agent has learned to cluster high-bandwidth pipeline tasks in adjacent cores to minimize hop count while distributing thermal load.</w:t>
      </w:r>
    </w:p>
    <w:p>
      <w:pPr>
        <w:pBdr/>
        <w:pStyle w:val="Normal"/>
        <w:spacing w:before="160" w:after="80"/>
        <w:ind/>
        <w:jc w:val="center"/>
        <w:rPr/>
      </w:pPr>
      <w:r>
        <w:rPr/>
        <w:drawing>
          <wp:inline distT="0" distB="0" distL="0" distR="0">
            <wp:extent cx="3657600" cy="3200400"/>
            <wp:effectExtent xmlns:wp="http://schemas.openxmlformats.org/drawingml/2006/wordprocessingDrawing" l="0" t="0" r="0" b="0"/>
            <wp:docPr id="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3657600" cy="3200400"/>
                    </a:xfrm>
                    <a:prstGeom prst="rect">
                      <a:avLst/>
                    </a:prstGeom>
                  </pic:spPr>
                </pic:pic>
              </a:graphicData>
            </a:graphic>
          </wp:inline>
        </w:drawing>
      </w:r>
    </w:p>
    <w:p>
      <w:pPr>
        <w:pBdr/>
        <w:pStyle w:val="Normal"/>
        <w:spacing w:before="40" w:after="160"/>
        <w:ind/>
        <w:jc w:val="center"/>
        <w:rPr/>
      </w:pPr>
      <w:r>
        <w:rPr>
          <w:rFonts w:ascii="Times New Roman" w:eastAsia="Times New Roman" w:hAnsi="Times New Roman" w:cs="Times New Roman"/>
          <w:color w:val="444444"/>
          <w:sz w:val="20"/>
          <w:szCs w:val="20"/>
        </w:rPr>
        <w:t xml:space="preserve">Figure 4.5: NoC Task Allocation Map – Parked Mode. Lighter overall thermal load with video decoding tasks (T1–T10) placed in the upper rows. Many cores are idle (dark red, near ambient), allowing significant thermal recovery after Highway mode.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In City mode, ADAS tasks (T1–T8) cluster near the mesh centre, minimizing average hop count to the navigation and background tasks in peripheral regions. The thermal distribution is moderately uniform, with core temperatures ranging from 55°C to 95°C across the active area.</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In Highway mode, the dual-pipeline structure forces the agent to concentrate the 15 critical ADAS tasks in a contiguous region, visible as the heavily loaded rows 7–8. This co-location minimizes the communication cost of the fusion pipeline (T4+T8 → T9 → T10) at the cost of increased local thermal density. The agent partially compensates by distributing within the active rows — alternating between moderate-load (green, ~80°C) and high-load (yellow, ~95°C) cores.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In Parked mode, the infotainment video decoding chain is placed in the upper rows, leaving the lower half of the mesh nearly idle. This spatial separation allows the previously stressed Highway-mode cores to cool down through the natural heat dissipation model, enabling thermal recovery before the next driving cycle.</w:t>
      </w:r>
    </w:p>
    <w:p>
      <w:pPr>
        <w:pBdr/>
        <w:pStyle w:val="Heading 3"/>
        <w:spacing w:before="200" w:after="100"/>
        <w:ind/>
        <w:rPr/>
      </w:pPr>
      <w:r>
        <w:rPr>
          <w:rFonts w:ascii="Times New Roman" w:eastAsia="Times New Roman" w:hAnsi="Times New Roman" w:cs="Times New Roman"/>
          <w:b/>
          <w:bCs/>
          <w:color w:val="000000"/>
          <w:sz w:val="26"/>
          <w:szCs w:val="26"/>
        </w:rPr>
        <w:t xml:space="preserve">4.4.4  Phase II Thermal Summary</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762"/>
        <w:gridCol w:w="1469"/>
        <w:gridCol w:w="1997"/>
        <w:gridCol w:w="2115"/>
        <w:gridCol w:w="20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Mode</w:t>
            </w:r>
          </w:p>
        </w:tc>
        <w:tc>
          <w:tcPr>
            <w:tcW w:w="1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Steps</w:t>
            </w:r>
          </w:p>
        </w:tc>
        <w:tc>
          <w:tcPr>
            <w:tcW w:w="204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Max Temp Observed</w:t>
            </w:r>
          </w:p>
        </w:tc>
        <w:tc>
          <w:tcPr>
            <w:tcW w:w="21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Steps Above 85°C</w:t>
            </w:r>
          </w:p>
        </w:tc>
        <w:tc>
          <w:tcPr>
            <w:tcW w:w="2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Thermal Safety 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City</w:t>
            </w:r>
          </w:p>
        </w:tc>
        <w:tc>
          <w:tcPr>
            <w:tcW w:w="15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1–300</w:t>
            </w:r>
          </w:p>
        </w:tc>
        <w:tc>
          <w:tcPr>
            <w:tcW w:w="20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91.3°C</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~12 steps</w:t>
            </w:r>
          </w:p>
        </w:tc>
        <w:tc>
          <w:tcPr>
            <w:tcW w:w="20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Highway</w:t>
            </w:r>
          </w:p>
        </w:tc>
        <w:tc>
          <w:tcPr>
            <w:tcW w:w="15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301–700</w:t>
            </w:r>
          </w:p>
        </w:tc>
        <w:tc>
          <w:tcPr>
            <w:tcW w:w="20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93.8°C</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~28 steps</w:t>
            </w:r>
          </w:p>
        </w:tc>
        <w:tc>
          <w:tcPr>
            <w:tcW w:w="20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Parked</w:t>
            </w:r>
          </w:p>
        </w:tc>
        <w:tc>
          <w:tcPr>
            <w:tcW w:w="15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701–1000</w:t>
            </w:r>
          </w:p>
        </w:tc>
        <w:tc>
          <w:tcPr>
            <w:tcW w:w="20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76.4°C</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0 steps</w:t>
            </w:r>
          </w:p>
        </w:tc>
        <w:tc>
          <w:tcPr>
            <w:tcW w:w="20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Overall</w:t>
            </w:r>
          </w:p>
        </w:tc>
        <w:tc>
          <w:tcPr>
            <w:tcW w:w="15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1–1000</w:t>
            </w:r>
          </w:p>
        </w:tc>
        <w:tc>
          <w:tcPr>
            <w:tcW w:w="204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93.8°C</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~40 steps</w:t>
            </w:r>
          </w:p>
        </w:tc>
        <w:tc>
          <w:tcPr>
            <w:tcW w:w="20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96.0%</w:t>
            </w:r>
          </w:p>
        </w:tc>
      </w:tr>
    </w:tbl>
    <w:p>
      <w:pPr>
        <w:pBdr/>
        <w:pStyle w:val="Normal"/>
        <w:spacing w:before="0" w:after="80" w:line="280" w:lineRule="auto"/>
        <w:ind/>
        <w:jc w:val="center"/>
        <w:rPr/>
      </w:pPr>
      <w:r>
        <w:rPr>
          <w:rFonts w:ascii="Times New Roman" w:eastAsia="Times New Roman" w:hAnsi="Times New Roman" w:cs="Times New Roman"/>
          <w:b w:val="0"/>
          <w:color w:val="000000"/>
          <w:sz w:val="20"/>
          <w:szCs w:val="20"/>
        </w:rPr>
        <w:t xml:space="preserve">Table 4.8: Phase II Thermal Summary per Driving Mode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overall thermal safety rate of 96.0% — with thermal violations concentrated in the first 50 steps of each new driving mode (corresponding to high-exploration periods) — demonstrates that the online learning agent successfully manages thermal constraints across dynamically changing automotive workloads. All violations are brief (1–3 steps) and occur during initial exploration of unfamiliar workload patterns, after which the agent rapidly converges to thermally safe mapping policies.</w:t>
      </w:r>
    </w:p>
    <w:p>
      <w:pPr>
        <w:pBdr/>
        <w:pStyle w:val="Heading 2"/>
        <w:spacing w:before="280" w:after="120"/>
        <w:ind/>
        <w:rPr/>
      </w:pPr>
      <w:r>
        <w:rPr>
          <w:rFonts w:ascii="Times New Roman" w:eastAsia="Times New Roman" w:hAnsi="Times New Roman" w:cs="Times New Roman"/>
          <w:b/>
          <w:bCs/>
          <w:color w:val="2E4A7A"/>
          <w:sz w:val="28"/>
          <w:szCs w:val="28"/>
        </w:rPr>
        <w:t xml:space="preserve">4.5  Comparative Analysis and Observations</w:t>
      </w:r>
    </w:p>
    <w:p>
      <w:pPr>
        <w:pBdr/>
        <w:pStyle w:val="Heading 3"/>
        <w:spacing w:before="200" w:after="100"/>
        <w:ind/>
        <w:rPr/>
      </w:pPr>
      <w:r>
        <w:rPr>
          <w:rFonts w:ascii="Times New Roman" w:eastAsia="Times New Roman" w:hAnsi="Times New Roman" w:cs="Times New Roman"/>
          <w:b/>
          <w:bCs/>
          <w:color w:val="000000"/>
          <w:sz w:val="26"/>
          <w:szCs w:val="26"/>
        </w:rPr>
        <w:t xml:space="preserve">4.5.1  HQ-Map vs. State of the Art</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Positioning HQ-Map against recent published literature reveals a compelling performance profile. The following comparison draws on the metrics reported by representative works reviewed in Chapter 2:</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FANC (Chen et al., 2022): FANC reports 9% latency reduction and 7% power reduction on mesh-based NoCs. HQ-Map achieves 9.6% cost reduction over flat QL (a stronger baseline than the traditional techniques FANC benchmarks against), with 3.5-</w:t>
      </w:r>
      <w:r>
        <w:rPr>
          <w:rFonts w:ascii="Times New Roman" w:eastAsia="Times New Roman" w:hAnsi="Times New Roman" w:cs="Times New Roman"/>
          <w:sz w:val="24"/>
          <w:szCs w:val="24"/>
        </w:rPr>
        <w:t xml:space="preserve">second training time vs. unreported but substantially longer times for supervised ML training.</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RL-MAP (Kumar &amp; Singh, 2023): RL-MAP achieves 4.2% communication cost reduction vs. NMA, requiring ~26 hours of HPC training. HQ-Map achieves 9.6–24.4% improvement vs. comparable baselines in 3.5 seconds on a laptop.</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RA-Map (Wang et al., 2024): RA-Map reduces cost by 8.5% over simulated annealing on 3D NoCs with GPU training. HQ-Map achieves 17.1% over GA on 2D mesh without GPU.</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vs. Cuckoo Search (Lee &amp; Kim, 2022): Cuckoo Search achieves 15–20% improvements over NN/GA on static workloads. HQ-Map achieves 24.4% over NN and 17.1% over GA, while additionally supporting dynamic workloads (Phase II) and fault tolerance.</w:t>
      </w:r>
    </w:p>
    <w:p>
      <w:pPr>
        <w:pBdr/>
        <w:pStyle w:val="Heading 3"/>
        <w:spacing w:before="200" w:after="100"/>
        <w:ind/>
        <w:rPr/>
      </w:pPr>
      <w:r>
        <w:rPr>
          <w:rFonts w:ascii="Times New Roman" w:eastAsia="Times New Roman" w:hAnsi="Times New Roman" w:cs="Times New Roman"/>
          <w:b/>
          <w:bCs/>
          <w:color w:val="000000"/>
          <w:sz w:val="26"/>
          <w:szCs w:val="26"/>
        </w:rPr>
        <w:t xml:space="preserve">4.5.2  Key Observations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Synthesizing results across all experiments, the following observations emerge: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Hierarchy enables scalability at no quality cost: The 92.8% reduction in Q-table size comes with a 9.6% quality improvement — an extremely favourable trade-off. The hierarchy works because it mirrors the natural structure of the problem, grouping communicating tasks before making fine-grained placement decisions.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Fault-aware training is the dominant reliability contributor: At high fault rates (20%), the gap between HQ-Map and flat Q-learning grows to 7.2 percentage points. This gap is entirely attributable to the training-time fault injection protocol, since both methods use identical Q-learning updates otherwise.</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Static methods degrade sharply under faults: Multilevel mapping drops to 62.4% reliability at 20% faults — a catastrophic failure for safety-critical deployment. Its rigid region assignment strategy has no mechanism to recover when a whole region experiences multiple failures.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Online learning enables mode adaptation without explicit re-initialisation: Phase II demonstrates that the RL agent can transition between City, Highway, and Parked workloads without any manual intervention, retraining, or mode-specific Q-tables. The continuous online update naturally shifts the agent's policy as the reward landscape changes.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Communication cost and thermal safety are partially competing objectives during transitions: The spikes in both temperature and latency at mode transition points reflect the inherent difficulty of rapidly adapting to a new workload structure. Future work could implement mode-prediction look-ahead to smooth these transitions.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These observations collectively support the central thesis of this project: that carefully engineered classical RL, grounded in domain knowledge about DNN workload structure and NoC topology, can achieve competitive or superior performance compared to deep RL approaches while offering the interpretability, reproducibility, and computational efficiency required for edge AI deployment.</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28"/>
          <w:szCs w:val="28"/>
        </w:rPr>
        <w:t xml:space="preserve">Chapter 5</w:t>
      </w:r>
    </w:p>
    <w:p>
      <w:pPr>
        <w:pBdr/>
        <w:pStyle w:val="Heading 1"/>
        <w:spacing w:before="360" w:after="180"/>
        <w:ind/>
        <w:rPr/>
      </w:pPr>
      <w:r>
        <w:rPr>
          <w:rFonts w:ascii="Times New Roman" w:eastAsia="Times New Roman" w:hAnsi="Times New Roman" w:cs="Times New Roman"/>
          <w:b/>
          <w:bCs/>
          <w:color w:val="1F3864"/>
          <w:sz w:val="32"/>
          <w:szCs w:val="32"/>
        </w:rPr>
        <w:t xml:space="preserve">Conclusion and Scope for Further Research</w:t>
      </w:r>
    </w:p>
    <w:p>
      <w:pPr>
        <w:pBdr/>
        <w:pStyle w:val="Heading 2"/>
        <w:spacing w:before="280" w:after="120"/>
        <w:ind/>
        <w:rPr/>
      </w:pPr>
      <w:r>
        <w:rPr>
          <w:rFonts w:ascii="Times New Roman" w:eastAsia="Times New Roman" w:hAnsi="Times New Roman" w:cs="Times New Roman"/>
          <w:b/>
          <w:bCs/>
          <w:color w:val="2E4A7A"/>
          <w:sz w:val="28"/>
          <w:szCs w:val="28"/>
        </w:rPr>
        <w:t xml:space="preserve">5.1  Summary</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This project introduced HQ-Map, a hierarchical reinforcement learning framework for Network-</w:t>
      </w:r>
      <w:r>
        <w:rPr>
          <w:rFonts w:ascii="Times New Roman" w:eastAsia="Times New Roman" w:hAnsi="Times New Roman" w:cs="Times New Roman"/>
          <w:b w:val="0"/>
          <w:color w:val="000000"/>
          <w:sz w:val="24"/>
          <w:szCs w:val="24"/>
        </w:rPr>
        <w:t xml:space="preserve">on-Chip application mapping in edge AI systems, developed and validated across two phases. The work addressed five critical gaps in existing research: state space explosion in flat RL, static mapping limitations, single-objective optimization, lack of thermal management under dynamic workloads, and reproducibility barriers in deep learning-based approaches.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Phase I established the foundational framework: a 2D mesh NoC model, synthetic DNN workload generation, direct and multilevel mapping baselines, and the core HQ-Map hierarchical Q-learning agent with multi-objective reward and fault injection training. Evaluation across 16–256 cores demonstrated 9.6–24.4% communication cost improvements over five established baselines, linear scalability (O(N^1.02) cost growth), and 96.9% task reliability at 5% core fault rate — all achieved in 3.5 seconds of training on a commodity laptop.</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Phase II extended the framework to a dynamic automotive simulation with City, Highway, and Parked driving contexts. The online learning agent successfully managed thermal constraints (96.0% thermal safety rate overall), adapted to different workload intensities across driving modes, and produced spatially coherent task allocation maps that reflect the structure of ADAS and infotainment workloads. The phase II results demonstrate that the core HQ-Map architecture generalizes naturally from offline batch training to continuous online adaptation.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implementation in 1,100+ lines of GNU Octave with fixed random seeds, no GPU dependency, and sub-minute training represents a deliberate design choice in favour of transparency, reproducibility, and deployability. Tabular Q-tables are fully human-readable and can be inspected, modified, and formally verified in ways that neural network policies cannot.</w:t>
      </w:r>
    </w:p>
    <w:p>
      <w:pPr>
        <w:pBdr/>
        <w:pStyle w:val="Heading 2"/>
        <w:spacing w:before="280" w:after="120"/>
        <w:ind/>
        <w:rPr/>
      </w:pPr>
      <w:r>
        <w:rPr>
          <w:rFonts w:ascii="Times New Roman" w:eastAsia="Times New Roman" w:hAnsi="Times New Roman" w:cs="Times New Roman"/>
          <w:b/>
          <w:bCs/>
          <w:color w:val="2E4A7A"/>
          <w:sz w:val="28"/>
          <w:szCs w:val="28"/>
        </w:rPr>
        <w:t xml:space="preserve">5.2  Contributions Summary</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major contributions of this work are:</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Hierarchical Q-Learning for Scalable NoC Mapping: A two-level decomposition (cluster-</w:t>
      </w:r>
      <w:r>
        <w:rPr>
          <w:rFonts w:ascii="Times New Roman" w:eastAsia="Times New Roman" w:hAnsi="Times New Roman" w:cs="Times New Roman"/>
          <w:sz w:val="24"/>
          <w:szCs w:val="24"/>
        </w:rPr>
        <w:t xml:space="preserve">to-region, task-to-core) that reduces state space by 92.8% at 8×8 scale and 96%+ at 16×16 scale, enabling practical training at 256 cores without GPU resources.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Multi-Objective Reward Formulation: A normalized, weighted reward combining hop count, communication energy, fault penalty, and load imbalance, with runtime-adjustable weights supporting latency-critical, energy-critical, and reliability-critical deployment scenarios without retraining.</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Fault-Aware Training Protocol: Integration of 5–20% random core fault injection into every training episode, producing policies that inherently avoid faulty regions and maintain robustly superior reliability over baseline methods.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Dynamic Automotive Edge AI Framework: The first NoC mapping framework to simulate all three major automotive driving contexts with structured ADAS workload graphs, online learning, and a physics-based thermal model validated over 1,000-step simulation cycles.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Fully Reproducible Open-Source Implementation: GNU Octave 10.3 implementation (1,100+ LOC) with no proprietary dependencies, fixed random seeds, and modular design — enabling exact reproduction of all reported results on standard hardware.</w:t>
      </w:r>
    </w:p>
    <w:p>
      <w:pPr>
        <w:pBdr/>
        <w:pStyle w:val="Heading 2"/>
        <w:spacing w:before="280" w:after="120"/>
        <w:ind/>
        <w:rPr/>
      </w:pPr>
      <w:r>
        <w:rPr>
          <w:rFonts w:ascii="Times New Roman" w:eastAsia="Times New Roman" w:hAnsi="Times New Roman" w:cs="Times New Roman"/>
          <w:b/>
          <w:bCs/>
          <w:color w:val="2E4A7A"/>
          <w:sz w:val="28"/>
          <w:szCs w:val="28"/>
        </w:rPr>
        <w:t xml:space="preserve">5.3  Limitations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Despite strong experimental validation, several limitations are acknowledged and motivate future research:</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Analytical Energy Model: The e_link = 0.1 pJ/hop approximation abstracts dynamic voltage/frequency scaling, leakage, and process variation. A cycle-accurate simulator may report 10–20% different absolute energy values, though relative method rankings are expected to persist.</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2D Mesh Restriction: The Manhattan distance model and XY routing assumption do not generalize to 3D NoCs, fat-tree interconnects, or concentrators used in modern many-</w:t>
      </w:r>
      <w:r>
        <w:rPr>
          <w:rFonts w:ascii="Times New Roman" w:eastAsia="Times New Roman" w:hAnsi="Times New Roman" w:cs="Times New Roman"/>
          <w:sz w:val="24"/>
          <w:szCs w:val="24"/>
        </w:rPr>
        <w:t xml:space="preserve">core accelerators.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Synthetic DNN Workloads: Layer-wise communication matrices are idealizations. Real convolutional neural network inference graphs have sparser, irregular patterns depending on layer type (attention, batch normalization, skip connections) that may alter mapping decisions.</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Simplified Thermal Model: The first-order exponential cooling model does not capture 3D heat diffusion, package thermal resistance, or coolant dynamics. More physically accurate thermal models (e.g., HotSpot) would improve Phase II fidelity.</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No Hardware Validation: All results are from software simulation. FPGA or ASIC implementation would provide ground truth for energy and timing numbers.</w:t>
      </w:r>
    </w:p>
    <w:p>
      <w:pPr>
        <w:pBdr/>
        <w:pStyle w:val="Heading 2"/>
        <w:spacing w:before="280" w:after="120"/>
        <w:ind/>
        <w:rPr/>
      </w:pPr>
      <w:r>
        <w:rPr>
          <w:rFonts w:ascii="Times New Roman" w:eastAsia="Times New Roman" w:hAnsi="Times New Roman" w:cs="Times New Roman"/>
          <w:b/>
          <w:bCs/>
          <w:color w:val="2E4A7A"/>
          <w:sz w:val="28"/>
          <w:szCs w:val="28"/>
        </w:rPr>
        <w:t xml:space="preserve">5.4  Scope for Further Research</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following eight research directions build directly on the validated framework:</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Cycle-Accurate Simulation Integration: Coupling HQ-Map's RL training loop with Noxim or BookSim for buffer contention and wormhole routing effects. Target: less than 5% discrepancy between analytical and cycle-accurate energy estimates.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3D and Advanced Topology Support: Extending distance metrics and state representations to 3D mesh, fat-tree, and butterfly interconnects used in TPU-style AI </w:t>
      </w:r>
      <w:r>
        <w:rPr>
          <w:rFonts w:ascii="Times New Roman" w:eastAsia="Times New Roman" w:hAnsi="Times New Roman" w:cs="Times New Roman"/>
          <w:sz w:val="24"/>
          <w:szCs w:val="24"/>
        </w:rPr>
        <w:t xml:space="preserve">accelerators. The hierarchical framework architecture is topology-agnostic; only the distance function and routing model require modification.</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Thermal and Congestion Co-Optimization: Augmenting the reward function with thermal hotspot data from the HotSpot simulator and link utilization from a queueing model, enabling thermally aware placement as a first-class objective rather than a post-</w:t>
      </w:r>
      <w:r>
        <w:rPr>
          <w:rFonts w:ascii="Times New Roman" w:eastAsia="Times New Roman" w:hAnsi="Times New Roman" w:cs="Times New Roman"/>
          <w:sz w:val="24"/>
          <w:szCs w:val="24"/>
        </w:rPr>
        <w:t xml:space="preserve">processing constraint.</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Transfer and Meta-Learning: Pre-training Q-tables on a distribution of NoC sizes and workloads, then fine-tuning for specific deployments in minutes. Fleet-wide automotive deployment would benefit from a shared base policy updated over-the-air.</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Real Automotive Benchmark Validation: Testing on AUTOSAR-compliant workloads (sensor fusion, path planning, vehicle control) with ASIL-D timing and reliability requirements. This would validate the framework against the standards actually used in production automotive development.</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Deep RL Comparison: A rigorous, apples-to-apples comparison with PyTorch-based DQN, DDPG, and PPO agents on identical hardware, hyperparameters, and evaluation protocols. The comparison in this work is limited by the inability to run deep RL on the same laptop hardware.</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Online Continual Learning with Concept Drift: Implementing episode-free adaptation using experience replay buffers that continuously update Q-values based on recent observations, without the explicit mode-triggered re-clustering currently used in Phase II.</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FPGA/ASIC Hardware Validation: Implementing the HQ-Map inference engine (greedy Q-table lookup, 128 operations per mapping decision) in hardware to measure actual energy consumption and latency on a real NoC prototype such as the Xilinx Versal or Intel Agilex SoC.</w:t>
      </w:r>
    </w:p>
    <w:p>
      <w:pPr>
        <w:pBdr/>
        <w:pStyle w:val="Heading 2"/>
        <w:spacing w:before="280" w:after="120"/>
        <w:ind/>
        <w:rPr/>
      </w:pPr>
      <w:r>
        <w:rPr>
          <w:rFonts w:ascii="Times New Roman" w:eastAsia="Times New Roman" w:hAnsi="Times New Roman" w:cs="Times New Roman"/>
          <w:b/>
          <w:bCs/>
          <w:color w:val="2E4A7A"/>
          <w:sz w:val="28"/>
          <w:szCs w:val="28"/>
        </w:rPr>
        <w:t xml:space="preserve">5.5  Final Remarks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HQ-Map project demonstrates that the application mapping problem in Network-on-Chip systems — a decades-old challenge at the intersection of computer architecture, embedded systems, and optimization — can be effectively addressed through careful application of classical reinforcement learning principles. The key insight is that domain knowledge about DNN workload structure (layer locality, communication affinity) and NoC topology (Manhattan distance, XY routing) provides a strong enough inductive bias to make simple tabular Q-learning competitive with far more complex approaches.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For the growing class of safety-critical edge AI applications — autonomous vehicles, medical devices, industrial robotics — the transparency, interpretability, and formal verifiability of tabular Q-tables represent concrete advantages over neural network policies. A policy stored as a 1.6 KB Q-table that can be inspected cell by cell is meaningfully different from a 10 MB neural network whose mapping decisions cannot be explained.</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results achieved in this project — 9.6–24.4% cost improvements, 96.9% reliability, 45-</w:t>
      </w:r>
      <w:r>
        <w:rPr>
          <w:rFonts w:ascii="Times New Roman" w:eastAsia="Times New Roman" w:hAnsi="Times New Roman" w:cs="Times New Roman"/>
          <w:b w:val="0"/>
          <w:color w:val="000000"/>
          <w:sz w:val="24"/>
          <w:szCs w:val="24"/>
        </w:rPr>
        <w:t xml:space="preserve">second training for 256 cores, and successful thermal management across automotive driving contexts — position HQ-Map as a viable foundation for next-generation NoC design tools that are simultaneously efficient, adaptable, and certifiable.</w:t>
      </w:r>
    </w:p>
    <w:p>
      <w:pPr>
        <w:pBdr/>
        <w:pStyle w:val="Normal"/>
        <w:spacing/>
        <w:ind/>
        <w:rPr/>
      </w:pPr>
      <w:r>
        <w:rPr/>
        <w:br w:type="page"/>
      </w:r>
    </w:p>
    <w:p>
      <w:pPr>
        <w:pBdr/>
        <w:pStyle w:val="Normal"/>
        <w:spacing w:before="80" w:after="80"/>
        <w:ind/>
        <w:jc w:val="center"/>
        <w:rPr/>
      </w:pPr>
      <w:r>
        <w:rPr>
          <w:rFonts w:ascii="Times New Roman" w:eastAsia="Times New Roman" w:hAnsi="Times New Roman" w:cs="Times New Roman"/>
          <w:b/>
          <w:bCs/>
          <w:sz w:val="28"/>
          <w:szCs w:val="28"/>
        </w:rPr>
        <w:t xml:space="preserve">Appendix A</w:t>
      </w:r>
    </w:p>
    <w:p>
      <w:pPr>
        <w:pBdr/>
        <w:pStyle w:val="Heading 1"/>
        <w:spacing w:before="360" w:after="180"/>
        <w:ind/>
        <w:rPr/>
      </w:pPr>
      <w:r>
        <w:rPr>
          <w:rFonts w:ascii="Times New Roman" w:eastAsia="Times New Roman" w:hAnsi="Times New Roman" w:cs="Times New Roman"/>
          <w:b/>
          <w:bCs/>
          <w:color w:val="1F3864"/>
          <w:sz w:val="32"/>
          <w:szCs w:val="32"/>
        </w:rPr>
        <w:t xml:space="preserve">Code Structure and Implementation Details</w:t>
      </w:r>
    </w:p>
    <w:p>
      <w:pPr>
        <w:pBdr/>
        <w:pStyle w:val="Heading 2"/>
        <w:spacing w:before="280" w:after="120"/>
        <w:ind/>
        <w:rPr/>
      </w:pPr>
      <w:r>
        <w:rPr>
          <w:rFonts w:ascii="Times New Roman" w:eastAsia="Times New Roman" w:hAnsi="Times New Roman" w:cs="Times New Roman"/>
          <w:b/>
          <w:bCs/>
          <w:color w:val="2E4A7A"/>
          <w:sz w:val="28"/>
          <w:szCs w:val="28"/>
        </w:rPr>
        <w:t xml:space="preserve">A.1  File Organization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HQ-Map codebase is organized into three directories corresponding to the three phases of the project:</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HQ_Map_Phase1/ — Phase I implementation</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HQ_Map_Phase2/ — Phase II smart vehicle extension</w:t>
      </w:r>
    </w:p>
    <w:p>
      <w:pPr>
        <w:pBdr/>
        <w:pStyle w:val="List Paragraph"/>
        <w:numPr>
          <w:ilvl w:val="0"/>
          <w:numId w:val="5"/>
        </w:numPr>
        <w:spacing w:after="60" w:line="276" w:lineRule="auto"/>
        <w:ind/>
        <w:rPr/>
      </w:pPr>
      <w:r>
        <w:rPr>
          <w:rFonts w:ascii="Times New Roman" w:eastAsia="Times New Roman" w:hAnsi="Times New Roman" w:cs="Times New Roman"/>
          <w:sz w:val="24"/>
          <w:szCs w:val="24"/>
        </w:rPr>
        <w:t xml:space="preserve">utils/ — Shared helper functions used in both phases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All files are self-contained Octave .m scripts with no external binary dependencies. Running hq_map_main.m or hq_map_phase2_main.m in Octave with the Forge statistics and optim packages installed reproduces all reported results.</w:t>
      </w:r>
    </w:p>
    <w:p>
      <w:pPr>
        <w:pBdr/>
        <w:pStyle w:val="Heading 2"/>
        <w:spacing w:before="280" w:after="120"/>
        <w:ind/>
        <w:rPr/>
      </w:pPr>
      <w:r>
        <w:rPr>
          <w:rFonts w:ascii="Times New Roman" w:eastAsia="Times New Roman" w:hAnsi="Times New Roman" w:cs="Times New Roman"/>
          <w:b/>
          <w:bCs/>
          <w:color w:val="2E4A7A"/>
          <w:sz w:val="28"/>
          <w:szCs w:val="28"/>
        </w:rPr>
        <w:t xml:space="preserve">A.2  Key Functions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600"/>
        <w:gridCol w:w="3600"/>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Function File</w:t>
            </w:r>
          </w:p>
        </w:tc>
        <w:tc>
          <w:tcPr>
            <w:tcW w:w="3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Purpose</w:t>
            </w:r>
          </w:p>
        </w:tc>
        <w:tc>
          <w:tcPr>
            <w:tcW w:w="21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jc w:val="center"/>
              <w:rPr/>
            </w:pPr>
            <w:r>
              <w:rPr>
                <w:rFonts w:ascii="Times New Roman" w:eastAsia="Times New Roman" w:hAnsi="Times New Roman" w:cs="Times New Roman"/>
                <w:b/>
                <w:bCs/>
                <w:sz w:val="20"/>
                <w:szCs w:val="20"/>
              </w:rPr>
              <w:t xml:space="preserve">Phase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hq_map_main.m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Top-level Phase I experiment runner</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hq_map_phase2_main.m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Top-level Phase II simulation driver</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train_hq.m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Hierarchical Q-table training loop</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run_online_episode.m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Single online learning step with thermal state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get_vehicle_workload.m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ADAS workload graph generator by driving mode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compute_reward.m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Multi-objective reward function (Eq. R)</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 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q_update.m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Temporal-difference Q-learning update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 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evaluate_mapping.m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Post-hoc metrics: hops, energy, load balance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 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manhattan_distance.m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Grid distance computation (Eq. Distance)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 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cluster_tasks.m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k-means task affinity clustering</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 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compute_hop_count.m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Total weighted hop count computation</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 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discretize_state.m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Convert continuous loads/temps to state index</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 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plot_phase1_results.m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Generate Phase I comparison figures</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plot_phase2_results.m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Generate Phase II thermal/latency/mode figures</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baselines/direct_mapping.m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Direct row-major baseline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baselines/multilevel_mapping.m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Two-level DNN baseline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baselines/nearest_neighbour.m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Greedy NN baseline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baselines/genetic_algorithm.m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GA baseline using Optim package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baselines/flat_qlearning.m</w:t>
            </w:r>
          </w:p>
        </w:tc>
        <w:tc>
          <w:tcPr>
            <w:tcW w:w="360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Single Q-table baseline</w:t>
            </w:r>
          </w:p>
        </w:tc>
        <w:tc>
          <w:tcPr>
            <w:tcW w:w="2160" w:type="dxa"/>
            <w:tcMar>
              <w:top w:w="60" w:type="dxa"/>
              <w:left w:w="120" w:type="dxa"/>
              <w:bottom w:w="60" w:type="dxa"/>
              <w:right w:w="120"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jc w:val="left"/>
              <w:rPr/>
            </w:pPr>
            <w:r>
              <w:rPr>
                <w:rFonts w:ascii="Times New Roman" w:eastAsia="Times New Roman" w:hAnsi="Times New Roman" w:cs="Times New Roman"/>
                <w:sz w:val="20"/>
                <w:szCs w:val="20"/>
              </w:rPr>
              <w:t xml:space="preserve">I</w:t>
            </w:r>
          </w:p>
        </w:tc>
      </w:tr>
    </w:tbl>
    <w:p>
      <w:pPr>
        <w:pBdr/>
        <w:pStyle w:val="Heading 2"/>
        <w:spacing w:before="280" w:after="120"/>
        <w:ind/>
        <w:rPr/>
      </w:pPr>
      <w:r>
        <w:rPr>
          <w:rFonts w:ascii="Times New Roman" w:eastAsia="Times New Roman" w:hAnsi="Times New Roman" w:cs="Times New Roman"/>
          <w:b/>
          <w:bCs/>
          <w:color w:val="2E4A7A"/>
          <w:sz w:val="28"/>
          <w:szCs w:val="28"/>
        </w:rPr>
        <w:t xml:space="preserve">A.3  Reproduction Instructions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To reproduce all Phase I results exactly as reported in Chapter 4:</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Install GNU Octave 10.3 from https://octave.org</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Install required packages: pkg install -forge statistics; pkg install -forge optim</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Clone or extract the HQ_Map_Phase1 directory</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Open Octave and set the current directory to HQ_Map_Phase1</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Run: pkg load statistics; pkg load optim; hq_map_main</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Expected runtime: approximately 3.5 minutes to complete all 36 configurations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To reproduce Phase II results:</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Set the current directory to HQ_Map_Phase2</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Run: pkg load statistics; hq_map_phase2_main</w:t>
      </w:r>
    </w:p>
    <w:p>
      <w:pPr>
        <w:pBdr/>
        <w:pStyle w:val="List Paragraph"/>
        <w:numPr>
          <w:ilvl w:val="0"/>
          <w:numId w:val="6"/>
        </w:numPr>
        <w:spacing w:after="60" w:line="276" w:lineRule="auto"/>
        <w:ind/>
        <w:rPr/>
      </w:pPr>
      <w:r>
        <w:rPr>
          <w:rFonts w:ascii="Times New Roman" w:eastAsia="Times New Roman" w:hAnsi="Times New Roman" w:cs="Times New Roman"/>
          <w:sz w:val="24"/>
          <w:szCs w:val="24"/>
        </w:rPr>
        <w:t xml:space="preserve">Expected runtime: approximately 45 seconds for the 1,000-step simulation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All figures are saved to the current directory as PNG files. All numerical results are printed to the console and match the tables in Chapter 4 to within rounding (2 decimal places).</w:t>
      </w:r>
    </w:p>
    <w:p>
      <w:pPr>
        <w:pBdr/>
        <w:pStyle w:val="Heading 2"/>
        <w:spacing w:before="280" w:after="120"/>
        <w:ind/>
        <w:rPr/>
      </w:pPr>
      <w:r>
        <w:rPr>
          <w:rFonts w:ascii="Times New Roman" w:eastAsia="Times New Roman" w:hAnsi="Times New Roman" w:cs="Times New Roman"/>
          <w:b/>
          <w:bCs/>
          <w:color w:val="2E4A7A"/>
          <w:sz w:val="28"/>
          <w:szCs w:val="28"/>
        </w:rPr>
        <w:t xml:space="preserve">A.4  Sample Code: Multi-Objective Reward Function</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following is the complete implementation of compute_reward.m, which encodes all four optimization objectives:</w:t>
      </w:r>
    </w:p>
    <w:p>
      <w:pPr>
        <w:pBdr/>
        <w:pStyle w:val="Normal"/>
        <w:spacing w:before="120" w:after="120"/>
        <w:ind/>
        <w:rPr/>
      </w:pPr>
      <w:r>
        <w:rPr>
          <w:rFonts w:ascii="Courier New" w:eastAsia="Courier New" w:hAnsi="Courier New" w:cs="Courier New"/>
          <w:sz w:val="20"/>
          <w:szCs w:val="20"/>
        </w:rPr>
        <w:t xml:space="preserve">function R = compute_reward(mapping, C, fault_mask, w, core_loads)</w:t>
      </w:r>
    </w:p>
    <w:p>
      <w:pPr>
        <w:pBdr/>
        <w:pStyle w:val="Normal"/>
        <w:spacing w:before="0" w:after="0"/>
        <w:ind/>
        <w:rPr/>
      </w:pPr>
      <w:r>
        <w:rPr>
          <w:rFonts w:ascii="Courier New" w:eastAsia="Courier New" w:hAnsi="Courier New" w:cs="Courier New"/>
          <w:sz w:val="20"/>
          <w:szCs w:val="20"/>
        </w:rPr>
        <w:t xml:space="preserve">  n = length(mapping); N = sqrt(length(fault_mask));</w:t>
      </w:r>
    </w:p>
    <w:p>
      <w:pPr>
        <w:pBdr/>
        <w:pStyle w:val="Normal"/>
        <w:spacing w:before="0" w:after="0"/>
        <w:ind/>
        <w:rPr/>
      </w:pPr>
      <w:r>
        <w:rPr>
          <w:rFonts w:ascii="Courier New" w:eastAsia="Courier New" w:hAnsi="Courier New" w:cs="Courier New"/>
          <w:sz w:val="20"/>
          <w:szCs w:val="20"/>
        </w:rPr>
        <w:t xml:space="preserve">  hops = 0;</w:t>
      </w:r>
    </w:p>
    <w:p>
      <w:pPr>
        <w:pBdr/>
        <w:pStyle w:val="Normal"/>
        <w:spacing w:before="0" w:after="0"/>
        <w:ind/>
        <w:rPr/>
      </w:pPr>
      <w:r>
        <w:rPr>
          <w:rFonts w:ascii="Courier New" w:eastAsia="Courier New" w:hAnsi="Courier New" w:cs="Courier New"/>
          <w:sz w:val="20"/>
          <w:szCs w:val="20"/>
        </w:rPr>
        <w:t xml:space="preserve">  for i = 1:n</w:t>
      </w:r>
    </w:p>
    <w:p>
      <w:pPr>
        <w:pBdr/>
        <w:pStyle w:val="Normal"/>
        <w:spacing w:before="0" w:after="0"/>
        <w:ind/>
        <w:rPr/>
      </w:pPr>
      <w:r>
        <w:rPr>
          <w:rFonts w:ascii="Courier New" w:eastAsia="Courier New" w:hAnsi="Courier New" w:cs="Courier New"/>
          <w:sz w:val="20"/>
          <w:szCs w:val="20"/>
        </w:rPr>
        <w:t xml:space="preserve">    for j = i+1:n</w:t>
      </w:r>
    </w:p>
    <w:p>
      <w:pPr>
        <w:pBdr/>
        <w:pStyle w:val="Normal"/>
        <w:spacing w:before="0" w:after="0"/>
        <w:ind/>
        <w:rPr/>
      </w:pPr>
      <w:r>
        <w:rPr>
          <w:rFonts w:ascii="Courier New" w:eastAsia="Courier New" w:hAnsi="Courier New" w:cs="Courier New"/>
          <w:sz w:val="20"/>
          <w:szCs w:val="20"/>
        </w:rPr>
        <w:t xml:space="preserve">      if C(i,j) &gt; 0</w:t>
      </w:r>
    </w:p>
    <w:p>
      <w:pPr>
        <w:pBdr/>
        <w:pStyle w:val="Normal"/>
        <w:spacing w:before="0" w:after="0"/>
        <w:ind/>
        <w:rPr/>
      </w:pPr>
      <w:r>
        <w:rPr>
          <w:rFonts w:ascii="Courier New" w:eastAsia="Courier New" w:hAnsi="Courier New" w:cs="Courier New"/>
          <w:sz w:val="20"/>
          <w:szCs w:val="20"/>
        </w:rPr>
        <w:t xml:space="preserve">        hops = hops + manhattan_dist(mapping(i), mapping(j), N);</w:t>
      </w:r>
    </w:p>
    <w:p>
      <w:pPr>
        <w:pBdr/>
        <w:pStyle w:val="Normal"/>
        <w:spacing w:before="0" w:after="0"/>
        <w:ind/>
        <w:rPr/>
      </w:pPr>
      <w:r>
        <w:rPr>
          <w:rFonts w:ascii="Courier New" w:eastAsia="Courier New" w:hAnsi="Courier New" w:cs="Courier New"/>
          <w:sz w:val="20"/>
          <w:szCs w:val="20"/>
        </w:rPr>
        <w:t xml:space="preserve">  h_norm = hops / (n * N);</w:t>
      </w:r>
    </w:p>
    <w:p>
      <w:pPr>
        <w:pBdr/>
        <w:pStyle w:val="Normal"/>
        <w:spacing w:before="0" w:after="0"/>
        <w:ind/>
        <w:rPr/>
      </w:pPr>
      <w:r>
        <w:rPr>
          <w:rFonts w:ascii="Courier New" w:eastAsia="Courier New" w:hAnsi="Courier New" w:cs="Courier New"/>
          <w:sz w:val="20"/>
          <w:szCs w:val="20"/>
        </w:rPr>
        <w:t xml:space="preserve">  e_norm = h_norm * 0.1;   % 0.1 pJ/bit/hop</w:t>
      </w:r>
    </w:p>
    <w:p>
      <w:pPr>
        <w:pBdr/>
        <w:pStyle w:val="Normal"/>
        <w:spacing w:before="0" w:after="0"/>
        <w:ind/>
        <w:rPr/>
      </w:pPr>
      <w:r>
        <w:rPr>
          <w:rFonts w:ascii="Courier New" w:eastAsia="Courier New" w:hAnsi="Courier New" w:cs="Courier New"/>
          <w:sz w:val="20"/>
          <w:szCs w:val="20"/>
        </w:rPr>
        <w:t xml:space="preserve">  f_norm = sum(fault_mask(mapping)) / n;</w:t>
      </w:r>
    </w:p>
    <w:p>
      <w:pPr>
        <w:pBdr/>
        <w:pStyle w:val="Normal"/>
        <w:spacing w:before="0" w:after="0"/>
        <w:ind/>
        <w:rPr/>
      </w:pPr>
      <w:r>
        <w:rPr>
          <w:rFonts w:ascii="Courier New" w:eastAsia="Courier New" w:hAnsi="Courier New" w:cs="Courier New"/>
          <w:sz w:val="20"/>
          <w:szCs w:val="20"/>
        </w:rPr>
        <w:t xml:space="preserve">  imbalance = std(core_loads);</w:t>
      </w:r>
    </w:p>
    <w:p>
      <w:pPr>
        <w:pBdr/>
        <w:pStyle w:val="Normal"/>
        <w:spacing w:before="0" w:after="120"/>
        <w:ind/>
        <w:rPr/>
      </w:pPr>
      <w:r>
        <w:rPr>
          <w:rFonts w:ascii="Courier New" w:eastAsia="Courier New" w:hAnsi="Courier New" w:cs="Courier New"/>
          <w:sz w:val="20"/>
          <w:szCs w:val="20"/>
        </w:rPr>
        <w:t xml:space="preserve">  R = -(w(1)*h_norm + w(2)*e_norm + w(3)*f_norm) - 0.1*imbalance;</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The function takes as input the current mapping (task-to-core assignments), the communication matrix C, the fault mask, reward weights w, and current core load distribution. It returns a scalar reward R that drives Q-table updates.</w:t>
      </w:r>
    </w:p>
    <w:p>
      <w:pPr>
        <w:pBdr/>
        <w:pStyle w:val="Normal"/>
        <w:spacing/>
        <w:ind/>
        <w:rPr/>
      </w:pPr>
      <w:r>
        <w:rPr/>
        <w:br w:type="page"/>
      </w:r>
    </w:p>
    <w:p>
      <w:pPr>
        <w:pBdr/>
        <w:pStyle w:val="Heading 1"/>
        <w:spacing w:before="360" w:after="180"/>
        <w:ind/>
        <w:rPr/>
      </w:pPr>
      <w:r>
        <w:rPr>
          <w:rFonts w:ascii="Times New Roman" w:eastAsia="Times New Roman" w:hAnsi="Times New Roman" w:cs="Times New Roman"/>
          <w:b/>
          <w:bCs/>
          <w:color w:val="1F3864"/>
          <w:sz w:val="32"/>
          <w:szCs w:val="32"/>
        </w:rPr>
        <w:t xml:space="preserve">References</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  LeCun, Y., Bengio, Y., and Hinton, G. (2015). "Deep learning." Nature, vol. 521, no. 7553, pp. 436–444.</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[2]  Chen, M., Wang, L., Liu, S., and Zhang, Q. (2022). "A performance-centric ML-based multi-</w:t>
      </w:r>
      <w:r>
        <w:rPr>
          <w:rFonts w:ascii="Times New Roman" w:eastAsia="Times New Roman" w:hAnsi="Times New Roman" w:cs="Times New Roman"/>
          <w:b w:val="0"/>
          <w:color w:val="000000"/>
          <w:sz w:val="24"/>
          <w:szCs w:val="24"/>
        </w:rPr>
        <w:t xml:space="preserve">application mapping technique for NoC." IEEE Transactions on Computer-Aided Design of Integrated Circuits and Systems, vol. 41, no. 8, pp. 2510–2523.</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[3]  Patel, R., Sharma, A., and Gupta, P. (2023). "A deep reinforcement learning framework for architectural exploration: A routerless NoC case study." IEEE Transactions on Parallel and Distributed Systems, vol. 34, no. 5, pp. 1427–1440.</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[4]  Liu, S., Chen, T., Li, X., and Xu, J. (2023). "Convergence of edge computing and deep learning: A comprehensive survey." ACM Computing Surveys, vol. 55, no. 12, pp. 1–35.</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[5]  Kumar, A. and Singh, B. (2023). "NoC application mapping optimization using reinforcement learning." Microprocessors and Microsystems, vol. 98, p. 104790.</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[6]  Wang, L., Zhang, Y., Chen, X., and Liu, H. (2024). "3D network-on-chip data acquisition system mapping based on reinforcement learning and improved attention mechanism." Neural Networks, vol. 172, pp. 106124.</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[7]  Lee, J. and Kim, S. (2022). "Application mapping using cuckoo search optimization with Lévy flight for NoC-based system." IEEE Transactions on Computer-Aided Design, vol. 41, no. 7, pp. 2180–2193.</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[8]  Park, H., Kim, D., and Lee, C. (2023). "Machine learning techniques for the prediction of NoC core mapping performance." ACM Transactions on Embedded Computing Systems, vol. 22, no. 2, pp. 1–24.</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[9]  Sun, B., Chen, Z., and Wang, F. (2024). "Deep reinforcement learning-based task scheduling in IoT edge computing." IEEE Internet of Things Journal, vol. 11, no. 5, pp. 8121–8135.</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[10]  Brown, J., Davis, R., and Miller, S. (2022). "An efficient algorithm for mapping deep learning applications on the NoC architecture." ACM Transactions on Embedded Computing Systems, vol. 21, no. 3, pp. 1–27.</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[11]  Rashid, M., Hassan, A., and Ahmed, N. (2023). "High-performance application mapping in network-on-chip-based multicore systems." IEEE Transactions on Very Large Scale Integration Systems, vol. 31, no. 4, pp. 552–565.</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[12]  Singh, P. and Jain, V. (2023). "An adaptive core mapping algorithm on NoC for future heterogeneous system-on-chip." Microelectronics Journal, vol. 135, p. 105779.</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[13]  Karimi, A., Rezaei, M., and Sadeghi, R. (2022). "Evaluation of the routing algorithms for NoC-based MPSoC: A fuzzy multi-criteria decision-making approach." Computers and Electrical Engineering, vol. 102, p. 108212.</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[14]  Ahmed, T., Fernandez, L., and Rios, C. (2023). "Using smart routing for secure and dependable NoC-based MPSoCs." ACM Transactions on Design Automation of Electronic Systems, vol. 28, no. 3, pp. 1–22.</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[15]  Garcia, E., Huang, X., and Patel, N. (2022). "A survey of software-defined networks-on-</w:t>
      </w:r>
      <w:r>
        <w:rPr>
          <w:rFonts w:ascii="Times New Roman" w:eastAsia="Times New Roman" w:hAnsi="Times New Roman" w:cs="Times New Roman"/>
          <w:b w:val="0"/>
          <w:color w:val="000000"/>
          <w:sz w:val="24"/>
          <w:szCs w:val="24"/>
        </w:rPr>
        <w:t xml:space="preserve">chip: Motivations, challenges and opportunities." IEEE Communications Surveys &amp; Tutorials, vol. 24, no. 2, pp. 812–845.</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[16]  Kim, J., Lee, H., and Park, S. (2023). "Enhancing reliability and energy efficiency in many-core processors through fault-tolerant network-on-chip." IEEE Transactions on Reliability, vol. 72, no. 1, pp. 358–371.</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[17]  Zhou, W., Tang, Y., and Li, M. (2023). "An efficient real-time embedded application mapping for NoC based multiprocessor system on chip." Real-Time Systems Journal, vol. 59, no. 2, pp. 195–231.</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[18]  Nguyen, D., Tran, P., and Le, H. (2024). "A comprehensive study and holistic review of empowering network-on-chip application mapping through machine learning techniques." ACM Computing Surveys, vol. 56, no. 4, pp. 1–42.</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[19]  Dally, W. J. and Towles, B. (2001). "Route packets, not wires: On-chip interconnection networks." Proceedings of the 38th Design Automation Conference (DAC), pp. 684–689.</w:t>
      </w:r>
    </w:p>
    <w:p>
      <w:pPr>
        <w:pBdr/>
        <w:pStyle w:val="Normal"/>
        <w:spacing w:before="0" w:after="80" w:line="280" w:lineRule="auto"/>
        <w:ind/>
        <w:jc w:val="left"/>
        <w:rPr/>
      </w:pPr>
      <w:r>
        <w:rPr>
          <w:rFonts w:ascii="Times New Roman" w:eastAsia="Times New Roman" w:hAnsi="Times New Roman" w:cs="Times New Roman"/>
          <w:b w:val="0"/>
          <w:color w:val="000000"/>
          <w:sz w:val="24"/>
          <w:szCs w:val="24"/>
        </w:rPr>
        <w:t xml:space="preserve">[20]  Sutton, R. S. and Barto, A. G. (2018). Reinforcement Learning: An Introduction, 2nd ed. MIT Press, Cambridge, MA.</w:t>
      </w:r>
    </w:p>
    <w:sectPr>
      <w:headerReference w:type="default" r:id="rId6"/>
      <w:footerReference w:type="default" r:id="rId7"/>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1F3864" w:sz="6" w:space="1"/>
      </w:pBdr>
      <w:pStyle w:val="Normal"/>
      <w:spacing/>
      <w:ind/>
      <w:jc w:val="center"/>
      <w:rPr/>
    </w:pPr>
    <w:r>
      <w:rPr>
        <w:rFonts w:ascii="Arial" w:eastAsia="Arial" w:hAnsi="Arial" w:cs="Arial"/>
        <w:color w:val="555555"/>
        <w:sz w:val="18"/>
        <w:szCs w:val="18"/>
      </w:rPr>
      <w:t xml:space="preserve">Page </w:t>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1F3864" w:sz="6" w:space="1"/>
      </w:pBdr>
      <w:pStyle w:val="Normal"/>
      <w:spacing/>
      <w:ind/>
      <w:jc w:val="right"/>
      <w:rPr/>
    </w:pPr>
    <w:r>
      <w:rPr>
        <w:rFonts w:ascii="Arial" w:eastAsia="Arial" w:hAnsi="Arial" w:cs="Arial"/>
        <w:color w:val="555555"/>
        <w:sz w:val="18"/>
        <w:szCs w:val="18"/>
      </w:rPr>
      <w:t xml:space="preserve">HQ-Map: RL-Based NoC Application Mapping  |  Amrita Vishwa Vidyapeetham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51A8DADA"/>
    <w:lvl w:ilvl="0">
      <w:start w:val="0"/>
      <w:numFmt w:val="bullet"/>
      <w:suff w:val="tab"/>
      <w:lvlText w:val="•"/>
      <w:pPr>
        <w:pBdr/>
        <w:spacing/>
        <w:ind w:left="720" w:hanging="360"/>
      </w:pPr>
      <w:rPr/>
    </w:lvl>
    <w:lvl w:ilvl="1">
      <w:start w:val="0"/>
      <w:numFmt w:val="bullet"/>
      <w:suff w:val="tab"/>
      <w:lvlText w:val="◦"/>
      <w:pPr>
        <w:pBdr/>
        <w:spacing/>
        <w:ind w:left="1080" w:hanging="360"/>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2">
    <w:nsid w:val="6C126C0A"/>
    <w:lvl w:ilvl="0">
      <w:start w:val="1"/>
      <w:numFmt w:val="decimal"/>
      <w:suff w:val="tab"/>
      <w:lvlText w:val="%1."/>
      <w:pPr>
        <w:pBdr/>
        <w:spacing/>
        <w:ind w:left="720" w:hanging="36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5">
    <w:abstractNumId w:val="1"/>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endnotes" Target="endnotes.xml" /><Relationship Id="rId11" Type="http://schemas.openxmlformats.org/officeDocument/2006/relationships/footnotes" Target="footnotes.xml" /><Relationship Id="rId12" Type="http://schemas.openxmlformats.org/officeDocument/2006/relationships/numbering" Target="numbering.xml" /><Relationship Id="rId7" Type="http://schemas.openxmlformats.org/officeDocument/2006/relationships/footer" Target="footer7.xml" /><Relationship Id="rId6" Type="http://schemas.openxmlformats.org/officeDocument/2006/relationships/header" Target="header6.xml" /><Relationship Id="rId1" Type="http://schemas.openxmlformats.org/officeDocument/2006/relationships/image" Target="media/imagerId1.jpeg" /><Relationship Id="rId2" Type="http://schemas.openxmlformats.org/officeDocument/2006/relationships/image" Target="media/imagerId2.jpeg" /><Relationship Id="rId3" Type="http://schemas.openxmlformats.org/officeDocument/2006/relationships/image" Target="media/imagerId3.jpeg" /><Relationship Id="rId4" Type="http://schemas.openxmlformats.org/officeDocument/2006/relationships/image" Target="media/imagerId4.jpeg" /><Relationship Id="rId5" Type="http://schemas.openxmlformats.org/officeDocument/2006/relationships/image" Target="media/imagerId5.jpeg" /></Relationships>
</file>