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F81044" w14:paraId="200C37EC" w14:textId="77777777">
        <w:tblPrEx>
          <w:tblCellMar>
            <w:top w:w="0" w:type="dxa"/>
            <w:bottom w:w="0" w:type="dxa"/>
          </w:tblCellMar>
        </w:tblPrEx>
        <w:tc>
          <w:tcPr>
            <w:tcW w:w="10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114F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05797864" w14:textId="77777777" w:rsidR="00F81044" w:rsidRDefault="00000000">
            <w:r>
              <w:rPr>
                <w:b/>
                <w:bCs/>
                <w:color w:val="FFFFFF"/>
                <w:sz w:val="19"/>
                <w:szCs w:val="19"/>
              </w:rPr>
              <w:t>PROJECT OVERVIEW</w:t>
            </w:r>
          </w:p>
        </w:tc>
      </w:tr>
    </w:tbl>
    <w:p w14:paraId="0FCA16EE" w14:textId="77777777" w:rsidR="00F81044" w:rsidRDefault="00F81044">
      <w:pPr>
        <w:spacing w:after="28"/>
      </w:pPr>
    </w:p>
    <w:p w14:paraId="56DE52CB" w14:textId="77777777" w:rsidR="00F81044" w:rsidRDefault="00000000">
      <w:pPr>
        <w:spacing w:after="100"/>
      </w:pPr>
      <w:r>
        <w:rPr>
          <w:b/>
          <w:bCs/>
          <w:color w:val="B8114F"/>
        </w:rPr>
        <w:t xml:space="preserve">HQ-Map </w:t>
      </w:r>
      <w:r>
        <w:rPr>
          <w:color w:val="333333"/>
        </w:rPr>
        <w:t xml:space="preserve">is a novel </w:t>
      </w:r>
      <w:r>
        <w:rPr>
          <w:b/>
          <w:bCs/>
          <w:color w:val="1A1A2E"/>
        </w:rPr>
        <w:t xml:space="preserve">hierarchical TD(0) Q-learning </w:t>
      </w:r>
      <w:r>
        <w:rPr>
          <w:color w:val="333333"/>
        </w:rPr>
        <w:t xml:space="preserve">framework that dynamically maps 32 tasks onto an 8×8 NoC SoC across three automotive driving contexts — City (steps 1–300), Highway (301–700), and Parked (701–1000). Unlike prior work (Q-Thermal, TTQR, FLEA), HQ-Map </w:t>
      </w:r>
      <w:r>
        <w:rPr>
          <w:b/>
          <w:bCs/>
          <w:color w:val="1A1A2E"/>
        </w:rPr>
        <w:t xml:space="preserve">jointly optimises communication latency, thermal safety, and ISO 26262 ASIL-D safety-critical task proximity </w:t>
      </w:r>
      <w:r>
        <w:rPr>
          <w:color w:val="333333"/>
        </w:rPr>
        <w:t>in a single reward function. The framework uses spectral graph-cut clustering with critical-task co-location bias, a corrected Bellman update with γ = 0.9, and introduces SCSR — a novel safety constraint satisfaction metric not present in any prior NoC scheduling work.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0"/>
        <w:gridCol w:w="2580"/>
        <w:gridCol w:w="2581"/>
        <w:gridCol w:w="2581"/>
      </w:tblGrid>
      <w:tr w:rsidR="00F81044" w14:paraId="725E08DC" w14:textId="77777777">
        <w:tblPrEx>
          <w:tblCellMar>
            <w:top w:w="0" w:type="dxa"/>
            <w:bottom w:w="0" w:type="dxa"/>
          </w:tblCellMar>
        </w:tblPrEx>
        <w:tc>
          <w:tcPr>
            <w:tcW w:w="2580" w:type="dxa"/>
            <w:tcBorders>
              <w:top w:val="single" w:sz="4" w:space="0" w:color="D0D8F0"/>
              <w:left w:val="single" w:sz="4" w:space="0" w:color="D0D8F0"/>
              <w:bottom w:val="single" w:sz="4" w:space="0" w:color="D0D8F0"/>
              <w:right w:val="single" w:sz="4" w:space="0" w:color="D0D8F0"/>
            </w:tcBorders>
            <w:shd w:val="clear" w:color="auto" w:fill="EFF3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1B27A4" w14:textId="77777777" w:rsidR="00F81044" w:rsidRDefault="00000000">
            <w:pPr>
              <w:jc w:val="center"/>
            </w:pPr>
            <w:r>
              <w:rPr>
                <w:b/>
                <w:bCs/>
                <w:color w:val="B8114F"/>
                <w:sz w:val="34"/>
                <w:szCs w:val="34"/>
              </w:rPr>
              <w:t>8×8</w:t>
            </w:r>
          </w:p>
          <w:p w14:paraId="6ECC75A6" w14:textId="77777777" w:rsidR="00F81044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NoC Mesh · 64 Cores</w:t>
            </w:r>
          </w:p>
        </w:tc>
        <w:tc>
          <w:tcPr>
            <w:tcW w:w="2580" w:type="dxa"/>
            <w:tcBorders>
              <w:top w:val="single" w:sz="4" w:space="0" w:color="D0D8F0"/>
              <w:left w:val="single" w:sz="4" w:space="0" w:color="D0D8F0"/>
              <w:bottom w:val="single" w:sz="4" w:space="0" w:color="D0D8F0"/>
              <w:right w:val="single" w:sz="4" w:space="0" w:color="D0D8F0"/>
            </w:tcBorders>
            <w:shd w:val="clear" w:color="auto" w:fill="EFF3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CA4E8D" w14:textId="77777777" w:rsidR="00F81044" w:rsidRDefault="00000000">
            <w:pPr>
              <w:jc w:val="center"/>
            </w:pPr>
            <w:r>
              <w:rPr>
                <w:b/>
                <w:bCs/>
                <w:color w:val="1565C0"/>
                <w:sz w:val="34"/>
                <w:szCs w:val="34"/>
              </w:rPr>
              <w:t>32</w:t>
            </w:r>
          </w:p>
          <w:p w14:paraId="50344AC4" w14:textId="77777777" w:rsidR="00F81044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Tasks per Step</w:t>
            </w:r>
          </w:p>
        </w:tc>
        <w:tc>
          <w:tcPr>
            <w:tcW w:w="2580" w:type="dxa"/>
            <w:tcBorders>
              <w:top w:val="single" w:sz="4" w:space="0" w:color="D0D8F0"/>
              <w:left w:val="single" w:sz="4" w:space="0" w:color="D0D8F0"/>
              <w:bottom w:val="single" w:sz="4" w:space="0" w:color="D0D8F0"/>
              <w:right w:val="single" w:sz="4" w:space="0" w:color="D0D8F0"/>
            </w:tcBorders>
            <w:shd w:val="clear" w:color="auto" w:fill="EFF3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252F5A" w14:textId="76AF40A3" w:rsidR="00F81044" w:rsidRDefault="003156DA">
            <w:pPr>
              <w:jc w:val="center"/>
            </w:pPr>
            <w:r>
              <w:rPr>
                <w:b/>
                <w:bCs/>
                <w:color w:val="1A7A4A"/>
                <w:sz w:val="34"/>
                <w:szCs w:val="34"/>
              </w:rPr>
              <w:t>30,</w:t>
            </w:r>
            <w:r w:rsidR="00000000">
              <w:rPr>
                <w:b/>
                <w:bCs/>
                <w:color w:val="1A7A4A"/>
                <w:sz w:val="34"/>
                <w:szCs w:val="34"/>
              </w:rPr>
              <w:t>000</w:t>
            </w:r>
          </w:p>
          <w:p w14:paraId="0A9643A0" w14:textId="77777777" w:rsidR="00F81044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Simulation Steps</w:t>
            </w:r>
          </w:p>
        </w:tc>
        <w:tc>
          <w:tcPr>
            <w:tcW w:w="2580" w:type="dxa"/>
            <w:tcBorders>
              <w:top w:val="single" w:sz="4" w:space="0" w:color="D0D8F0"/>
              <w:left w:val="single" w:sz="4" w:space="0" w:color="D0D8F0"/>
              <w:bottom w:val="single" w:sz="4" w:space="0" w:color="D0D8F0"/>
              <w:right w:val="single" w:sz="4" w:space="0" w:color="D0D8F0"/>
            </w:tcBorders>
            <w:shd w:val="clear" w:color="auto" w:fill="EFF3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1ACFFE2" w14:textId="77777777" w:rsidR="00F81044" w:rsidRDefault="00000000">
            <w:pPr>
              <w:jc w:val="center"/>
            </w:pPr>
            <w:r>
              <w:rPr>
                <w:b/>
                <w:bCs/>
                <w:color w:val="B07800"/>
                <w:sz w:val="34"/>
                <w:szCs w:val="34"/>
              </w:rPr>
              <w:t>20</w:t>
            </w:r>
          </w:p>
          <w:p w14:paraId="24E14D45" w14:textId="77777777" w:rsidR="00F81044" w:rsidRDefault="00000000">
            <w:pPr>
              <w:jc w:val="center"/>
            </w:pPr>
            <w:r>
              <w:rPr>
                <w:color w:val="6B7280"/>
                <w:sz w:val="15"/>
                <w:szCs w:val="15"/>
              </w:rPr>
              <w:t>RL States (5 load × 4 thermal)</w:t>
            </w:r>
          </w:p>
        </w:tc>
      </w:tr>
    </w:tbl>
    <w:p w14:paraId="1C86D3FD" w14:textId="77777777" w:rsidR="00F81044" w:rsidRDefault="00F81044">
      <w:pPr>
        <w:spacing w:after="50"/>
      </w:pP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F81044" w14:paraId="5E860395" w14:textId="77777777">
        <w:tblPrEx>
          <w:tblCellMar>
            <w:top w:w="0" w:type="dxa"/>
            <w:bottom w:w="0" w:type="dxa"/>
          </w:tblCellMar>
        </w:tblPrEx>
        <w:tc>
          <w:tcPr>
            <w:tcW w:w="10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7B7F5252" w14:textId="77777777" w:rsidR="00F81044" w:rsidRDefault="00000000">
            <w:r>
              <w:rPr>
                <w:b/>
                <w:bCs/>
                <w:color w:val="FFFFFF"/>
                <w:sz w:val="19"/>
                <w:szCs w:val="19"/>
              </w:rPr>
              <w:t>TECHNICAL APPROACH</w:t>
            </w:r>
          </w:p>
        </w:tc>
      </w:tr>
    </w:tbl>
    <w:p w14:paraId="56444544" w14:textId="77777777" w:rsidR="00F81044" w:rsidRDefault="00F81044">
      <w:pPr>
        <w:spacing w:after="28"/>
      </w:pP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0"/>
        <w:gridCol w:w="5302"/>
      </w:tblGrid>
      <w:tr w:rsidR="00F81044" w14:paraId="13731EAF" w14:textId="77777777">
        <w:tblPrEx>
          <w:tblCellMar>
            <w:top w:w="0" w:type="dxa"/>
            <w:bottom w:w="0" w:type="dxa"/>
          </w:tblCellMar>
        </w:tblPrEx>
        <w:tc>
          <w:tcPr>
            <w:tcW w:w="5020" w:type="dxa"/>
            <w:tcBorders>
              <w:top w:val="single" w:sz="4" w:space="0" w:color="D0D8F0"/>
              <w:left w:val="single" w:sz="4" w:space="0" w:color="D0D8F0"/>
              <w:bottom w:val="single" w:sz="4" w:space="0" w:color="D0D8F0"/>
              <w:right w:val="single" w:sz="4" w:space="0" w:color="D0D8F0"/>
            </w:tcBorders>
            <w:shd w:val="clear" w:color="auto" w:fill="EFF3FF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4222F40" w14:textId="77777777" w:rsidR="00F81044" w:rsidRDefault="00000000">
            <w:pPr>
              <w:spacing w:after="50"/>
            </w:pPr>
            <w:r>
              <w:rPr>
                <w:b/>
                <w:bCs/>
                <w:color w:val="B8114F"/>
                <w:sz w:val="17"/>
                <w:szCs w:val="17"/>
              </w:rPr>
              <w:t>Two-Level Hierarchical Q-Learning</w:t>
            </w:r>
          </w:p>
          <w:p w14:paraId="7E7B7327" w14:textId="77777777" w:rsidR="00F81044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>Level 1 — Coarse:</w:t>
            </w:r>
            <w:r>
              <w:rPr>
                <w:color w:val="333333"/>
                <w:sz w:val="17"/>
                <w:szCs w:val="17"/>
              </w:rPr>
              <w:t xml:space="preserve"> Q[20×4 zones]. Agent selects NoC quadrant for each task cluster using joint thermal+load state index (1..20).</w:t>
            </w:r>
          </w:p>
          <w:p w14:paraId="60FD9541" w14:textId="77777777" w:rsidR="00F81044" w:rsidRDefault="00000000">
            <w:pPr>
              <w:spacing w:after="50"/>
            </w:pPr>
            <w:r>
              <w:rPr>
                <w:b/>
                <w:bCs/>
                <w:color w:val="1A1A2E"/>
                <w:sz w:val="17"/>
                <w:szCs w:val="17"/>
              </w:rPr>
              <w:t>Level 2 — Fine:</w:t>
            </w:r>
            <w:r>
              <w:rPr>
                <w:color w:val="333333"/>
                <w:sz w:val="17"/>
                <w:szCs w:val="17"/>
              </w:rPr>
              <w:t xml:space="preserve"> Q[20×16 cores]. Agent selects specific core within chosen zone using zone occupancy level.</w:t>
            </w:r>
          </w:p>
          <w:p w14:paraId="7B53C2A4" w14:textId="77777777" w:rsidR="00F81044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Bellman TD(0) update: </w:t>
            </w:r>
            <w:r>
              <w:rPr>
                <w:color w:val="B8114F"/>
                <w:sz w:val="17"/>
                <w:szCs w:val="17"/>
              </w:rPr>
              <w:t>Q(s,a) ← Q(s,a) + α·[r + γ·max Q(s′) − Q(s,a)]  where α=0.1, γ=0.9</w:t>
            </w:r>
          </w:p>
          <w:p w14:paraId="575EFA39" w14:textId="77777777" w:rsidR="00F81044" w:rsidRDefault="00000000">
            <w:r>
              <w:rPr>
                <w:b/>
                <w:bCs/>
                <w:color w:val="1A1A2E"/>
                <w:sz w:val="17"/>
                <w:szCs w:val="17"/>
              </w:rPr>
              <w:t xml:space="preserve">Spectral clustering: </w:t>
            </w:r>
            <w:r>
              <w:rPr>
                <w:color w:val="333333"/>
                <w:sz w:val="17"/>
                <w:szCs w:val="17"/>
              </w:rPr>
              <w:t>Normalised Laplacian eigenvectors. Critical-task edges boosted 5× to enforce co-location in same zone.</w:t>
            </w:r>
          </w:p>
        </w:tc>
        <w:tc>
          <w:tcPr>
            <w:tcW w:w="5302" w:type="dxa"/>
            <w:tcBorders>
              <w:top w:val="single" w:sz="4" w:space="0" w:color="F0C0D0"/>
              <w:left w:val="single" w:sz="4" w:space="0" w:color="F0C0D0"/>
              <w:bottom w:val="single" w:sz="4" w:space="0" w:color="F0C0D0"/>
              <w:right w:val="single" w:sz="4" w:space="0" w:color="F0C0D0"/>
            </w:tcBorders>
            <w:shd w:val="clear" w:color="auto" w:fill="FFF0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1B2453B" w14:textId="77777777" w:rsidR="00F81044" w:rsidRDefault="00000000">
            <w:pPr>
              <w:spacing w:after="50"/>
            </w:pPr>
            <w:r>
              <w:rPr>
                <w:b/>
                <w:bCs/>
                <w:color w:val="C0104A"/>
                <w:sz w:val="17"/>
                <w:szCs w:val="17"/>
              </w:rPr>
              <w:t>Reward Function &amp; Metrics</w:t>
            </w:r>
          </w:p>
          <w:p w14:paraId="5F16D12F" w14:textId="77777777" w:rsidR="00F81044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 xml:space="preserve">Reward = </w:t>
            </w:r>
            <w:r>
              <w:rPr>
                <w:color w:val="B8114F"/>
                <w:sz w:val="17"/>
                <w:szCs w:val="17"/>
              </w:rPr>
              <w:t>−0.5·hop_norm − 1.0·thermal_pen − 2.0·safety_pen + 2.0 bonus</w:t>
            </w:r>
          </w:p>
          <w:p w14:paraId="0963CF85" w14:textId="77777777" w:rsidR="00F81044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>Thermal penalty:</w:t>
            </w:r>
            <w:r>
              <w:rPr>
                <w:color w:val="333333"/>
                <w:sz w:val="17"/>
                <w:szCs w:val="17"/>
              </w:rPr>
              <w:t xml:space="preserve"> 0 below 75°C | linear 75–85°C | quadratic above 85°C</w:t>
            </w:r>
          </w:p>
          <w:p w14:paraId="551CD3D1" w14:textId="77777777" w:rsidR="00F81044" w:rsidRDefault="00000000">
            <w:pPr>
              <w:spacing w:after="40"/>
            </w:pPr>
            <w:r>
              <w:rPr>
                <w:b/>
                <w:bCs/>
                <w:color w:val="1A1A2E"/>
                <w:sz w:val="17"/>
                <w:szCs w:val="17"/>
              </w:rPr>
              <w:t>Safety penalty:</w:t>
            </w:r>
            <w:r>
              <w:rPr>
                <w:color w:val="333333"/>
                <w:sz w:val="17"/>
                <w:szCs w:val="17"/>
              </w:rPr>
              <w:t xml:space="preserve"> Fraction of critical pairs &gt;3 hops apart (normalised by pair count)</w:t>
            </w:r>
          </w:p>
          <w:p w14:paraId="4DF6E319" w14:textId="77777777" w:rsidR="00F81044" w:rsidRDefault="00000000">
            <w:r>
              <w:rPr>
                <w:b/>
                <w:bCs/>
                <w:color w:val="1A1A2E"/>
                <w:sz w:val="17"/>
                <w:szCs w:val="17"/>
              </w:rPr>
              <w:t>SCSR (novel):</w:t>
            </w:r>
            <w:r>
              <w:rPr>
                <w:color w:val="333333"/>
                <w:sz w:val="17"/>
                <w:szCs w:val="17"/>
              </w:rPr>
              <w:t xml:space="preserve"> Safety Constraint Satisfaction Rate = satisfied_pairs / total_critical_pairs. First ISO 26262 quantification for NoC task scheduling.</w:t>
            </w:r>
          </w:p>
        </w:tc>
      </w:tr>
    </w:tbl>
    <w:p w14:paraId="426CE8EE" w14:textId="77777777" w:rsidR="00F81044" w:rsidRDefault="00F81044">
      <w:pPr>
        <w:spacing w:after="50"/>
      </w:pP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2"/>
      </w:tblGrid>
      <w:tr w:rsidR="00F81044" w14:paraId="551AA327" w14:textId="77777777">
        <w:tblPrEx>
          <w:tblCellMar>
            <w:top w:w="0" w:type="dxa"/>
            <w:bottom w:w="0" w:type="dxa"/>
          </w:tblCellMar>
        </w:tblPrEx>
        <w:tc>
          <w:tcPr>
            <w:tcW w:w="103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8114F"/>
            <w:tcMar>
              <w:top w:w="60" w:type="dxa"/>
              <w:left w:w="160" w:type="dxa"/>
              <w:bottom w:w="60" w:type="dxa"/>
              <w:right w:w="100" w:type="dxa"/>
            </w:tcMar>
          </w:tcPr>
          <w:p w14:paraId="6730C5A1" w14:textId="710CE997" w:rsidR="00F81044" w:rsidRDefault="00000000">
            <w:r>
              <w:rPr>
                <w:b/>
                <w:bCs/>
                <w:color w:val="FFFFFF"/>
                <w:sz w:val="19"/>
                <w:szCs w:val="19"/>
              </w:rPr>
              <w:t>COMPARATIVE RESULTS — TABLE I (</w:t>
            </w:r>
            <w:r w:rsidR="003156DA">
              <w:rPr>
                <w:b/>
                <w:bCs/>
                <w:color w:val="FFFFFF"/>
                <w:sz w:val="19"/>
                <w:szCs w:val="19"/>
              </w:rPr>
              <w:t>30,</w:t>
            </w:r>
            <w:r>
              <w:rPr>
                <w:b/>
                <w:bCs/>
                <w:color w:val="FFFFFF"/>
                <w:sz w:val="19"/>
                <w:szCs w:val="19"/>
              </w:rPr>
              <w:t>000 SIMULATION STEPS)</w:t>
            </w:r>
          </w:p>
        </w:tc>
      </w:tr>
    </w:tbl>
    <w:p w14:paraId="79F1FE0F" w14:textId="77777777" w:rsidR="00F81044" w:rsidRDefault="00F81044">
      <w:pPr>
        <w:spacing w:after="28"/>
      </w:pP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1470"/>
        <w:gridCol w:w="1470"/>
        <w:gridCol w:w="1470"/>
        <w:gridCol w:w="1470"/>
        <w:gridCol w:w="1772"/>
      </w:tblGrid>
      <w:tr w:rsidR="00F81044" w14:paraId="6F9164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70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53AC7F0F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470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1B9334CC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Avg Reward</w:t>
            </w:r>
          </w:p>
        </w:tc>
        <w:tc>
          <w:tcPr>
            <w:tcW w:w="1470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795D417C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SCSR (%)</w:t>
            </w:r>
          </w:p>
        </w:tc>
        <w:tc>
          <w:tcPr>
            <w:tcW w:w="1470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09A627EA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Max Temp</w:t>
            </w:r>
          </w:p>
        </w:tc>
        <w:tc>
          <w:tcPr>
            <w:tcW w:w="1470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4655E4D8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Latency</w:t>
            </w:r>
          </w:p>
        </w:tc>
        <w:tc>
          <w:tcPr>
            <w:tcW w:w="1772" w:type="dxa"/>
            <w:tcBorders>
              <w:top w:val="single" w:sz="4" w:space="0" w:color="B8114F"/>
              <w:left w:val="single" w:sz="4" w:space="0" w:color="B8114F"/>
              <w:bottom w:val="single" w:sz="4" w:space="0" w:color="B8114F"/>
              <w:right w:val="single" w:sz="4" w:space="0" w:color="B8114F"/>
            </w:tcBorders>
            <w:shd w:val="clear" w:color="auto" w:fill="1A1A2E"/>
            <w:tcMar>
              <w:top w:w="45" w:type="dxa"/>
              <w:left w:w="80" w:type="dxa"/>
              <w:bottom w:w="45" w:type="dxa"/>
              <w:right w:w="50" w:type="dxa"/>
            </w:tcMar>
          </w:tcPr>
          <w:p w14:paraId="68390C15" w14:textId="77777777" w:rsidR="00F81044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Violations</w:t>
            </w:r>
          </w:p>
        </w:tc>
      </w:tr>
      <w:tr w:rsidR="00F81044" w14:paraId="3C7AFE87" w14:textId="77777777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7D34C3B" w14:textId="77777777" w:rsidR="00F81044" w:rsidRDefault="00000000">
            <w:r>
              <w:rPr>
                <w:b/>
                <w:bCs/>
                <w:color w:val="B8114F"/>
                <w:sz w:val="16"/>
                <w:szCs w:val="16"/>
              </w:rPr>
              <w:t>HQ-Map (Ours)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402040AF" w14:textId="77777777" w:rsidR="00F81044" w:rsidRDefault="00000000">
            <w:pPr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+1.291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05E5DD4" w14:textId="77777777" w:rsidR="00F81044" w:rsidRDefault="00000000">
            <w:pPr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70.4%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2F426934" w14:textId="77777777" w:rsidR="00F81044" w:rsidRDefault="00000000">
            <w:pPr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69.0°C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21CACBE8" w14:textId="77777777" w:rsidR="00F81044" w:rsidRDefault="00000000">
            <w:pPr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1476</w:t>
            </w:r>
          </w:p>
        </w:tc>
        <w:tc>
          <w:tcPr>
            <w:tcW w:w="17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0F5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7BFD38DA" w14:textId="77777777" w:rsidR="00F81044" w:rsidRDefault="00000000">
            <w:pPr>
              <w:jc w:val="center"/>
            </w:pPr>
            <w:r>
              <w:rPr>
                <w:b/>
                <w:bCs/>
                <w:color w:val="1A1A2E"/>
                <w:sz w:val="16"/>
                <w:szCs w:val="16"/>
              </w:rPr>
              <w:t>0</w:t>
            </w:r>
          </w:p>
        </w:tc>
      </w:tr>
      <w:tr w:rsidR="00F81044" w14:paraId="36428715" w14:textId="77777777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55835A48" w14:textId="77777777" w:rsidR="00F81044" w:rsidRDefault="00000000">
            <w:r>
              <w:rPr>
                <w:color w:val="444444"/>
                <w:sz w:val="16"/>
                <w:szCs w:val="16"/>
              </w:rPr>
              <w:t>Flat Q (FLEA)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2B2B62CF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+0.474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A7A7332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33.3%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06A21065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69.0°C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125BB442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3863</w:t>
            </w:r>
          </w:p>
        </w:tc>
        <w:tc>
          <w:tcPr>
            <w:tcW w:w="17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631EF8FA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0</w:t>
            </w:r>
          </w:p>
        </w:tc>
      </w:tr>
      <w:tr w:rsidR="00F81044" w14:paraId="3C0B290D" w14:textId="77777777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144F890" w14:textId="77777777" w:rsidR="00F81044" w:rsidRDefault="00000000">
            <w:r>
              <w:rPr>
                <w:color w:val="444444"/>
                <w:sz w:val="16"/>
                <w:szCs w:val="16"/>
              </w:rPr>
              <w:t>Q-Thermal style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E006E2D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+0.304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18F813A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24.7%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695D4F7B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69.0°C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BBF117A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3885</w:t>
            </w:r>
          </w:p>
        </w:tc>
        <w:tc>
          <w:tcPr>
            <w:tcW w:w="17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2C0E4F76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0</w:t>
            </w:r>
          </w:p>
        </w:tc>
      </w:tr>
      <w:tr w:rsidR="00F81044" w14:paraId="1389C7DE" w14:textId="77777777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1332A0A2" w14:textId="77777777" w:rsidR="00F81044" w:rsidRDefault="00000000">
            <w:r>
              <w:rPr>
                <w:color w:val="444444"/>
                <w:sz w:val="16"/>
                <w:szCs w:val="16"/>
              </w:rPr>
              <w:t>Greedy NN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18491037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+0.751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45FFCBA5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44.0%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01346597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61.3°C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522A13DE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2653</w:t>
            </w:r>
          </w:p>
        </w:tc>
        <w:tc>
          <w:tcPr>
            <w:tcW w:w="17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3490677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0</w:t>
            </w:r>
          </w:p>
        </w:tc>
      </w:tr>
      <w:tr w:rsidR="00F81044" w14:paraId="7023B4CB" w14:textId="77777777">
        <w:tblPrEx>
          <w:tblCellMar>
            <w:top w:w="0" w:type="dxa"/>
            <w:bottom w:w="0" w:type="dxa"/>
          </w:tblCellMar>
        </w:tblPrEx>
        <w:tc>
          <w:tcPr>
            <w:tcW w:w="26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27C551D0" w14:textId="77777777" w:rsidR="00F81044" w:rsidRDefault="00000000">
            <w:r>
              <w:rPr>
                <w:color w:val="444444"/>
                <w:sz w:val="16"/>
                <w:szCs w:val="16"/>
              </w:rPr>
              <w:t>Round-Robin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57E05AF3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+0.363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550DF391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27.6%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1345F2F8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68.7°C</w:t>
            </w:r>
          </w:p>
        </w:tc>
        <w:tc>
          <w:tcPr>
            <w:tcW w:w="147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7D86E024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3923</w:t>
            </w:r>
          </w:p>
        </w:tc>
        <w:tc>
          <w:tcPr>
            <w:tcW w:w="17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9FA"/>
            <w:tcMar>
              <w:top w:w="50" w:type="dxa"/>
              <w:left w:w="90" w:type="dxa"/>
              <w:bottom w:w="50" w:type="dxa"/>
              <w:right w:w="60" w:type="dxa"/>
            </w:tcMar>
          </w:tcPr>
          <w:p w14:paraId="3A51D34B" w14:textId="77777777" w:rsidR="00F81044" w:rsidRDefault="00000000">
            <w:pPr>
              <w:jc w:val="center"/>
            </w:pPr>
            <w:r>
              <w:rPr>
                <w:color w:val="444444"/>
                <w:sz w:val="16"/>
                <w:szCs w:val="16"/>
              </w:rPr>
              <w:t>0</w:t>
            </w:r>
          </w:p>
        </w:tc>
      </w:tr>
    </w:tbl>
    <w:p w14:paraId="24DBB3B4" w14:textId="77777777" w:rsidR="00F81044" w:rsidRDefault="00F81044">
      <w:pPr>
        <w:spacing w:after="28"/>
      </w:pPr>
    </w:p>
    <w:p w14:paraId="1B89BFDC" w14:textId="77777777" w:rsidR="00F81044" w:rsidRDefault="00000000">
      <w:pPr>
        <w:spacing w:after="100"/>
      </w:pPr>
      <w:r>
        <w:rPr>
          <w:b/>
          <w:bCs/>
          <w:color w:val="1A1A2E"/>
        </w:rPr>
        <w:t xml:space="preserve">Key results: </w:t>
      </w:r>
      <w:r>
        <w:rPr>
          <w:color w:val="333333"/>
        </w:rPr>
        <w:t>HQ-Map leads on Reward (+1.291), SCSR (70.4%), and Latency (1476). Highway learning delta +1.896 — 3.4× better than Flat Q. SCSR is 2.8× better than Q-Thermal. Zero thermal violations, max 69.0°C.</w:t>
      </w:r>
    </w:p>
    <w:tbl>
      <w:tblPr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1"/>
        <w:gridCol w:w="5161"/>
      </w:tblGrid>
      <w:tr w:rsidR="00F81044" w14:paraId="194F167A" w14:textId="77777777">
        <w:tblPrEx>
          <w:tblCellMar>
            <w:top w:w="0" w:type="dxa"/>
            <w:bottom w:w="0" w:type="dxa"/>
          </w:tblCellMar>
        </w:tblPrEx>
        <w:tc>
          <w:tcPr>
            <w:tcW w:w="51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tbl>
            <w:tblPr>
              <w:tblW w:w="103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22"/>
            </w:tblGrid>
            <w:tr w:rsidR="00F81044" w14:paraId="1361DAB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3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A2E"/>
                  <w:tcMar>
                    <w:top w:w="60" w:type="dxa"/>
                    <w:left w:w="160" w:type="dxa"/>
                    <w:bottom w:w="60" w:type="dxa"/>
                    <w:right w:w="100" w:type="dxa"/>
                  </w:tcMar>
                </w:tcPr>
                <w:p w14:paraId="0E9208A2" w14:textId="77777777" w:rsidR="00F81044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NOVELTY vs PRIOR ART</w:t>
                  </w:r>
                </w:p>
              </w:tc>
            </w:tr>
          </w:tbl>
          <w:p w14:paraId="2C0F4F61" w14:textId="77777777" w:rsidR="00F81044" w:rsidRDefault="00F81044">
            <w:pPr>
              <w:spacing w:after="20"/>
            </w:pPr>
          </w:p>
          <w:tbl>
            <w:tblPr>
              <w:tblW w:w="510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20"/>
              <w:gridCol w:w="3781"/>
            </w:tblGrid>
            <w:tr w:rsidR="00F81044" w14:paraId="05B811A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20" w:type="dxa"/>
                  <w:tcBorders>
                    <w:top w:val="single" w:sz="4" w:space="0" w:color="1A1A2E"/>
                    <w:left w:val="single" w:sz="4" w:space="0" w:color="1A1A2E"/>
                    <w:bottom w:val="single" w:sz="4" w:space="0" w:color="1A1A2E"/>
                    <w:right w:val="single" w:sz="4" w:space="0" w:color="1A1A2E"/>
                  </w:tcBorders>
                  <w:shd w:val="clear" w:color="auto" w:fill="1A1A2E"/>
                  <w:tcMar>
                    <w:top w:w="40" w:type="dxa"/>
                    <w:left w:w="80" w:type="dxa"/>
                    <w:bottom w:w="40" w:type="dxa"/>
                    <w:right w:w="50" w:type="dxa"/>
                  </w:tcMar>
                </w:tcPr>
                <w:p w14:paraId="626513FA" w14:textId="77777777" w:rsidR="00F81044" w:rsidRDefault="00000000"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Gap</w:t>
                  </w:r>
                </w:p>
              </w:tc>
              <w:tc>
                <w:tcPr>
                  <w:tcW w:w="3781" w:type="dxa"/>
                  <w:tcBorders>
                    <w:top w:val="single" w:sz="4" w:space="0" w:color="1A1A2E"/>
                    <w:left w:val="single" w:sz="4" w:space="0" w:color="1A1A2E"/>
                    <w:bottom w:val="single" w:sz="4" w:space="0" w:color="1A1A2E"/>
                    <w:right w:val="single" w:sz="4" w:space="0" w:color="1A1A2E"/>
                  </w:tcBorders>
                  <w:shd w:val="clear" w:color="auto" w:fill="1A1A2E"/>
                  <w:tcMar>
                    <w:top w:w="40" w:type="dxa"/>
                    <w:left w:w="80" w:type="dxa"/>
                    <w:bottom w:w="40" w:type="dxa"/>
                    <w:right w:w="50" w:type="dxa"/>
                  </w:tcMar>
                </w:tcPr>
                <w:p w14:paraId="5ABC528F" w14:textId="77777777" w:rsidR="00F81044" w:rsidRDefault="00000000"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HQ-Map Solution</w:t>
                  </w:r>
                </w:p>
              </w:tc>
            </w:tr>
            <w:tr w:rsidR="00F81044" w14:paraId="5B90C4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FF3FF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01898451" w14:textId="77777777" w:rsidR="00F81044" w:rsidRDefault="00000000">
                  <w:r>
                    <w:rPr>
                      <w:b/>
                      <w:bCs/>
                      <w:color w:val="1A1A2E"/>
                      <w:sz w:val="14"/>
                      <w:szCs w:val="14"/>
                    </w:rPr>
                    <w:t>Mode-aware RL</w:t>
                  </w:r>
                </w:p>
              </w:tc>
              <w:tc>
                <w:tcPr>
                  <w:tcW w:w="378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FF3FF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13A5D2B2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City/Highway/Parked transitions in Q-table update — absent in all prior work.</w:t>
                  </w:r>
                </w:p>
              </w:tc>
            </w:tr>
            <w:tr w:rsidR="00F81044" w14:paraId="284352D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5BC17760" w14:textId="77777777" w:rsidR="00F81044" w:rsidRDefault="00000000">
                  <w:r>
                    <w:rPr>
                      <w:b/>
                      <w:bCs/>
                      <w:color w:val="1A1A2E"/>
                      <w:sz w:val="14"/>
                      <w:szCs w:val="14"/>
                    </w:rPr>
                    <w:t>Safety reward</w:t>
                  </w:r>
                </w:p>
              </w:tc>
              <w:tc>
                <w:tcPr>
                  <w:tcW w:w="378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280D7B63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w_safety=2.0 co-optimised with latency and thermal — not in Q-Thermal or TTQR.</w:t>
                  </w:r>
                </w:p>
              </w:tc>
            </w:tr>
            <w:tr w:rsidR="00F81044" w14:paraId="7DA6E5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FF3FF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39CCEB33" w14:textId="77777777" w:rsidR="00F81044" w:rsidRDefault="00000000">
                  <w:r>
                    <w:rPr>
                      <w:b/>
                      <w:bCs/>
                      <w:color w:val="1A1A2E"/>
                      <w:sz w:val="14"/>
                      <w:szCs w:val="14"/>
                    </w:rPr>
                    <w:t>Two-level hierarchy</w:t>
                  </w:r>
                </w:p>
              </w:tc>
              <w:tc>
                <w:tcPr>
                  <w:tcW w:w="378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FF3FF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0567E41D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Zone→core decomposition keeps Q-tables tractable for 64 cores.</w:t>
                  </w:r>
                </w:p>
              </w:tc>
            </w:tr>
            <w:tr w:rsidR="00F81044" w14:paraId="537F718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2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06B2FBD8" w14:textId="77777777" w:rsidR="00F81044" w:rsidRDefault="00000000">
                  <w:r>
                    <w:rPr>
                      <w:b/>
                      <w:bCs/>
                      <w:color w:val="1A1A2E"/>
                      <w:sz w:val="14"/>
                      <w:szCs w:val="14"/>
                    </w:rPr>
                    <w:t>SCSR metric</w:t>
                  </w:r>
                </w:p>
              </w:tc>
              <w:tc>
                <w:tcPr>
                  <w:tcW w:w="378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1B7430C3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First ISO 26262 compliance metric for NoC scheduling.</w:t>
                  </w:r>
                </w:p>
              </w:tc>
            </w:tr>
          </w:tbl>
          <w:p w14:paraId="5B32DC7F" w14:textId="77777777" w:rsidR="00F81044" w:rsidRDefault="00F81044"/>
        </w:tc>
        <w:tc>
          <w:tcPr>
            <w:tcW w:w="52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20" w:type="dxa"/>
              <w:bottom w:w="0" w:type="dxa"/>
              <w:right w:w="0" w:type="dxa"/>
            </w:tcMar>
          </w:tcPr>
          <w:tbl>
            <w:tblPr>
              <w:tblW w:w="1032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0322"/>
            </w:tblGrid>
            <w:tr w:rsidR="00F81044" w14:paraId="7FE8FA9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322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B8114F"/>
                  <w:tcMar>
                    <w:top w:w="60" w:type="dxa"/>
                    <w:left w:w="160" w:type="dxa"/>
                    <w:bottom w:w="60" w:type="dxa"/>
                    <w:right w:w="100" w:type="dxa"/>
                  </w:tcMar>
                </w:tcPr>
                <w:p w14:paraId="4941E487" w14:textId="77777777" w:rsidR="00F81044" w:rsidRDefault="00000000">
                  <w:r>
                    <w:rPr>
                      <w:b/>
                      <w:bCs/>
                      <w:color w:val="FFFFFF"/>
                      <w:sz w:val="19"/>
                      <w:szCs w:val="19"/>
                    </w:rPr>
                    <w:t>SDG ALIGNMENT</w:t>
                  </w:r>
                </w:p>
              </w:tc>
            </w:tr>
          </w:tbl>
          <w:p w14:paraId="27E15941" w14:textId="77777777" w:rsidR="00F81044" w:rsidRDefault="00F81044">
            <w:pPr>
              <w:spacing w:after="20"/>
            </w:pPr>
          </w:p>
          <w:tbl>
            <w:tblPr>
              <w:tblW w:w="52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380"/>
              <w:gridCol w:w="3841"/>
            </w:tblGrid>
            <w:tr w:rsidR="00F81044" w14:paraId="7940BC1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blHeader/>
              </w:trPr>
              <w:tc>
                <w:tcPr>
                  <w:tcW w:w="1380" w:type="dxa"/>
                  <w:tcBorders>
                    <w:top w:val="single" w:sz="4" w:space="0" w:color="B8114F"/>
                    <w:left w:val="single" w:sz="4" w:space="0" w:color="B8114F"/>
                    <w:bottom w:val="single" w:sz="4" w:space="0" w:color="B8114F"/>
                    <w:right w:val="single" w:sz="4" w:space="0" w:color="B8114F"/>
                  </w:tcBorders>
                  <w:shd w:val="clear" w:color="auto" w:fill="1A1A2E"/>
                  <w:tcMar>
                    <w:top w:w="40" w:type="dxa"/>
                    <w:left w:w="80" w:type="dxa"/>
                    <w:bottom w:w="40" w:type="dxa"/>
                    <w:right w:w="50" w:type="dxa"/>
                  </w:tcMar>
                </w:tcPr>
                <w:p w14:paraId="0B29DEAB" w14:textId="77777777" w:rsidR="00F81044" w:rsidRDefault="00000000"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SDG</w:t>
                  </w:r>
                </w:p>
              </w:tc>
              <w:tc>
                <w:tcPr>
                  <w:tcW w:w="3841" w:type="dxa"/>
                  <w:tcBorders>
                    <w:top w:val="single" w:sz="4" w:space="0" w:color="B8114F"/>
                    <w:left w:val="single" w:sz="4" w:space="0" w:color="B8114F"/>
                    <w:bottom w:val="single" w:sz="4" w:space="0" w:color="B8114F"/>
                    <w:right w:val="single" w:sz="4" w:space="0" w:color="B8114F"/>
                  </w:tcBorders>
                  <w:shd w:val="clear" w:color="auto" w:fill="1A1A2E"/>
                  <w:tcMar>
                    <w:top w:w="40" w:type="dxa"/>
                    <w:left w:w="80" w:type="dxa"/>
                    <w:bottom w:w="40" w:type="dxa"/>
                    <w:right w:w="50" w:type="dxa"/>
                  </w:tcMar>
                </w:tcPr>
                <w:p w14:paraId="6050079B" w14:textId="77777777" w:rsidR="00F81044" w:rsidRDefault="00000000">
                  <w:r>
                    <w:rPr>
                      <w:b/>
                      <w:bCs/>
                      <w:color w:val="FFFFFF"/>
                      <w:sz w:val="14"/>
                      <w:szCs w:val="14"/>
                    </w:rPr>
                    <w:t>Project Contribution</w:t>
                  </w:r>
                </w:p>
              </w:tc>
            </w:tr>
            <w:tr w:rsidR="00F81044" w14:paraId="1E28F59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0F5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437BD48F" w14:textId="77777777" w:rsidR="00F81044" w:rsidRDefault="00000000">
                  <w:r>
                    <w:rPr>
                      <w:b/>
                      <w:bCs/>
                      <w:color w:val="B8114F"/>
                      <w:sz w:val="14"/>
                      <w:szCs w:val="14"/>
                    </w:rPr>
                    <w:t>SDG 3 — Good Health</w:t>
                  </w:r>
                </w:p>
              </w:tc>
              <w:tc>
                <w:tcPr>
                  <w:tcW w:w="384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0F5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00963983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SCSR 70.4% (vs 24.7%) satisfies ISO 26262 ASIL-D; reduces road fatalities.</w:t>
                  </w:r>
                </w:p>
              </w:tc>
            </w:tr>
            <w:tr w:rsidR="00F81044" w14:paraId="12326A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24634328" w14:textId="77777777" w:rsidR="00F81044" w:rsidRDefault="00000000">
                  <w:r>
                    <w:rPr>
                      <w:b/>
                      <w:bCs/>
                      <w:color w:val="B8114F"/>
                      <w:sz w:val="14"/>
                      <w:szCs w:val="14"/>
                    </w:rPr>
                    <w:t>SDG 9 — Industry</w:t>
                  </w:r>
                </w:p>
              </w:tc>
              <w:tc>
                <w:tcPr>
                  <w:tcW w:w="384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0F142093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62% latency reduction over Round-Robin enables efficient automotive SoC infrastructure.</w:t>
                  </w:r>
                </w:p>
              </w:tc>
            </w:tr>
            <w:tr w:rsidR="00F81044" w14:paraId="75280CE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0F5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3335300F" w14:textId="77777777" w:rsidR="00F81044" w:rsidRDefault="00000000">
                  <w:r>
                    <w:rPr>
                      <w:b/>
                      <w:bCs/>
                      <w:color w:val="B8114F"/>
                      <w:sz w:val="14"/>
                      <w:szCs w:val="14"/>
                    </w:rPr>
                    <w:t>SDG 11 — Sustainable Cities</w:t>
                  </w:r>
                </w:p>
              </w:tc>
              <w:tc>
                <w:tcPr>
                  <w:tcW w:w="384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0F5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1A818069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Mode-aware ADAS scheduling for safe smart-city autonomous vehicle deployment.</w:t>
                  </w:r>
                </w:p>
              </w:tc>
            </w:tr>
            <w:tr w:rsidR="00F81044" w14:paraId="0F22C8B2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3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1C82F5EF" w14:textId="77777777" w:rsidR="00F81044" w:rsidRDefault="00000000">
                  <w:r>
                    <w:rPr>
                      <w:b/>
                      <w:bCs/>
                      <w:color w:val="B8114F"/>
                      <w:sz w:val="14"/>
                      <w:szCs w:val="14"/>
                    </w:rPr>
                    <w:t>SDG 13 — Climate</w:t>
                  </w:r>
                </w:p>
              </w:tc>
              <w:tc>
                <w:tcPr>
                  <w:tcW w:w="3841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8F9FA"/>
                  <w:tcMar>
                    <w:top w:w="35" w:type="dxa"/>
                    <w:left w:w="80" w:type="dxa"/>
                    <w:bottom w:w="35" w:type="dxa"/>
                    <w:right w:w="50" w:type="dxa"/>
                  </w:tcMar>
                </w:tcPr>
                <w:p w14:paraId="67219A21" w14:textId="77777777" w:rsidR="00F81044" w:rsidRDefault="00000000">
                  <w:r>
                    <w:rPr>
                      <w:color w:val="444444"/>
                      <w:sz w:val="14"/>
                      <w:szCs w:val="14"/>
                    </w:rPr>
                    <w:t>Zero thermal violations (max 69°C) minimises cooling energy, lowering CO₂ emissions.</w:t>
                  </w:r>
                </w:p>
              </w:tc>
            </w:tr>
          </w:tbl>
          <w:p w14:paraId="447A0CEF" w14:textId="77777777" w:rsidR="00F81044" w:rsidRDefault="00F81044"/>
        </w:tc>
      </w:tr>
    </w:tbl>
    <w:p w14:paraId="0A1DFE25" w14:textId="77777777" w:rsidR="00000000" w:rsidRDefault="00000000"/>
    <w:p w14:paraId="589A0995" w14:textId="77777777" w:rsidR="003156DA" w:rsidRPr="003156DA" w:rsidRDefault="003156DA" w:rsidP="003156DA"/>
    <w:p w14:paraId="345C564E" w14:textId="77777777" w:rsidR="003156DA" w:rsidRPr="003156DA" w:rsidRDefault="003156DA" w:rsidP="003156DA"/>
    <w:p w14:paraId="06F634DD" w14:textId="77777777" w:rsidR="003156DA" w:rsidRPr="003156DA" w:rsidRDefault="003156DA" w:rsidP="003156DA"/>
    <w:p w14:paraId="4F346F43" w14:textId="77777777" w:rsidR="003156DA" w:rsidRPr="003156DA" w:rsidRDefault="003156DA" w:rsidP="003156DA"/>
    <w:p w14:paraId="0FF30A88" w14:textId="77777777" w:rsidR="003156DA" w:rsidRPr="003156DA" w:rsidRDefault="003156DA" w:rsidP="003156DA"/>
    <w:p w14:paraId="4B11DA3F" w14:textId="77777777" w:rsidR="003156DA" w:rsidRPr="003156DA" w:rsidRDefault="003156DA" w:rsidP="003156DA"/>
    <w:p w14:paraId="04E08C82" w14:textId="357AFDD1" w:rsidR="003156DA" w:rsidRPr="003156DA" w:rsidRDefault="003156DA" w:rsidP="003156DA">
      <w:pPr>
        <w:tabs>
          <w:tab w:val="left" w:pos="8800"/>
        </w:tabs>
      </w:pPr>
      <w:r>
        <w:tab/>
      </w:r>
    </w:p>
    <w:sectPr w:rsidR="003156DA" w:rsidRPr="003156DA">
      <w:headerReference w:type="default" r:id="rId7"/>
      <w:footerReference w:type="default" r:id="rId8"/>
      <w:pgSz w:w="11906" w:h="16838"/>
      <w:pgMar w:top="792" w:right="792" w:bottom="792" w:left="79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CD120" w14:textId="77777777" w:rsidR="00FE2076" w:rsidRDefault="00FE2076">
      <w:r>
        <w:separator/>
      </w:r>
    </w:p>
  </w:endnote>
  <w:endnote w:type="continuationSeparator" w:id="0">
    <w:p w14:paraId="74711041" w14:textId="77777777" w:rsidR="00FE2076" w:rsidRDefault="00FE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B4E1" w14:textId="5F2D679B" w:rsidR="00F81044" w:rsidRDefault="00000000">
    <w:pPr>
      <w:spacing w:before="60"/>
      <w:jc w:val="center"/>
    </w:pPr>
    <w:r>
      <w:rPr>
        <w:color w:val="6B7280"/>
        <w:sz w:val="14"/>
        <w:szCs w:val="14"/>
      </w:rPr>
      <w:t xml:space="preserve">Amrita School of Engineering  |  Phase 2 Final Review  |  2024-25  |  </w:t>
    </w:r>
    <w:r>
      <w:rPr>
        <w:color w:val="B8114F"/>
        <w:sz w:val="14"/>
        <w:szCs w:val="14"/>
      </w:rPr>
      <w:t>Implementation: Octave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AEFF" w14:textId="77777777" w:rsidR="00FE2076" w:rsidRDefault="00FE2076">
      <w:r>
        <w:separator/>
      </w:r>
    </w:p>
  </w:footnote>
  <w:footnote w:type="continuationSeparator" w:id="0">
    <w:p w14:paraId="563BAC25" w14:textId="77777777" w:rsidR="00FE2076" w:rsidRDefault="00FE2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0322"/>
    </w:tblGrid>
    <w:tr w:rsidR="00F81044" w14:paraId="4879702C" w14:textId="77777777">
      <w:tblPrEx>
        <w:tblCellMar>
          <w:top w:w="0" w:type="dxa"/>
          <w:bottom w:w="0" w:type="dxa"/>
        </w:tblCellMar>
      </w:tblPrEx>
      <w:tc>
        <w:tcPr>
          <w:tcW w:w="10322" w:type="dxa"/>
          <w:tcBorders>
            <w:top w:val="none" w:sz="0" w:space="0" w:color="FFFFFF"/>
            <w:left w:val="none" w:sz="0" w:space="0" w:color="FFFFFF"/>
            <w:bottom w:val="single" w:sz="16" w:space="0" w:color="B8114F"/>
            <w:right w:val="none" w:sz="0" w:space="0" w:color="FFFFFF"/>
          </w:tcBorders>
          <w:shd w:val="clear" w:color="auto" w:fill="1A1A2E"/>
          <w:tcMar>
            <w:top w:w="100" w:type="dxa"/>
            <w:left w:w="200" w:type="dxa"/>
            <w:bottom w:w="120" w:type="dxa"/>
            <w:right w:w="200" w:type="dxa"/>
          </w:tcMar>
        </w:tcPr>
        <w:p w14:paraId="7DCDA4DD" w14:textId="77777777" w:rsidR="00F81044" w:rsidRDefault="00000000">
          <w:pPr>
            <w:spacing w:after="40"/>
            <w:jc w:val="center"/>
          </w:pPr>
          <w:r>
            <w:rPr>
              <w:b/>
              <w:bCs/>
              <w:color w:val="FFFFFF"/>
              <w:sz w:val="21"/>
              <w:szCs w:val="21"/>
            </w:rPr>
            <w:t>HQ-MAP: HIERARCHICAL Q-LEARNING FOR THERMAL-AWARE TASK MAPPING IN AUTOMOTIVE NoC SoCs</w:t>
          </w:r>
        </w:p>
        <w:p w14:paraId="553AB688" w14:textId="77777777" w:rsidR="00F81044" w:rsidRDefault="00000000">
          <w:pPr>
            <w:jc w:val="center"/>
          </w:pPr>
          <w:r>
            <w:rPr>
              <w:color w:val="99BBDD"/>
              <w:sz w:val="15"/>
              <w:szCs w:val="15"/>
            </w:rPr>
            <w:t>MT Suryanarayanan (AM.EN.U4AIE22130)  |  Madhav A Das (AM.EN.U4AIE22131)  |  Sheen Paul Shibu (AM.EN.U4AIE22147)</w:t>
          </w:r>
          <w:r>
            <w:rPr>
              <w:color w:val="6B7280"/>
              <w:sz w:val="15"/>
              <w:szCs w:val="15"/>
            </w:rPr>
            <w:t xml:space="preserve">     Guided by: Dr. Reshma Raj R S  |  Amrita Vishwa Vidyapeetham, Dept. of AI &amp; Data Science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E613C"/>
    <w:multiLevelType w:val="hybridMultilevel"/>
    <w:tmpl w:val="8C0E71BA"/>
    <w:lvl w:ilvl="0" w:tplc="76865F9E">
      <w:start w:val="1"/>
      <w:numFmt w:val="bullet"/>
      <w:lvlText w:val="●"/>
      <w:lvlJc w:val="left"/>
      <w:pPr>
        <w:ind w:left="720" w:hanging="360"/>
      </w:pPr>
    </w:lvl>
    <w:lvl w:ilvl="1" w:tplc="AB462370">
      <w:start w:val="1"/>
      <w:numFmt w:val="bullet"/>
      <w:lvlText w:val="○"/>
      <w:lvlJc w:val="left"/>
      <w:pPr>
        <w:ind w:left="1440" w:hanging="360"/>
      </w:pPr>
    </w:lvl>
    <w:lvl w:ilvl="2" w:tplc="C7826092">
      <w:start w:val="1"/>
      <w:numFmt w:val="bullet"/>
      <w:lvlText w:val="■"/>
      <w:lvlJc w:val="left"/>
      <w:pPr>
        <w:ind w:left="2160" w:hanging="360"/>
      </w:pPr>
    </w:lvl>
    <w:lvl w:ilvl="3" w:tplc="3E2222B2">
      <w:start w:val="1"/>
      <w:numFmt w:val="bullet"/>
      <w:lvlText w:val="●"/>
      <w:lvlJc w:val="left"/>
      <w:pPr>
        <w:ind w:left="2880" w:hanging="360"/>
      </w:pPr>
    </w:lvl>
    <w:lvl w:ilvl="4" w:tplc="6B6EC84A">
      <w:start w:val="1"/>
      <w:numFmt w:val="bullet"/>
      <w:lvlText w:val="○"/>
      <w:lvlJc w:val="left"/>
      <w:pPr>
        <w:ind w:left="3600" w:hanging="360"/>
      </w:pPr>
    </w:lvl>
    <w:lvl w:ilvl="5" w:tplc="71AE7C6E">
      <w:start w:val="1"/>
      <w:numFmt w:val="bullet"/>
      <w:lvlText w:val="■"/>
      <w:lvlJc w:val="left"/>
      <w:pPr>
        <w:ind w:left="4320" w:hanging="360"/>
      </w:pPr>
    </w:lvl>
    <w:lvl w:ilvl="6" w:tplc="E5E29880">
      <w:start w:val="1"/>
      <w:numFmt w:val="bullet"/>
      <w:lvlText w:val="●"/>
      <w:lvlJc w:val="left"/>
      <w:pPr>
        <w:ind w:left="5040" w:hanging="360"/>
      </w:pPr>
    </w:lvl>
    <w:lvl w:ilvl="7" w:tplc="0D0E435C">
      <w:start w:val="1"/>
      <w:numFmt w:val="bullet"/>
      <w:lvlText w:val="●"/>
      <w:lvlJc w:val="left"/>
      <w:pPr>
        <w:ind w:left="5760" w:hanging="360"/>
      </w:pPr>
    </w:lvl>
    <w:lvl w:ilvl="8" w:tplc="A7760166">
      <w:start w:val="1"/>
      <w:numFmt w:val="bullet"/>
      <w:lvlText w:val="●"/>
      <w:lvlJc w:val="left"/>
      <w:pPr>
        <w:ind w:left="6480" w:hanging="360"/>
      </w:pPr>
    </w:lvl>
  </w:abstractNum>
  <w:num w:numId="1" w16cid:durableId="9973468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044"/>
    <w:rsid w:val="003156DA"/>
    <w:rsid w:val="00E60E6E"/>
    <w:rsid w:val="00F81044"/>
    <w:rsid w:val="00FE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B6FC1"/>
  <w15:docId w15:val="{478D628D-0499-4C58-9DD8-3328492D5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156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56DA"/>
  </w:style>
  <w:style w:type="paragraph" w:styleId="Footer">
    <w:name w:val="footer"/>
    <w:basedOn w:val="Normal"/>
    <w:link w:val="FooterChar"/>
    <w:uiPriority w:val="99"/>
    <w:unhideWhenUsed/>
    <w:rsid w:val="003156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5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Das, Madhav A (Contractor)</cp:lastModifiedBy>
  <cp:revision>2</cp:revision>
  <dcterms:created xsi:type="dcterms:W3CDTF">2026-05-18T19:50:00Z</dcterms:created>
  <dcterms:modified xsi:type="dcterms:W3CDTF">2026-05-18T19:55:00Z</dcterms:modified>
</cp:coreProperties>
</file>