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B365D"/>
          <w:sz w:val="40"/>
        </w:rPr>
        <w:t>WEEK 2 FINAL TECHNICAL ACCURACY CORRECTION LOG</w:t>
        <w:br/>
        <w:t>&amp; MATHEMATICAL VERIFICATION AUDIT</w:t>
      </w:r>
    </w:p>
    <w:p>
      <w:pPr>
        <w:spacing w:after="320"/>
        <w:jc w:val="center"/>
      </w:pPr>
      <w:r>
        <w:rPr>
          <w:rFonts w:ascii="Calibri" w:hAnsi="Calibri"/>
          <w:i/>
          <w:color w:val="4A607A"/>
          <w:sz w:val="22"/>
        </w:rPr>
        <w:t>Formal Documentation of Statistical Refinements, Distributional Clarifications,</w:t>
        <w:br/>
        <w:t>and Scorecard Standardization for Week 2 Logistics Data Preprocessing</w:t>
      </w:r>
    </w:p>
    <w:tbl>
      <w:tblPr>
        <w:tblW w:type="auto" w:w="0"/>
        <w:jc w:val="center"/>
        <w:tblLook w:firstColumn="1" w:firstRow="1" w:lastColumn="0" w:lastRow="0" w:noHBand="0" w:noVBand="1" w:val="04A0"/>
      </w:tblPr>
      <w:tblGrid>
        <w:gridCol w:w="4680"/>
        <w:gridCol w:w="4680"/>
      </w:tblGrid>
      <w:tr>
        <w:tc>
          <w:tcPr>
            <w:tcW w:type="dxa" w:w="3168"/>
            <w:shd w:fill="F2F4F7"/>
            <w:tcMar>
              <w:top w:w="50" w:type="dxa"/>
              <w:bottom w:w="50" w:type="dxa"/>
              <w:left w:w="80" w:type="dxa"/>
              <w:right w:w="80" w:type="dxa"/>
            </w:tcMar>
          </w:tcPr>
          <w:p>
            <w:pPr>
              <w:spacing w:after="40"/>
            </w:pPr>
            <w:r>
              <w:rPr>
                <w:b/>
                <w:color w:val="1B365D"/>
                <w:sz w:val="18"/>
              </w:rPr>
              <w:t>Author &amp; Role:</w:t>
            </w:r>
          </w:p>
        </w:tc>
        <w:tc>
          <w:tcPr>
            <w:tcW w:type="dxa" w:w="6192"/>
            <w:shd w:fill="FFFFFF"/>
            <w:tcMar>
              <w:top w:w="50" w:type="dxa"/>
              <w:bottom w:w="50" w:type="dxa"/>
              <w:left w:w="80" w:type="dxa"/>
              <w:right w:w="80" w:type="dxa"/>
            </w:tcMar>
          </w:tcPr>
          <w:p>
            <w:pPr>
              <w:spacing w:after="40"/>
            </w:pPr>
            <w:r>
              <w:rPr>
                <w:color w:val="282828"/>
                <w:sz w:val="18"/>
              </w:rPr>
              <w:t>Paladugula Madhavan | Lead Logistics Data Analyst Intern</w:t>
            </w:r>
          </w:p>
        </w:tc>
      </w:tr>
      <w:tr>
        <w:tc>
          <w:tcPr>
            <w:tcW w:type="dxa" w:w="3168"/>
            <w:shd w:fill="F2F4F7"/>
            <w:tcMar>
              <w:top w:w="50" w:type="dxa"/>
              <w:bottom w:w="50" w:type="dxa"/>
              <w:left w:w="80" w:type="dxa"/>
              <w:right w:w="80" w:type="dxa"/>
            </w:tcMar>
          </w:tcPr>
          <w:p>
            <w:pPr>
              <w:spacing w:after="40"/>
            </w:pPr>
            <w:r>
              <w:rPr>
                <w:b/>
                <w:color w:val="1B365D"/>
                <w:sz w:val="18"/>
              </w:rPr>
              <w:t>Academic Institution:</w:t>
            </w:r>
          </w:p>
        </w:tc>
        <w:tc>
          <w:tcPr>
            <w:tcW w:type="dxa" w:w="6192"/>
            <w:shd w:fill="FFFFFF"/>
            <w:tcMar>
              <w:top w:w="50" w:type="dxa"/>
              <w:bottom w:w="50" w:type="dxa"/>
              <w:left w:w="80" w:type="dxa"/>
              <w:right w:w="80" w:type="dxa"/>
            </w:tcMar>
          </w:tcPr>
          <w:p>
            <w:pPr>
              <w:spacing w:after="40"/>
            </w:pPr>
            <w:r>
              <w:rPr>
                <w:color w:val="282828"/>
                <w:sz w:val="18"/>
              </w:rPr>
              <w:t>Vellore Institute of Technology, Andhra Pradesh</w:t>
            </w:r>
          </w:p>
        </w:tc>
      </w:tr>
      <w:tr>
        <w:tc>
          <w:tcPr>
            <w:tcW w:type="dxa" w:w="3168"/>
            <w:shd w:fill="F2F4F7"/>
            <w:tcMar>
              <w:top w:w="50" w:type="dxa"/>
              <w:bottom w:w="50" w:type="dxa"/>
              <w:left w:w="80" w:type="dxa"/>
              <w:right w:w="80" w:type="dxa"/>
            </w:tcMar>
          </w:tcPr>
          <w:p>
            <w:pPr>
              <w:spacing w:after="40"/>
            </w:pPr>
            <w:r>
              <w:rPr>
                <w:b/>
                <w:color w:val="1B365D"/>
                <w:sz w:val="18"/>
              </w:rPr>
              <w:t>Project Scope:</w:t>
            </w:r>
          </w:p>
        </w:tc>
        <w:tc>
          <w:tcPr>
            <w:tcW w:type="dxa" w:w="6192"/>
            <w:shd w:fill="FFFFFF"/>
            <w:tcMar>
              <w:top w:w="50" w:type="dxa"/>
              <w:bottom w:w="50" w:type="dxa"/>
              <w:left w:w="80" w:type="dxa"/>
              <w:right w:w="80" w:type="dxa"/>
            </w:tcMar>
          </w:tcPr>
          <w:p>
            <w:pPr>
              <w:spacing w:after="40"/>
            </w:pPr>
            <w:r>
              <w:rPr>
                <w:color w:val="282828"/>
                <w:sz w:val="18"/>
              </w:rPr>
              <w:t>Logistics Data Analytics – Week 2 Technical Review</w:t>
            </w:r>
          </w:p>
        </w:tc>
      </w:tr>
      <w:tr>
        <w:tc>
          <w:tcPr>
            <w:tcW w:type="dxa" w:w="3168"/>
            <w:shd w:fill="F2F4F7"/>
            <w:tcMar>
              <w:top w:w="50" w:type="dxa"/>
              <w:bottom w:w="50" w:type="dxa"/>
              <w:left w:w="80" w:type="dxa"/>
              <w:right w:w="80" w:type="dxa"/>
            </w:tcMar>
          </w:tcPr>
          <w:p>
            <w:pPr>
              <w:spacing w:after="40"/>
            </w:pPr>
            <w:r>
              <w:rPr>
                <w:b/>
                <w:color w:val="1B365D"/>
                <w:sz w:val="18"/>
              </w:rPr>
              <w:t>Repository Target:</w:t>
            </w:r>
          </w:p>
        </w:tc>
        <w:tc>
          <w:tcPr>
            <w:tcW w:type="dxa" w:w="6192"/>
            <w:shd w:fill="FFFFFF"/>
            <w:tcMar>
              <w:top w:w="50" w:type="dxa"/>
              <w:bottom w:w="50" w:type="dxa"/>
              <w:left w:w="80" w:type="dxa"/>
              <w:right w:w="80" w:type="dxa"/>
            </w:tcMar>
          </w:tcPr>
          <w:p>
            <w:pPr>
              <w:spacing w:after="40"/>
            </w:pPr>
            <w:r>
              <w:rPr>
                <w:color w:val="282828"/>
                <w:sz w:val="18"/>
              </w:rPr>
              <w:t>https://github.com/madhavanj8148/Logistics-Data-Analytics.git</w:t>
            </w:r>
          </w:p>
        </w:tc>
      </w:tr>
      <w:tr>
        <w:tc>
          <w:tcPr>
            <w:tcW w:type="dxa" w:w="3168"/>
            <w:shd w:fill="F2F4F7"/>
            <w:tcMar>
              <w:top w:w="50" w:type="dxa"/>
              <w:bottom w:w="50" w:type="dxa"/>
              <w:left w:w="80" w:type="dxa"/>
              <w:right w:w="80" w:type="dxa"/>
            </w:tcMar>
          </w:tcPr>
          <w:p>
            <w:pPr>
              <w:spacing w:after="40"/>
            </w:pPr>
            <w:r>
              <w:rPr>
                <w:b/>
                <w:color w:val="1B365D"/>
                <w:sz w:val="18"/>
              </w:rPr>
              <w:t>Verification Standard:</w:t>
            </w:r>
          </w:p>
        </w:tc>
        <w:tc>
          <w:tcPr>
            <w:tcW w:type="dxa" w:w="6192"/>
            <w:shd w:fill="FFFFFF"/>
            <w:tcMar>
              <w:top w:w="50" w:type="dxa"/>
              <w:bottom w:w="50" w:type="dxa"/>
              <w:left w:w="80" w:type="dxa"/>
              <w:right w:w="80" w:type="dxa"/>
            </w:tcMar>
          </w:tcPr>
          <w:p>
            <w:pPr>
              <w:spacing w:after="40"/>
            </w:pPr>
            <w:r>
              <w:rPr>
                <w:color w:val="282828"/>
                <w:sz w:val="18"/>
              </w:rPr>
              <w:t>Mathematical Precision &amp; Empirical Verification Protocol</w:t>
            </w:r>
          </w:p>
        </w:tc>
      </w:tr>
      <w:tr>
        <w:tc>
          <w:tcPr>
            <w:tcW w:type="dxa" w:w="3168"/>
            <w:shd w:fill="F2F4F7"/>
            <w:tcMar>
              <w:top w:w="50" w:type="dxa"/>
              <w:bottom w:w="50" w:type="dxa"/>
              <w:left w:w="80" w:type="dxa"/>
              <w:right w:w="80" w:type="dxa"/>
            </w:tcMar>
          </w:tcPr>
          <w:p>
            <w:pPr>
              <w:spacing w:after="40"/>
            </w:pPr>
            <w:r>
              <w:rPr>
                <w:b/>
                <w:color w:val="1B365D"/>
                <w:sz w:val="18"/>
              </w:rPr>
              <w:t>Timestamp of Review:</w:t>
            </w:r>
          </w:p>
        </w:tc>
        <w:tc>
          <w:tcPr>
            <w:tcW w:type="dxa" w:w="6192"/>
            <w:shd w:fill="FFFFFF"/>
            <w:tcMar>
              <w:top w:w="50" w:type="dxa"/>
              <w:bottom w:w="50" w:type="dxa"/>
              <w:left w:w="80" w:type="dxa"/>
              <w:right w:w="80" w:type="dxa"/>
            </w:tcMar>
          </w:tcPr>
          <w:p>
            <w:pPr>
              <w:spacing w:after="40"/>
            </w:pPr>
            <w:r>
              <w:rPr>
                <w:color w:val="282828"/>
                <w:sz w:val="18"/>
              </w:rPr>
              <w:t>October 31, 2026 | Local Time: 13:40 IST</w:t>
            </w:r>
          </w:p>
        </w:tc>
      </w:tr>
    </w:tbl>
    <w:p>
      <w:pPr>
        <w:spacing w:after="200"/>
      </w:pPr>
    </w:p>
    <w:p>
      <w:pPr>
        <w:pStyle w:val="Heading1"/>
      </w:pPr>
      <w:r>
        <w:t>1. Executive Summary &amp; Review Scope</w:t>
      </w:r>
    </w:p>
    <w:p>
      <w:pPr>
        <w:spacing w:after="200"/>
      </w:pPr>
      <w:r>
        <w:t>This Final Technical Accuracy Review was conducted to perform a comprehensive, rigorous refinement of statistical statements, distributional proofs, feature scaling descriptions, and audit scorecard metrics across the entire Week 2 Logistics Data Analytics workspace. The objective was to ensure that every theoretical assertion adheres strictly to mathematical principles, eliminates overgeneralized claims, and aligns seamlessly with empirical ground-truth data.</w:t>
        <w:br/>
        <w:br/>
        <w:t>Key Review Outcomes:</w:t>
        <w:br/>
        <w:t>1. Kurtosis &amp; Uniformity Clarification: Corrected statements claiming that an excess kurtosis of approximately -1.20 'proves' a uniform distribution. The documentation now accurately explains that while -1.20 is the theoretical excess kurtosis of a continuous uniform distribution, observed kurtosis alone does not establish uniformity without empirical histogram validation.</w:t>
        <w:br/>
        <w:t>2. StandardScaler Clarification: Corrected feature scaling explanations to state that StandardScaler standardizes features to approximately zero mean and unit standard deviation (mean ≈ 0, std ≈ 1), explicitly removing any claim that StandardScaler transforms data into a normal (Gaussian) distribution.</w:t>
        <w:br/>
        <w:t>3. Audit Scorecard Harmonization: Formally standardized the quantitative scorecard wording: exactly 38 out of 40 checks passed (95%), 2 informational warnings (5%), 0 failures (0%), 0 not-verified checks (0%), with overall submission readiness confirmed as APPROVED.</w:t>
        <w:br/>
        <w:t>4. Deliverable Preservation &amp; Immutability: Confirmed that raw source data (25,000 rows x 15 columns) and processed records remain 100% unaltered, all earlier deliverables are preserved, and archival copies of pre-review reports were preserved in `documentation/archive/`.</w:t>
      </w:r>
    </w:p>
    <w:p>
      <w:pPr>
        <w:pStyle w:val="Heading1"/>
      </w:pPr>
      <w:r>
        <w:t>2. Technical Correction &amp; Refinement Matrix</w:t>
      </w:r>
    </w:p>
    <w:p>
      <w:pPr>
        <w:spacing w:after="120"/>
      </w:pPr>
      <w:r>
        <w:t>Table 1 catalogs each technical item reviewed, the initial formulation, the corrected mathematical formulation, and the specific files updated.</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70" w:type="dxa"/>
              <w:bottom w:w="70" w:type="dxa"/>
              <w:left w:w="70" w:type="dxa"/>
              <w:right w:w="70" w:type="dxa"/>
            </w:tcMar>
          </w:tcPr>
          <w:p>
            <w:pPr>
              <w:jc w:val="center"/>
            </w:pPr>
            <w:r>
              <w:rPr>
                <w:b/>
                <w:color w:val="FFFFFF"/>
                <w:sz w:val="17"/>
              </w:rPr>
              <w:t>Item ID &amp; Area</w:t>
            </w:r>
          </w:p>
        </w:tc>
        <w:tc>
          <w:tcPr>
            <w:tcW w:type="dxa" w:w="2340"/>
            <w:shd w:fill="1B365D"/>
            <w:tcMar>
              <w:top w:w="70" w:type="dxa"/>
              <w:bottom w:w="70" w:type="dxa"/>
              <w:left w:w="70" w:type="dxa"/>
              <w:right w:w="70" w:type="dxa"/>
            </w:tcMar>
          </w:tcPr>
          <w:p>
            <w:pPr>
              <w:jc w:val="center"/>
            </w:pPr>
            <w:r>
              <w:rPr>
                <w:b/>
                <w:color w:val="FFFFFF"/>
                <w:sz w:val="17"/>
              </w:rPr>
              <w:t>Initial Technical Statement</w:t>
            </w:r>
          </w:p>
        </w:tc>
        <w:tc>
          <w:tcPr>
            <w:tcW w:type="dxa" w:w="2340"/>
            <w:shd w:fill="1B365D"/>
            <w:tcMar>
              <w:top w:w="70" w:type="dxa"/>
              <w:bottom w:w="70" w:type="dxa"/>
              <w:left w:w="70" w:type="dxa"/>
              <w:right w:w="70" w:type="dxa"/>
            </w:tcMar>
          </w:tcPr>
          <w:p>
            <w:pPr>
              <w:jc w:val="center"/>
            </w:pPr>
            <w:r>
              <w:rPr>
                <w:b/>
                <w:color w:val="FFFFFF"/>
                <w:sz w:val="17"/>
              </w:rPr>
              <w:t>Corrected Mathematical Formulation</w:t>
            </w:r>
          </w:p>
        </w:tc>
        <w:tc>
          <w:tcPr>
            <w:tcW w:type="dxa" w:w="2340"/>
            <w:shd w:fill="1B365D"/>
            <w:tcMar>
              <w:top w:w="70" w:type="dxa"/>
              <w:bottom w:w="70" w:type="dxa"/>
              <w:left w:w="70" w:type="dxa"/>
              <w:right w:w="70" w:type="dxa"/>
            </w:tcMar>
          </w:tcPr>
          <w:p>
            <w:pPr>
              <w:jc w:val="center"/>
            </w:pPr>
            <w:r>
              <w:rPr>
                <w:b/>
                <w:color w:val="FFFFFF"/>
                <w:sz w:val="17"/>
              </w:rPr>
              <w:t>Updated Repository Files</w:t>
            </w:r>
          </w:p>
        </w:tc>
      </w:tr>
      <w:tr>
        <w:tc>
          <w:tcPr>
            <w:tcW w:type="dxa" w:w="1872"/>
            <w:shd w:fill="FFFFFF"/>
            <w:tcMar>
              <w:top w:w="50" w:type="dxa"/>
              <w:bottom w:w="50" w:type="dxa"/>
              <w:left w:w="60" w:type="dxa"/>
              <w:right w:w="60" w:type="dxa"/>
            </w:tcMar>
          </w:tcPr>
          <w:p>
            <w:pPr>
              <w:jc w:val="center"/>
            </w:pPr>
            <w:r>
              <w:rPr>
                <w:b/>
                <w:color w:val="1B365D"/>
                <w:sz w:val="15"/>
              </w:rPr>
              <w:t>CORR-01</w:t>
              <w:br/>
              <w:t>Kurtosis &amp; Uniformity</w:t>
            </w:r>
          </w:p>
        </w:tc>
        <w:tc>
          <w:tcPr>
            <w:tcW w:type="dxa" w:w="2592"/>
            <w:shd w:fill="FFFFFF"/>
            <w:tcMar>
              <w:top w:w="50" w:type="dxa"/>
              <w:bottom w:w="50" w:type="dxa"/>
              <w:left w:w="60" w:type="dxa"/>
              <w:right w:w="60" w:type="dxa"/>
            </w:tcMar>
          </w:tcPr>
          <w:p>
            <w:r>
              <w:rPr>
                <w:color w:val="282828"/>
                <w:sz w:val="15"/>
              </w:rPr>
              <w:t>Claimed that observed excess kurtosis of approximately -1.20 mathematically proves a continuous uniform distribution.</w:t>
            </w:r>
          </w:p>
        </w:tc>
        <w:tc>
          <w:tcPr>
            <w:tcW w:type="dxa" w:w="3168"/>
            <w:shd w:fill="FFFFFF"/>
            <w:tcMar>
              <w:top w:w="50" w:type="dxa"/>
              <w:bottom w:w="50" w:type="dxa"/>
              <w:left w:w="60" w:type="dxa"/>
              <w:right w:w="60" w:type="dxa"/>
            </w:tcMar>
          </w:tcPr>
          <w:p>
            <w:r>
              <w:rPr>
                <w:color w:val="282828"/>
                <w:sz w:val="15"/>
              </w:rPr>
              <w:t>Clarified that -1.20 is the theoretical excess kurtosis of a continuous uniform distribution U(a, b), but observed kurtosis alone does not establish uniformity. It must be corroborated by flat empirical histograms and near-zero skewness to confirm bounded dispersion without heavy tails.</w:t>
            </w:r>
          </w:p>
        </w:tc>
        <w:tc>
          <w:tcPr>
            <w:tcW w:type="dxa" w:w="2448"/>
            <w:shd w:fill="FFFFFF"/>
            <w:tcMar>
              <w:top w:w="50" w:type="dxa"/>
              <w:bottom w:w="50" w:type="dxa"/>
              <w:left w:w="60" w:type="dxa"/>
              <w:right w:w="60" w:type="dxa"/>
            </w:tcMar>
          </w:tcPr>
          <w:p>
            <w:r>
              <w:rPr>
                <w:color w:val="282828"/>
                <w:sz w:val="15"/>
              </w:rPr>
              <w:t>• Week2_Final_Complete_Report.docx (Sec 11, 18, 19)</w:t>
              <w:br/>
              <w:t>• Week2_Complete_Project_Audit_Report.docx (Sec 6)</w:t>
              <w:br/>
              <w:t>• notebooks/Week2_Data_Preprocessing.ipynb (Cells 55, 66)</w:t>
              <w:br/>
              <w:t>• src/preprocessing_pipeline.py</w:t>
            </w:r>
          </w:p>
        </w:tc>
      </w:tr>
      <w:tr>
        <w:tc>
          <w:tcPr>
            <w:tcW w:type="dxa" w:w="1872"/>
            <w:shd w:fill="F8F9FA"/>
            <w:tcMar>
              <w:top w:w="50" w:type="dxa"/>
              <w:bottom w:w="50" w:type="dxa"/>
              <w:left w:w="60" w:type="dxa"/>
              <w:right w:w="60" w:type="dxa"/>
            </w:tcMar>
          </w:tcPr>
          <w:p>
            <w:pPr>
              <w:jc w:val="center"/>
            </w:pPr>
            <w:r>
              <w:rPr>
                <w:b/>
                <w:color w:val="1B365D"/>
                <w:sz w:val="15"/>
              </w:rPr>
              <w:t>CORR-02</w:t>
              <w:br/>
              <w:t>StandardScaler Transformation</w:t>
            </w:r>
          </w:p>
        </w:tc>
        <w:tc>
          <w:tcPr>
            <w:tcW w:type="dxa" w:w="2592"/>
            <w:shd w:fill="F8F9FA"/>
            <w:tcMar>
              <w:top w:w="50" w:type="dxa"/>
              <w:bottom w:w="50" w:type="dxa"/>
              <w:left w:w="60" w:type="dxa"/>
              <w:right w:w="60" w:type="dxa"/>
            </w:tcMar>
          </w:tcPr>
          <w:p>
            <w:r>
              <w:rPr>
                <w:color w:val="282828"/>
                <w:sz w:val="15"/>
              </w:rPr>
              <w:t>Referred to standardized features under N(0, 1) notation or implied that StandardScaler transforms data into a standard normal distribution.</w:t>
            </w:r>
          </w:p>
        </w:tc>
        <w:tc>
          <w:tcPr>
            <w:tcW w:type="dxa" w:w="3168"/>
            <w:shd w:fill="F8F9FA"/>
            <w:tcMar>
              <w:top w:w="50" w:type="dxa"/>
              <w:bottom w:w="50" w:type="dxa"/>
              <w:left w:w="60" w:type="dxa"/>
              <w:right w:w="60" w:type="dxa"/>
            </w:tcMar>
          </w:tcPr>
          <w:p>
            <w:r>
              <w:rPr>
                <w:color w:val="282828"/>
                <w:sz w:val="15"/>
              </w:rPr>
              <w:t>Clarified that StandardScaler centers features to mean ≈ 0 and scales variance to std ≈ 1. It does NOT make data normally distributed, as linear affine scaling strictly preserves skewness, platykurtic kurtosis, and underlying shape.</w:t>
            </w:r>
          </w:p>
        </w:tc>
        <w:tc>
          <w:tcPr>
            <w:tcW w:type="dxa" w:w="2448"/>
            <w:shd w:fill="F8F9FA"/>
            <w:tcMar>
              <w:top w:w="50" w:type="dxa"/>
              <w:bottom w:w="50" w:type="dxa"/>
              <w:left w:w="60" w:type="dxa"/>
              <w:right w:w="60" w:type="dxa"/>
            </w:tcMar>
          </w:tcPr>
          <w:p>
            <w:r>
              <w:rPr>
                <w:color w:val="282828"/>
                <w:sz w:val="15"/>
              </w:rPr>
              <w:t>• Week2_Final_Complete_Report.docx (Sec 12, 13)</w:t>
              <w:br/>
              <w:t>• Week2_Complete_Project_Audit_Report.docx (Sec 6, Tbl 1)</w:t>
              <w:br/>
              <w:t>• notebooks/Week2_Data_Preprocessing.ipynb (Cells 72, 76)</w:t>
              <w:br/>
              <w:t>• src/normalization.py (Docstrings)</w:t>
            </w:r>
          </w:p>
        </w:tc>
      </w:tr>
      <w:tr>
        <w:tc>
          <w:tcPr>
            <w:tcW w:type="dxa" w:w="1872"/>
            <w:shd w:fill="FFFFFF"/>
            <w:tcMar>
              <w:top w:w="50" w:type="dxa"/>
              <w:bottom w:w="50" w:type="dxa"/>
              <w:left w:w="60" w:type="dxa"/>
              <w:right w:w="60" w:type="dxa"/>
            </w:tcMar>
          </w:tcPr>
          <w:p>
            <w:pPr>
              <w:jc w:val="center"/>
            </w:pPr>
            <w:r>
              <w:rPr>
                <w:b/>
                <w:color w:val="1B365D"/>
                <w:sz w:val="15"/>
              </w:rPr>
              <w:t>CORR-03</w:t>
              <w:br/>
              <w:t>Scorecard Metrics Standardization</w:t>
            </w:r>
          </w:p>
        </w:tc>
        <w:tc>
          <w:tcPr>
            <w:tcW w:type="dxa" w:w="2592"/>
            <w:shd w:fill="FFFFFF"/>
            <w:tcMar>
              <w:top w:w="50" w:type="dxa"/>
              <w:bottom w:w="50" w:type="dxa"/>
              <w:left w:w="60" w:type="dxa"/>
              <w:right w:w="60" w:type="dxa"/>
            </w:tcMar>
          </w:tcPr>
          <w:p>
            <w:r>
              <w:rPr>
                <w:color w:val="282828"/>
                <w:sz w:val="15"/>
              </w:rPr>
              <w:t>Reported varying bullet formulations for test pass counts, warnings, and readiness percentages across summaries.</w:t>
            </w:r>
          </w:p>
        </w:tc>
        <w:tc>
          <w:tcPr>
            <w:tcW w:type="dxa" w:w="3168"/>
            <w:shd w:fill="FFFFFF"/>
            <w:tcMar>
              <w:top w:w="50" w:type="dxa"/>
              <w:bottom w:w="50" w:type="dxa"/>
              <w:left w:w="60" w:type="dxa"/>
              <w:right w:w="60" w:type="dxa"/>
            </w:tcMar>
          </w:tcPr>
          <w:p>
            <w:r>
              <w:rPr>
                <w:color w:val="282828"/>
                <w:sz w:val="15"/>
              </w:rPr>
              <w:t>Standardized exact wording across all documentation:</w:t>
              <w:br/>
              <w:t>• 38 out of 40 checks passed (95%)</w:t>
              <w:br/>
              <w:t>• 2 informational warnings (5%)</w:t>
              <w:br/>
              <w:t>• 0 failures (0%)</w:t>
              <w:br/>
              <w:t>• 0 not-verified checks (0%)</w:t>
              <w:br/>
              <w:t>• Readiness Decision: APPROVED.</w:t>
            </w:r>
          </w:p>
        </w:tc>
        <w:tc>
          <w:tcPr>
            <w:tcW w:type="dxa" w:w="2448"/>
            <w:shd w:fill="FFFFFF"/>
            <w:tcMar>
              <w:top w:w="50" w:type="dxa"/>
              <w:bottom w:w="50" w:type="dxa"/>
              <w:left w:w="60" w:type="dxa"/>
              <w:right w:w="60" w:type="dxa"/>
            </w:tcMar>
          </w:tcPr>
          <w:p>
            <w:r>
              <w:rPr>
                <w:color w:val="282828"/>
                <w:sz w:val="15"/>
              </w:rPr>
              <w:t>• Week2_Complete_Project_Audit_Report.docx (Sec 12)</w:t>
              <w:br/>
              <w:t>• Week2_Final_Correction_Log.docx</w:t>
            </w:r>
          </w:p>
        </w:tc>
      </w:tr>
      <w:tr>
        <w:tc>
          <w:tcPr>
            <w:tcW w:type="dxa" w:w="1872"/>
            <w:shd w:fill="F8F9FA"/>
            <w:tcMar>
              <w:top w:w="50" w:type="dxa"/>
              <w:bottom w:w="50" w:type="dxa"/>
              <w:left w:w="60" w:type="dxa"/>
              <w:right w:w="60" w:type="dxa"/>
            </w:tcMar>
          </w:tcPr>
          <w:p>
            <w:pPr>
              <w:jc w:val="center"/>
            </w:pPr>
            <w:r>
              <w:rPr>
                <w:b/>
                <w:color w:val="1B365D"/>
                <w:sz w:val="15"/>
              </w:rPr>
              <w:t>CORR-04</w:t>
              <w:br/>
              <w:t>Dataset &amp; Target Ground-Truth</w:t>
            </w:r>
          </w:p>
        </w:tc>
        <w:tc>
          <w:tcPr>
            <w:tcW w:type="dxa" w:w="2592"/>
            <w:shd w:fill="F8F9FA"/>
            <w:tcMar>
              <w:top w:w="50" w:type="dxa"/>
              <w:bottom w:w="50" w:type="dxa"/>
              <w:left w:w="60" w:type="dxa"/>
              <w:right w:w="60" w:type="dxa"/>
            </w:tcMar>
          </w:tcPr>
          <w:p>
            <w:r>
              <w:rPr>
                <w:color w:val="282828"/>
                <w:sz w:val="15"/>
              </w:rPr>
              <w:t>Earlier draft narrative notes contained typographical references to target counts as 8,958 delayed vs 16,042 on-time.</w:t>
            </w:r>
          </w:p>
        </w:tc>
        <w:tc>
          <w:tcPr>
            <w:tcW w:type="dxa" w:w="3168"/>
            <w:shd w:fill="F8F9FA"/>
            <w:tcMar>
              <w:top w:w="50" w:type="dxa"/>
              <w:bottom w:w="50" w:type="dxa"/>
              <w:left w:w="60" w:type="dxa"/>
              <w:right w:w="60" w:type="dxa"/>
            </w:tcMar>
          </w:tcPr>
          <w:p>
            <w:r>
              <w:rPr>
                <w:color w:val="282828"/>
                <w:sz w:val="15"/>
              </w:rPr>
              <w:t>Audited all datasets row-by-row; verified that raw Excel and all processed CSVs deterministically contain 18,331 on-time ('no', 73.324%) and 6,669 delayed ('yes', 26.676%). Confirmed zero alteration of target column.</w:t>
            </w:r>
          </w:p>
        </w:tc>
        <w:tc>
          <w:tcPr>
            <w:tcW w:type="dxa" w:w="2448"/>
            <w:shd w:fill="F8F9FA"/>
            <w:tcMar>
              <w:top w:w="50" w:type="dxa"/>
              <w:bottom w:w="50" w:type="dxa"/>
              <w:left w:w="60" w:type="dxa"/>
              <w:right w:w="60" w:type="dxa"/>
            </w:tcMar>
          </w:tcPr>
          <w:p>
            <w:r>
              <w:rPr>
                <w:color w:val="282828"/>
                <w:sz w:val="15"/>
              </w:rPr>
              <w:t>• notebooks/Week2_Data_Preprocessing.ipynb (Cell 89)</w:t>
              <w:br/>
              <w:t>• Week2_Final_Complete_Report.docx (Sec 17)</w:t>
              <w:br/>
              <w:t>• Week2_Complete_Project_Audit_Report.docx (Sec 3)</w:t>
            </w:r>
          </w:p>
        </w:tc>
      </w:tr>
    </w:tbl>
    <w:p>
      <w:pPr>
        <w:spacing w:after="200"/>
      </w:pPr>
    </w:p>
    <w:p>
      <w:pPr>
        <w:pStyle w:val="Heading1"/>
      </w:pPr>
      <w:r>
        <w:t>3. Inventory of Modified Files &amp; Artifact Integrity</w:t>
      </w:r>
    </w:p>
    <w:p>
      <w:pPr>
        <w:spacing w:after="200"/>
      </w:pPr>
      <w:r>
        <w:t>The following files were updated during this review to implement the required technical precision:</w:t>
        <w:br/>
        <w:br/>
        <w:t>1. `notebooks/Week2_Data_Preprocessing.ipynb`: Updated markdown cells 55 and 66 (kurtosis and uniform distribution theoretical context) and cells 72 and 76 (StandardScaler behavior: mean ≈ 0, std ≈ 1; shape preservation without forcing normality).</w:t>
        <w:br/>
        <w:t>2. `documentation/Week2_Final_Complete_Report.docx`: Updated Abstract, Section 11 (Outlier Detection), Section 12 (Data Normalization), Section 13 (Unified Pipeline), Section 18 (Challenges), and Section 19 (Reflection).</w:t>
        <w:br/>
        <w:t>3. `documentation/Week2_Complete_Project_Audit_Report.docx`: Updated Section 6 (Statistical Moments and StandardScaler notes), Table 1 (Standardized Data description), Table 3 (Statistical claims), and Section 12 (Scorecard wording: 38/40 passed [95%], 2 warnings [5%], 0 failures, 0 not-verified).</w:t>
        <w:br/>
        <w:t>4. `src/preprocessing_pipeline.py`: Refined stage 4 logger descriptions and chart title terminology.</w:t>
        <w:br/>
        <w:t>5. `src/normalization.py`: Updated `apply_standard_scaling()` docstring to emphasize non-Gaussian shape preservation.</w:t>
        <w:br/>
        <w:t>6. `documentation/archive/`: Pre-correction copies of `Week2_Final_Complete_Report.docx` and `Week2_Complete_Project_Audit_Report.docx` were archived to ensure 100% version preservation.</w:t>
        <w:br/>
        <w:t>7. `documentation/Week2_Final_Correction_Log.docx`: Created as the definitive review audit trail.</w:t>
        <w:br/>
        <w:br/>
        <w:t>Git Synchronization Status: ZERO git commit or push commands were performed. All updates reside exclusively within the local workspace.</w:t>
      </w:r>
    </w:p>
    <w:p>
      <w:pPr>
        <w:pStyle w:val="Heading1"/>
      </w:pPr>
      <w:r>
        <w:t>4. Final Technical Sign-Off &amp; Certification</w:t>
      </w:r>
    </w:p>
    <w:p>
      <w:pPr>
        <w:spacing w:after="280"/>
      </w:pPr>
      <w:r>
        <w:rPr>
          <w:b/>
          <w:color w:val="27AE60"/>
          <w:sz w:val="22"/>
        </w:rPr>
        <w:t>UNRESOLVED TECHNICAL ISSUES: ZERO (0)</w:t>
        <w:br/>
        <w:t>SUBMISSION READINESS STATUS: APPROVED (100% READY)</w:t>
        <w:br/>
        <w:br/>
      </w:r>
      <w:r>
        <w:rPr>
          <w:color w:val="282828"/>
          <w:sz w:val="19"/>
        </w:rPr>
        <w:t>Certification Statement: All statistical explanations, theoretical moment analyses, feature scaling characterizations, and audit scorecard metrics have been verified for mathematical precision and empirical accuracy. The raw Excel dataset remains completely unmodified, valid processed datasets are preserved with 100% target consistency, and all previous project deliverables remain intact. The Week 2 Logistics Data Preprocessing milestone is formally certified complete and ready for academic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