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B365D"/>
          <w:sz w:val="44"/>
        </w:rPr>
        <w:t>LOGISTICS DATA ANALYTICS: WEEK 2 – STEP 5</w:t>
        <w:br/>
        <w:t>OUTLIER DETECTION &amp; TREATMENT REPORT</w:t>
      </w:r>
    </w:p>
    <w:p>
      <w:pPr>
        <w:spacing w:after="280"/>
        <w:jc w:val="center"/>
      </w:pPr>
      <w:r>
        <w:rPr>
          <w:rFonts w:ascii="Calibri" w:hAnsi="Calibri"/>
          <w:i/>
          <w:color w:val="4A607A"/>
          <w:sz w:val="24"/>
        </w:rPr>
        <w:t>Statistical Identification (IQR &amp; Z-Score), Domain Plausibility Assessment,</w:t>
        <w:br/>
        <w:t>and Principled Preservation of Multi-Partner Logistics Operations in India</w:t>
      </w:r>
    </w:p>
    <w:tbl>
      <w:tblPr>
        <w:tblW w:type="auto" w:w="0"/>
        <w:jc w:val="center"/>
        <w:tblLook w:firstColumn="1" w:firstRow="1" w:lastColumn="0" w:lastRow="0" w:noHBand="0" w:noVBand="1" w:val="04A0"/>
      </w:tblPr>
      <w:tblGrid>
        <w:gridCol w:w="4680"/>
        <w:gridCol w:w="4680"/>
      </w:tblGrid>
      <w:tr>
        <w:tc>
          <w:tcPr>
            <w:tcW w:type="dxa" w:w="3168"/>
            <w:shd w:fill="F2F4F7"/>
            <w:tcMar>
              <w:top w:w="60" w:type="dxa"/>
              <w:bottom w:w="60" w:type="dxa"/>
              <w:left w:w="100" w:type="dxa"/>
              <w:right w:w="100" w:type="dxa"/>
            </w:tcMar>
          </w:tcPr>
          <w:p>
            <w:pPr>
              <w:spacing w:after="40"/>
            </w:pPr>
            <w:r>
              <w:rPr>
                <w:b/>
                <w:color w:val="1B365D"/>
                <w:sz w:val="20"/>
              </w:rPr>
              <w:t>Author &amp; Role:</w:t>
            </w:r>
          </w:p>
        </w:tc>
        <w:tc>
          <w:tcPr>
            <w:tcW w:type="dxa" w:w="6192"/>
            <w:shd w:fill="FFFFFF"/>
            <w:tcMar>
              <w:top w:w="60" w:type="dxa"/>
              <w:bottom w:w="60" w:type="dxa"/>
              <w:left w:w="100" w:type="dxa"/>
              <w:right w:w="100" w:type="dxa"/>
            </w:tcMar>
          </w:tcPr>
          <w:p>
            <w:pPr>
              <w:spacing w:after="40"/>
            </w:pPr>
            <w:r>
              <w:rPr>
                <w:color w:val="282828"/>
                <w:sz w:val="20"/>
              </w:rPr>
              <w:t>Paladugula Madhavan | Logistics Data Analyst Intern</w:t>
            </w:r>
          </w:p>
        </w:tc>
      </w:tr>
      <w:tr>
        <w:tc>
          <w:tcPr>
            <w:tcW w:type="dxa" w:w="3168"/>
            <w:shd w:fill="F2F4F7"/>
            <w:tcMar>
              <w:top w:w="60" w:type="dxa"/>
              <w:bottom w:w="60" w:type="dxa"/>
              <w:left w:w="100" w:type="dxa"/>
              <w:right w:w="100" w:type="dxa"/>
            </w:tcMar>
          </w:tcPr>
          <w:p>
            <w:pPr>
              <w:spacing w:after="40"/>
            </w:pPr>
            <w:r>
              <w:rPr>
                <w:b/>
                <w:color w:val="1B365D"/>
                <w:sz w:val="20"/>
              </w:rPr>
              <w:t>Academic Affiliation:</w:t>
            </w:r>
          </w:p>
        </w:tc>
        <w:tc>
          <w:tcPr>
            <w:tcW w:type="dxa" w:w="6192"/>
            <w:shd w:fill="FFFFFF"/>
            <w:tcMar>
              <w:top w:w="60" w:type="dxa"/>
              <w:bottom w:w="60" w:type="dxa"/>
              <w:left w:w="100" w:type="dxa"/>
              <w:right w:w="100" w:type="dxa"/>
            </w:tcMar>
          </w:tcPr>
          <w:p>
            <w:pPr>
              <w:spacing w:after="40"/>
            </w:pPr>
            <w:r>
              <w:rPr>
                <w:color w:val="282828"/>
                <w:sz w:val="20"/>
              </w:rPr>
              <w:t>Vellore Institute of Technology, Andhra Pradesh</w:t>
            </w:r>
          </w:p>
        </w:tc>
      </w:tr>
      <w:tr>
        <w:tc>
          <w:tcPr>
            <w:tcW w:type="dxa" w:w="3168"/>
            <w:shd w:fill="F2F4F7"/>
            <w:tcMar>
              <w:top w:w="60" w:type="dxa"/>
              <w:bottom w:w="60" w:type="dxa"/>
              <w:left w:w="100" w:type="dxa"/>
              <w:right w:w="100" w:type="dxa"/>
            </w:tcMar>
          </w:tcPr>
          <w:p>
            <w:pPr>
              <w:spacing w:after="40"/>
            </w:pPr>
            <w:r>
              <w:rPr>
                <w:b/>
                <w:color w:val="1B365D"/>
                <w:sz w:val="20"/>
              </w:rPr>
              <w:t>Project Scope &amp; Track:</w:t>
            </w:r>
          </w:p>
        </w:tc>
        <w:tc>
          <w:tcPr>
            <w:tcW w:type="dxa" w:w="6192"/>
            <w:shd w:fill="FFFFFF"/>
            <w:tcMar>
              <w:top w:w="60" w:type="dxa"/>
              <w:bottom w:w="60" w:type="dxa"/>
              <w:left w:w="100" w:type="dxa"/>
              <w:right w:w="100" w:type="dxa"/>
            </w:tcMar>
          </w:tcPr>
          <w:p>
            <w:pPr>
              <w:spacing w:after="40"/>
            </w:pPr>
            <w:r>
              <w:rPr>
                <w:color w:val="282828"/>
                <w:sz w:val="20"/>
              </w:rPr>
              <w:t>Logistics Data Analytics – Week 2 (Preprocessing Pipeline)</w:t>
            </w:r>
          </w:p>
        </w:tc>
      </w:tr>
      <w:tr>
        <w:tc>
          <w:tcPr>
            <w:tcW w:type="dxa" w:w="3168"/>
            <w:shd w:fill="F2F4F7"/>
            <w:tcMar>
              <w:top w:w="60" w:type="dxa"/>
              <w:bottom w:w="60" w:type="dxa"/>
              <w:left w:w="100" w:type="dxa"/>
              <w:right w:w="100" w:type="dxa"/>
            </w:tcMar>
          </w:tcPr>
          <w:p>
            <w:pPr>
              <w:spacing w:after="40"/>
            </w:pPr>
            <w:r>
              <w:rPr>
                <w:b/>
                <w:color w:val="1B365D"/>
                <w:sz w:val="20"/>
              </w:rPr>
              <w:t>Dataset &amp; Sample Size:</w:t>
            </w:r>
          </w:p>
        </w:tc>
        <w:tc>
          <w:tcPr>
            <w:tcW w:type="dxa" w:w="6192"/>
            <w:shd w:fill="FFFFFF"/>
            <w:tcMar>
              <w:top w:w="60" w:type="dxa"/>
              <w:bottom w:w="60" w:type="dxa"/>
              <w:left w:w="100" w:type="dxa"/>
              <w:right w:w="100" w:type="dxa"/>
            </w:tcMar>
          </w:tcPr>
          <w:p>
            <w:pPr>
              <w:spacing w:after="40"/>
            </w:pPr>
            <w:r>
              <w:rPr>
                <w:color w:val="282828"/>
                <w:sz w:val="20"/>
              </w:rPr>
              <w:t>Delivery Logistics Dataset (India – Multi-Partner) | 25,000 Records x 15 Features</w:t>
            </w:r>
          </w:p>
        </w:tc>
      </w:tr>
    </w:tbl>
    <w:p>
      <w:pPr>
        <w:spacing w:after="240"/>
      </w:pPr>
    </w:p>
    <w:p>
      <w:pPr>
        <w:pStyle w:val="Heading1"/>
        <w:spacing w:before="240" w:after="120"/>
      </w:pPr>
      <w:r>
        <w:t>Executive Summary</w:t>
      </w:r>
    </w:p>
    <w:p>
      <w:pPr>
        <w:spacing w:after="200"/>
      </w:pPr>
      <w:r>
        <w:t>This technical document provides a rigorous, empirical, and academic evaluation of outlier detection and treatment methodologies implemented for Step 5 of the Week 2 Logistics Data Analytics project. Analyzing 25,000 shipment transaction records spanning 9 major third-party logistics (3PL) carriers in India, this investigation audits all continuous numerical attributes—specifically transit distance (`distance_km`), package weight (`package_weight_kg`), expected transit duration (`expected_time_hours`), and transportation tariff (`delivery_cost`), alongside the discrete customer satisfaction rating (`delivery_rating`). Leveraging both non-parametric Tukey's Interquartile Range (IQR = Q3 - Q1) fences and parametric Standardized Score (Z-Score, |Z| &gt; 3) criteria, the empirical evaluation demonstrates that zero observations (0.00%) violate statistical fences. Furthermore, distributional diagnostics reveal an excess kurtosis of approximately -1.2 across all four continuous features, verifying that the simulated benchmark operational parameters were generated from bounded continuous uniform distributions. Consequently, all 25,000 observations are retained without modification, preserving 100% empirical fidelity while strictly guarding against artificial truncation or data leakage.</w:t>
      </w:r>
    </w:p>
    <w:p>
      <w:pPr>
        <w:pStyle w:val="Heading1"/>
      </w:pPr>
      <w:r>
        <w:t>1. Introduction to Outlier Analysis in Freight Logistics</w:t>
      </w:r>
    </w:p>
    <w:p>
      <w:pPr>
        <w:spacing w:after="200"/>
      </w:pPr>
      <w:r>
        <w:t>In logistics and freight transportation analytics, numerical outliers frequently represent one of two fundamentally distinct phenomena: (1) measurement noise or data entry corruption (such as negative transit distances, inverted GPS coordinates, or keystroke errors), or (2) genuine operational extremes (such as cross-country long-haul express routes, heavy multi-pallet freight shipments, or peak holiday rush charges). Naively deleting statistical outliers under the blind application of automated trimming rules severely biases downstream delay prediction models, systematically destroying the operational edge cases that characterize supply chain fragility and carrier vulnerability. Therefore, rigorous outlier handling demands a tripartite methodology: mathematical boundary computation, empirical distribution assessment, and physical logistics plausibility auditing.</w:t>
      </w:r>
    </w:p>
    <w:p>
      <w:pPr>
        <w:pStyle w:val="Heading1"/>
      </w:pPr>
      <w:r>
        <w:t>2. Mathematical Formulations &amp; Statistical Detection Criteria</w:t>
      </w:r>
    </w:p>
    <w:p>
      <w:pPr>
        <w:pStyle w:val="Heading2"/>
      </w:pPr>
      <w:r>
        <w:t>2.1 Tukey's Interquartile Range (IQR) Fences</w:t>
      </w:r>
    </w:p>
    <w:p>
      <w:pPr>
        <w:spacing w:after="160"/>
      </w:pPr>
      <w:r>
        <w:t>Tukey's IQR method is a non-parametric outlier detection technique that operates independently of underlying distributional normality, making it robust against heavy skewness. Formally, let Q1 and Q3 denote the 25th and 75th empirical percentiles of a continuous random variable X. The Interquartile Range is formulated as:</w:t>
        <w:br/>
        <w:t xml:space="preserve">    IQR = Q3 - Q1</w:t>
        <w:br/>
        <w:t>The standard inner fences (Tukey's outlier thresholds) are defined as:</w:t>
        <w:br/>
        <w:t xml:space="preserve">    Lower Bound = Q1 - 1.5 * IQR</w:t>
        <w:br/>
        <w:t xml:space="preserve">    Upper Bound = Q3 + 1.5 * IQR</w:t>
        <w:br/>
        <w:t>Any observation x &lt; Lower Bound or x &gt; Upper Bound is classified as an empirical statistical outlier.</w:t>
      </w:r>
    </w:p>
    <w:p>
      <w:pPr>
        <w:pStyle w:val="Heading2"/>
      </w:pPr>
      <w:r>
        <w:t>2.2 Parametric Standardized Z-Score Method</w:t>
      </w:r>
    </w:p>
    <w:p>
      <w:pPr>
        <w:spacing w:after="160"/>
      </w:pPr>
      <w:r>
        <w:t>The Z-Score method transforms empirical observations into units of standard deviation relative to the sample mean. For sample mean mu and sample standard deviation sigma, the Z-Score is given by:</w:t>
        <w:br/>
        <w:t xml:space="preserve">    Z = (X - mu) / sigma</w:t>
        <w:br/>
        <w:t>Under the classical 3-sigma empirical rule, values satisfying |Z| &gt; 3.0 are considered extreme anomalies under a normal hypothesis. The corresponding operational threshold boundaries are:</w:t>
        <w:br/>
        <w:t xml:space="preserve">    Z Lower Bound = mu - 3 * sigma</w:t>
        <w:br/>
        <w:t xml:space="preserve">    Z Upper Bound = mu + 3 * sigma</w:t>
      </w:r>
    </w:p>
    <w:p>
      <w:pPr>
        <w:pStyle w:val="Heading2"/>
      </w:pPr>
      <w:r>
        <w:t>2.3 Distributional Kurtosis and Uniformity Proof</w:t>
      </w:r>
    </w:p>
    <w:p>
      <w:pPr>
        <w:spacing w:after="200"/>
      </w:pPr>
      <w:r>
        <w:t>Excess kurtosis measures the heaviness of a distribution's tails relative to a Gaussian distribution (which has excess kurtosis = 0). For a continuous uniform distribution U(a, b), the theoretical variance is (b - a)^2 / 12 and the fourth central moment is (b - a)^4 / 80. The theoretical excess kurtosis of a continuous uniform distribution is identically:</w:t>
        <w:br/>
        <w:t xml:space="preserve">    gamma2 = (mu4 / sigma^4) - 3 = [(b - a)^4 / 80] / [(b - a)^2 / 12]^2 - 3 = (144 / 80) - 3 = 1.8 - 3.0 = -1.2</w:t>
        <w:br/>
        <w:t>Furthermore, for U(a, b), Q1 = a + 0.25(b - a), Q3 = a + 0.75(b - a), and IQR = 0.50(b - a). Consequently, the lower Tukey fence evaluates to:</w:t>
        <w:br/>
        <w:t xml:space="preserve">    Q1 - 1.5 * IQR = [a + 0.25(b - a)] - 1.5[0.50(b - a)] = a - 0.50(b - a) &lt; a</w:t>
        <w:br/>
        <w:t>And the upper Tukey fence evaluates to:</w:t>
        <w:br/>
        <w:t xml:space="preserve">    Q3 + 1.5 * IQR = [a + 0.75(b - a)] + 1.5[0.50(b - a)] = b + 0.50(b - a) &gt; b</w:t>
        <w:br/>
        <w:t>Hence, any dataset drawn from bounded uniform distributions mathematically guarantees that zero observations can ever breach Tukey's 1.5 * IQR fences or the 3-sigma boundaries.</w:t>
      </w:r>
    </w:p>
    <w:p>
      <w:pPr>
        <w:pStyle w:val="Heading1"/>
      </w:pPr>
      <w:r>
        <w:t>3. Empirical Statistical Findings (25,000 Records)</w:t>
      </w:r>
    </w:p>
    <w:p>
      <w:pPr>
        <w:spacing w:after="120"/>
      </w:pPr>
      <w:r>
        <w:t>Table 1 summarizes the empirical descriptive metrics, skewness, excess kurtosis, IQR boundaries, and Z-Score limits calculated across all 25,000 records of the logistics dataset.</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65D"/>
            <w:tcMar>
              <w:top w:w="80" w:type="dxa"/>
              <w:bottom w:w="80" w:type="dxa"/>
              <w:left w:w="80" w:type="dxa"/>
              <w:right w:w="80" w:type="dxa"/>
            </w:tcMar>
          </w:tcPr>
          <w:p>
            <w:pPr>
              <w:jc w:val="center"/>
            </w:pPr>
            <w:r>
              <w:rPr>
                <w:b/>
                <w:color w:val="FFFFFF"/>
                <w:sz w:val="17"/>
              </w:rPr>
              <w:t>Feature</w:t>
            </w:r>
          </w:p>
        </w:tc>
        <w:tc>
          <w:tcPr>
            <w:tcW w:type="dxa" w:w="1170"/>
            <w:shd w:fill="1B365D"/>
            <w:tcMar>
              <w:top w:w="80" w:type="dxa"/>
              <w:bottom w:w="80" w:type="dxa"/>
              <w:left w:w="80" w:type="dxa"/>
              <w:right w:w="80" w:type="dxa"/>
            </w:tcMar>
          </w:tcPr>
          <w:p>
            <w:pPr>
              <w:jc w:val="center"/>
            </w:pPr>
            <w:r>
              <w:rPr>
                <w:b/>
                <w:color w:val="FFFFFF"/>
                <w:sz w:val="17"/>
              </w:rPr>
              <w:t>Min - Max</w:t>
            </w:r>
          </w:p>
        </w:tc>
        <w:tc>
          <w:tcPr>
            <w:tcW w:type="dxa" w:w="1170"/>
            <w:shd w:fill="1B365D"/>
            <w:tcMar>
              <w:top w:w="80" w:type="dxa"/>
              <w:bottom w:w="80" w:type="dxa"/>
              <w:left w:w="80" w:type="dxa"/>
              <w:right w:w="80" w:type="dxa"/>
            </w:tcMar>
          </w:tcPr>
          <w:p>
            <w:pPr>
              <w:jc w:val="center"/>
            </w:pPr>
            <w:r>
              <w:rPr>
                <w:b/>
                <w:color w:val="FFFFFF"/>
                <w:sz w:val="17"/>
              </w:rPr>
              <w:t>Mean +/- Std</w:t>
            </w:r>
          </w:p>
        </w:tc>
        <w:tc>
          <w:tcPr>
            <w:tcW w:type="dxa" w:w="1170"/>
            <w:shd w:fill="1B365D"/>
            <w:tcMar>
              <w:top w:w="80" w:type="dxa"/>
              <w:bottom w:w="80" w:type="dxa"/>
              <w:left w:w="80" w:type="dxa"/>
              <w:right w:w="80" w:type="dxa"/>
            </w:tcMar>
          </w:tcPr>
          <w:p>
            <w:pPr>
              <w:jc w:val="center"/>
            </w:pPr>
            <w:r>
              <w:rPr>
                <w:b/>
                <w:color w:val="FFFFFF"/>
                <w:sz w:val="17"/>
              </w:rPr>
              <w:t>Excess Kurt</w:t>
            </w:r>
          </w:p>
        </w:tc>
        <w:tc>
          <w:tcPr>
            <w:tcW w:type="dxa" w:w="1170"/>
            <w:shd w:fill="1B365D"/>
            <w:tcMar>
              <w:top w:w="80" w:type="dxa"/>
              <w:bottom w:w="80" w:type="dxa"/>
              <w:left w:w="80" w:type="dxa"/>
              <w:right w:w="80" w:type="dxa"/>
            </w:tcMar>
          </w:tcPr>
          <w:p>
            <w:pPr>
              <w:jc w:val="center"/>
            </w:pPr>
            <w:r>
              <w:rPr>
                <w:b/>
                <w:color w:val="FFFFFF"/>
                <w:sz w:val="17"/>
              </w:rPr>
              <w:t>Q1 - Q3</w:t>
            </w:r>
          </w:p>
        </w:tc>
        <w:tc>
          <w:tcPr>
            <w:tcW w:type="dxa" w:w="1170"/>
            <w:shd w:fill="1B365D"/>
            <w:tcMar>
              <w:top w:w="80" w:type="dxa"/>
              <w:bottom w:w="80" w:type="dxa"/>
              <w:left w:w="80" w:type="dxa"/>
              <w:right w:w="80" w:type="dxa"/>
            </w:tcMar>
          </w:tcPr>
          <w:p>
            <w:pPr>
              <w:jc w:val="center"/>
            </w:pPr>
            <w:r>
              <w:rPr>
                <w:b/>
                <w:color w:val="FFFFFF"/>
                <w:sz w:val="17"/>
              </w:rPr>
              <w:t>IQR [Low, High]</w:t>
            </w:r>
          </w:p>
        </w:tc>
        <w:tc>
          <w:tcPr>
            <w:tcW w:type="dxa" w:w="1170"/>
            <w:shd w:fill="1B365D"/>
            <w:tcMar>
              <w:top w:w="80" w:type="dxa"/>
              <w:bottom w:w="80" w:type="dxa"/>
              <w:left w:w="80" w:type="dxa"/>
              <w:right w:w="80" w:type="dxa"/>
            </w:tcMar>
          </w:tcPr>
          <w:p>
            <w:pPr>
              <w:jc w:val="center"/>
            </w:pPr>
            <w:r>
              <w:rPr>
                <w:b/>
                <w:color w:val="FFFFFF"/>
                <w:sz w:val="17"/>
              </w:rPr>
              <w:t>IQR Outliers</w:t>
            </w:r>
          </w:p>
        </w:tc>
        <w:tc>
          <w:tcPr>
            <w:tcW w:type="dxa" w:w="1170"/>
            <w:shd w:fill="1B365D"/>
            <w:tcMar>
              <w:top w:w="80" w:type="dxa"/>
              <w:bottom w:w="80" w:type="dxa"/>
              <w:left w:w="80" w:type="dxa"/>
              <w:right w:w="80" w:type="dxa"/>
            </w:tcMar>
          </w:tcPr>
          <w:p>
            <w:pPr>
              <w:jc w:val="center"/>
            </w:pPr>
            <w:r>
              <w:rPr>
                <w:b/>
                <w:color w:val="FFFFFF"/>
                <w:sz w:val="17"/>
              </w:rPr>
              <w:t>Z-Outliers (|Z|&gt;3)</w:t>
            </w:r>
          </w:p>
        </w:tc>
      </w:tr>
      <w:tr>
        <w:tc>
          <w:tcPr>
            <w:tcW w:type="dxa" w:w="1170"/>
            <w:shd w:fill="FFFFFF"/>
            <w:tcMar>
              <w:top w:w="60" w:type="dxa"/>
              <w:bottom w:w="60" w:type="dxa"/>
              <w:left w:w="80" w:type="dxa"/>
              <w:right w:w="80" w:type="dxa"/>
            </w:tcMar>
          </w:tcPr>
          <w:p>
            <w:r>
              <w:rPr>
                <w:b/>
                <w:color w:val="282828"/>
                <w:sz w:val="17"/>
              </w:rPr>
              <w:t>distance_km</w:t>
            </w:r>
          </w:p>
        </w:tc>
        <w:tc>
          <w:tcPr>
            <w:tcW w:type="dxa" w:w="1170"/>
            <w:shd w:fill="FFFFFF"/>
            <w:tcMar>
              <w:top w:w="60" w:type="dxa"/>
              <w:bottom w:w="60" w:type="dxa"/>
              <w:left w:w="80" w:type="dxa"/>
              <w:right w:w="80" w:type="dxa"/>
            </w:tcMar>
          </w:tcPr>
          <w:p>
            <w:pPr>
              <w:jc w:val="center"/>
            </w:pPr>
            <w:r>
              <w:rPr>
                <w:color w:val="282828"/>
                <w:sz w:val="17"/>
              </w:rPr>
              <w:t>3.60 to 297.10 km</w:t>
            </w:r>
          </w:p>
        </w:tc>
        <w:tc>
          <w:tcPr>
            <w:tcW w:type="dxa" w:w="1170"/>
            <w:shd w:fill="FFFFFF"/>
            <w:tcMar>
              <w:top w:w="60" w:type="dxa"/>
              <w:bottom w:w="60" w:type="dxa"/>
              <w:left w:w="80" w:type="dxa"/>
              <w:right w:w="80" w:type="dxa"/>
            </w:tcMar>
          </w:tcPr>
          <w:p>
            <w:pPr>
              <w:jc w:val="center"/>
            </w:pPr>
            <w:r>
              <w:rPr>
                <w:color w:val="282828"/>
                <w:sz w:val="17"/>
              </w:rPr>
              <w:t>150.39 +/- 86.41</w:t>
            </w:r>
          </w:p>
        </w:tc>
        <w:tc>
          <w:tcPr>
            <w:tcW w:type="dxa" w:w="1170"/>
            <w:shd w:fill="FFFFFF"/>
            <w:tcMar>
              <w:top w:w="60" w:type="dxa"/>
              <w:bottom w:w="60" w:type="dxa"/>
              <w:left w:w="80" w:type="dxa"/>
              <w:right w:w="80" w:type="dxa"/>
            </w:tcMar>
          </w:tcPr>
          <w:p>
            <w:pPr>
              <w:jc w:val="center"/>
            </w:pPr>
            <w:r>
              <w:rPr>
                <w:color w:val="282828"/>
                <w:sz w:val="17"/>
              </w:rPr>
              <w:t>-1.20</w:t>
            </w:r>
          </w:p>
        </w:tc>
        <w:tc>
          <w:tcPr>
            <w:tcW w:type="dxa" w:w="1170"/>
            <w:shd w:fill="FFFFFF"/>
            <w:tcMar>
              <w:top w:w="60" w:type="dxa"/>
              <w:bottom w:w="60" w:type="dxa"/>
              <w:left w:w="80" w:type="dxa"/>
              <w:right w:w="80" w:type="dxa"/>
            </w:tcMar>
          </w:tcPr>
          <w:p>
            <w:pPr>
              <w:jc w:val="center"/>
            </w:pPr>
            <w:r>
              <w:rPr>
                <w:color w:val="282828"/>
                <w:sz w:val="17"/>
              </w:rPr>
              <w:t>75.90 - 224.90</w:t>
            </w:r>
          </w:p>
        </w:tc>
        <w:tc>
          <w:tcPr>
            <w:tcW w:type="dxa" w:w="1170"/>
            <w:shd w:fill="FFFFFF"/>
            <w:tcMar>
              <w:top w:w="60" w:type="dxa"/>
              <w:bottom w:w="60" w:type="dxa"/>
              <w:left w:w="80" w:type="dxa"/>
              <w:right w:w="80" w:type="dxa"/>
            </w:tcMar>
          </w:tcPr>
          <w:p>
            <w:pPr>
              <w:jc w:val="center"/>
            </w:pPr>
            <w:r>
              <w:rPr>
                <w:color w:val="282828"/>
                <w:sz w:val="17"/>
              </w:rPr>
              <w:t>149.00 [-147.6, 448.4]</w:t>
            </w:r>
          </w:p>
        </w:tc>
        <w:tc>
          <w:tcPr>
            <w:tcW w:type="dxa" w:w="1170"/>
            <w:shd w:fill="FFFFFF"/>
            <w:tcMar>
              <w:top w:w="60" w:type="dxa"/>
              <w:bottom w:w="60" w:type="dxa"/>
              <w:left w:w="80" w:type="dxa"/>
              <w:right w:w="80" w:type="dxa"/>
            </w:tcMar>
          </w:tcPr>
          <w:p>
            <w:pPr>
              <w:jc w:val="center"/>
            </w:pPr>
            <w:r>
              <w:rPr>
                <w:b/>
                <w:color w:val="282828"/>
                <w:sz w:val="17"/>
              </w:rPr>
              <w:t>0 (0.00%)</w:t>
            </w:r>
          </w:p>
        </w:tc>
        <w:tc>
          <w:tcPr>
            <w:tcW w:type="dxa" w:w="1170"/>
            <w:shd w:fill="FFFFFF"/>
            <w:tcMar>
              <w:top w:w="60" w:type="dxa"/>
              <w:bottom w:w="60" w:type="dxa"/>
              <w:left w:w="80" w:type="dxa"/>
              <w:right w:w="80" w:type="dxa"/>
            </w:tcMar>
          </w:tcPr>
          <w:p>
            <w:pPr>
              <w:jc w:val="center"/>
            </w:pPr>
            <w:r>
              <w:rPr>
                <w:b/>
                <w:color w:val="282828"/>
                <w:sz w:val="17"/>
              </w:rPr>
              <w:t>0 (0.00%)</w:t>
            </w:r>
          </w:p>
        </w:tc>
      </w:tr>
      <w:tr>
        <w:tc>
          <w:tcPr>
            <w:tcW w:type="dxa" w:w="1170"/>
            <w:shd w:fill="F8F9FA"/>
            <w:tcMar>
              <w:top w:w="60" w:type="dxa"/>
              <w:bottom w:w="60" w:type="dxa"/>
              <w:left w:w="80" w:type="dxa"/>
              <w:right w:w="80" w:type="dxa"/>
            </w:tcMar>
          </w:tcPr>
          <w:p>
            <w:r>
              <w:rPr>
                <w:b/>
                <w:color w:val="282828"/>
                <w:sz w:val="17"/>
              </w:rPr>
              <w:t>package_weight_kg</w:t>
            </w:r>
          </w:p>
        </w:tc>
        <w:tc>
          <w:tcPr>
            <w:tcW w:type="dxa" w:w="1170"/>
            <w:shd w:fill="F8F9FA"/>
            <w:tcMar>
              <w:top w:w="60" w:type="dxa"/>
              <w:bottom w:w="60" w:type="dxa"/>
              <w:left w:w="80" w:type="dxa"/>
              <w:right w:w="80" w:type="dxa"/>
            </w:tcMar>
          </w:tcPr>
          <w:p>
            <w:pPr>
              <w:jc w:val="center"/>
            </w:pPr>
            <w:r>
              <w:rPr>
                <w:color w:val="282828"/>
                <w:sz w:val="17"/>
              </w:rPr>
              <w:t>0.67 to 49.52 kg</w:t>
            </w:r>
          </w:p>
        </w:tc>
        <w:tc>
          <w:tcPr>
            <w:tcW w:type="dxa" w:w="1170"/>
            <w:shd w:fill="F8F9FA"/>
            <w:tcMar>
              <w:top w:w="60" w:type="dxa"/>
              <w:bottom w:w="60" w:type="dxa"/>
              <w:left w:w="80" w:type="dxa"/>
              <w:right w:w="80" w:type="dxa"/>
            </w:tcMar>
          </w:tcPr>
          <w:p>
            <w:pPr>
              <w:jc w:val="center"/>
            </w:pPr>
            <w:r>
              <w:rPr>
                <w:color w:val="282828"/>
                <w:sz w:val="17"/>
              </w:rPr>
              <w:t>25.15 +/- 14.37</w:t>
            </w:r>
          </w:p>
        </w:tc>
        <w:tc>
          <w:tcPr>
            <w:tcW w:type="dxa" w:w="1170"/>
            <w:shd w:fill="F8F9FA"/>
            <w:tcMar>
              <w:top w:w="60" w:type="dxa"/>
              <w:bottom w:w="60" w:type="dxa"/>
              <w:left w:w="80" w:type="dxa"/>
              <w:right w:w="80" w:type="dxa"/>
            </w:tcMar>
          </w:tcPr>
          <w:p>
            <w:pPr>
              <w:jc w:val="center"/>
            </w:pPr>
            <w:r>
              <w:rPr>
                <w:color w:val="282828"/>
                <w:sz w:val="17"/>
              </w:rPr>
              <w:t>-1.20</w:t>
            </w:r>
          </w:p>
        </w:tc>
        <w:tc>
          <w:tcPr>
            <w:tcW w:type="dxa" w:w="1170"/>
            <w:shd w:fill="F8F9FA"/>
            <w:tcMar>
              <w:top w:w="60" w:type="dxa"/>
              <w:bottom w:w="60" w:type="dxa"/>
              <w:left w:w="80" w:type="dxa"/>
              <w:right w:w="80" w:type="dxa"/>
            </w:tcMar>
          </w:tcPr>
          <w:p>
            <w:pPr>
              <w:jc w:val="center"/>
            </w:pPr>
            <w:r>
              <w:rPr>
                <w:color w:val="282828"/>
                <w:sz w:val="17"/>
              </w:rPr>
              <w:t>12.68 - 37.66</w:t>
            </w:r>
          </w:p>
        </w:tc>
        <w:tc>
          <w:tcPr>
            <w:tcW w:type="dxa" w:w="1170"/>
            <w:shd w:fill="F8F9FA"/>
            <w:tcMar>
              <w:top w:w="60" w:type="dxa"/>
              <w:bottom w:w="60" w:type="dxa"/>
              <w:left w:w="80" w:type="dxa"/>
              <w:right w:w="80" w:type="dxa"/>
            </w:tcMar>
          </w:tcPr>
          <w:p>
            <w:pPr>
              <w:jc w:val="center"/>
            </w:pPr>
            <w:r>
              <w:rPr>
                <w:color w:val="282828"/>
                <w:sz w:val="17"/>
              </w:rPr>
              <w:t>24.98 [-24.8, 75.1]</w:t>
            </w:r>
          </w:p>
        </w:tc>
        <w:tc>
          <w:tcPr>
            <w:tcW w:type="dxa" w:w="1170"/>
            <w:shd w:fill="F8F9FA"/>
            <w:tcMar>
              <w:top w:w="60" w:type="dxa"/>
              <w:bottom w:w="60" w:type="dxa"/>
              <w:left w:w="80" w:type="dxa"/>
              <w:right w:w="80" w:type="dxa"/>
            </w:tcMar>
          </w:tcPr>
          <w:p>
            <w:pPr>
              <w:jc w:val="center"/>
            </w:pPr>
            <w:r>
              <w:rPr>
                <w:b/>
                <w:color w:val="282828"/>
                <w:sz w:val="17"/>
              </w:rPr>
              <w:t>0 (0.00%)</w:t>
            </w:r>
          </w:p>
        </w:tc>
        <w:tc>
          <w:tcPr>
            <w:tcW w:type="dxa" w:w="1170"/>
            <w:shd w:fill="F8F9FA"/>
            <w:tcMar>
              <w:top w:w="60" w:type="dxa"/>
              <w:bottom w:w="60" w:type="dxa"/>
              <w:left w:w="80" w:type="dxa"/>
              <w:right w:w="80" w:type="dxa"/>
            </w:tcMar>
          </w:tcPr>
          <w:p>
            <w:pPr>
              <w:jc w:val="center"/>
            </w:pPr>
            <w:r>
              <w:rPr>
                <w:b/>
                <w:color w:val="282828"/>
                <w:sz w:val="17"/>
              </w:rPr>
              <w:t>0 (0.00%)</w:t>
            </w:r>
          </w:p>
        </w:tc>
      </w:tr>
      <w:tr>
        <w:tc>
          <w:tcPr>
            <w:tcW w:type="dxa" w:w="1170"/>
            <w:shd w:fill="FFFFFF"/>
            <w:tcMar>
              <w:top w:w="60" w:type="dxa"/>
              <w:bottom w:w="60" w:type="dxa"/>
              <w:left w:w="80" w:type="dxa"/>
              <w:right w:w="80" w:type="dxa"/>
            </w:tcMar>
          </w:tcPr>
          <w:p>
            <w:r>
              <w:rPr>
                <w:b/>
                <w:color w:val="282828"/>
                <w:sz w:val="17"/>
              </w:rPr>
              <w:t>expected_time_hours</w:t>
            </w:r>
          </w:p>
        </w:tc>
        <w:tc>
          <w:tcPr>
            <w:tcW w:type="dxa" w:w="1170"/>
            <w:shd w:fill="FFFFFF"/>
            <w:tcMar>
              <w:top w:w="60" w:type="dxa"/>
              <w:bottom w:w="60" w:type="dxa"/>
              <w:left w:w="80" w:type="dxa"/>
              <w:right w:w="80" w:type="dxa"/>
            </w:tcMar>
          </w:tcPr>
          <w:p>
            <w:pPr>
              <w:jc w:val="center"/>
            </w:pPr>
            <w:r>
              <w:rPr>
                <w:color w:val="282828"/>
                <w:sz w:val="17"/>
              </w:rPr>
              <w:t>0.35 to 9.99 hrs</w:t>
            </w:r>
          </w:p>
        </w:tc>
        <w:tc>
          <w:tcPr>
            <w:tcW w:type="dxa" w:w="1170"/>
            <w:shd w:fill="FFFFFF"/>
            <w:tcMar>
              <w:top w:w="60" w:type="dxa"/>
              <w:bottom w:w="60" w:type="dxa"/>
              <w:left w:w="80" w:type="dxa"/>
              <w:right w:w="80" w:type="dxa"/>
            </w:tcMar>
          </w:tcPr>
          <w:p>
            <w:pPr>
              <w:jc w:val="center"/>
            </w:pPr>
            <w:r>
              <w:rPr>
                <w:color w:val="282828"/>
                <w:sz w:val="17"/>
              </w:rPr>
              <w:t>5.52 +/- 2.67</w:t>
            </w:r>
          </w:p>
        </w:tc>
        <w:tc>
          <w:tcPr>
            <w:tcW w:type="dxa" w:w="1170"/>
            <w:shd w:fill="FFFFFF"/>
            <w:tcMar>
              <w:top w:w="60" w:type="dxa"/>
              <w:bottom w:w="60" w:type="dxa"/>
              <w:left w:w="80" w:type="dxa"/>
              <w:right w:w="80" w:type="dxa"/>
            </w:tcMar>
          </w:tcPr>
          <w:p>
            <w:pPr>
              <w:jc w:val="center"/>
            </w:pPr>
            <w:r>
              <w:rPr>
                <w:color w:val="282828"/>
                <w:sz w:val="17"/>
              </w:rPr>
              <w:t>-1.19</w:t>
            </w:r>
          </w:p>
        </w:tc>
        <w:tc>
          <w:tcPr>
            <w:tcW w:type="dxa" w:w="1170"/>
            <w:shd w:fill="FFFFFF"/>
            <w:tcMar>
              <w:top w:w="60" w:type="dxa"/>
              <w:bottom w:w="60" w:type="dxa"/>
              <w:left w:w="80" w:type="dxa"/>
              <w:right w:w="80" w:type="dxa"/>
            </w:tcMar>
          </w:tcPr>
          <w:p>
            <w:pPr>
              <w:jc w:val="center"/>
            </w:pPr>
            <w:r>
              <w:rPr>
                <w:color w:val="282828"/>
                <w:sz w:val="17"/>
              </w:rPr>
              <w:t>3.23 - 7.93</w:t>
            </w:r>
          </w:p>
        </w:tc>
        <w:tc>
          <w:tcPr>
            <w:tcW w:type="dxa" w:w="1170"/>
            <w:shd w:fill="FFFFFF"/>
            <w:tcMar>
              <w:top w:w="60" w:type="dxa"/>
              <w:bottom w:w="60" w:type="dxa"/>
              <w:left w:w="80" w:type="dxa"/>
              <w:right w:w="80" w:type="dxa"/>
            </w:tcMar>
          </w:tcPr>
          <w:p>
            <w:pPr>
              <w:jc w:val="center"/>
            </w:pPr>
            <w:r>
              <w:rPr>
                <w:color w:val="282828"/>
                <w:sz w:val="17"/>
              </w:rPr>
              <w:t>4.70 [-3.8, 15.0]</w:t>
            </w:r>
          </w:p>
        </w:tc>
        <w:tc>
          <w:tcPr>
            <w:tcW w:type="dxa" w:w="1170"/>
            <w:shd w:fill="FFFFFF"/>
            <w:tcMar>
              <w:top w:w="60" w:type="dxa"/>
              <w:bottom w:w="60" w:type="dxa"/>
              <w:left w:w="80" w:type="dxa"/>
              <w:right w:w="80" w:type="dxa"/>
            </w:tcMar>
          </w:tcPr>
          <w:p>
            <w:pPr>
              <w:jc w:val="center"/>
            </w:pPr>
            <w:r>
              <w:rPr>
                <w:b/>
                <w:color w:val="282828"/>
                <w:sz w:val="17"/>
              </w:rPr>
              <w:t>0 (0.00%)</w:t>
            </w:r>
          </w:p>
        </w:tc>
        <w:tc>
          <w:tcPr>
            <w:tcW w:type="dxa" w:w="1170"/>
            <w:shd w:fill="FFFFFF"/>
            <w:tcMar>
              <w:top w:w="60" w:type="dxa"/>
              <w:bottom w:w="60" w:type="dxa"/>
              <w:left w:w="80" w:type="dxa"/>
              <w:right w:w="80" w:type="dxa"/>
            </w:tcMar>
          </w:tcPr>
          <w:p>
            <w:pPr>
              <w:jc w:val="center"/>
            </w:pPr>
            <w:r>
              <w:rPr>
                <w:b/>
                <w:color w:val="282828"/>
                <w:sz w:val="17"/>
              </w:rPr>
              <w:t>0 (0.00%)</w:t>
            </w:r>
          </w:p>
        </w:tc>
      </w:tr>
      <w:tr>
        <w:tc>
          <w:tcPr>
            <w:tcW w:type="dxa" w:w="1170"/>
            <w:shd w:fill="F8F9FA"/>
            <w:tcMar>
              <w:top w:w="60" w:type="dxa"/>
              <w:bottom w:w="60" w:type="dxa"/>
              <w:left w:w="80" w:type="dxa"/>
              <w:right w:w="80" w:type="dxa"/>
            </w:tcMar>
          </w:tcPr>
          <w:p>
            <w:r>
              <w:rPr>
                <w:b/>
                <w:color w:val="282828"/>
                <w:sz w:val="17"/>
              </w:rPr>
              <w:t>delivery_cost</w:t>
            </w:r>
          </w:p>
        </w:tc>
        <w:tc>
          <w:tcPr>
            <w:tcW w:type="dxa" w:w="1170"/>
            <w:shd w:fill="F8F9FA"/>
            <w:tcMar>
              <w:top w:w="60" w:type="dxa"/>
              <w:bottom w:w="60" w:type="dxa"/>
              <w:left w:w="80" w:type="dxa"/>
              <w:right w:w="80" w:type="dxa"/>
            </w:tcMar>
          </w:tcPr>
          <w:p>
            <w:pPr>
              <w:jc w:val="center"/>
            </w:pPr>
            <w:r>
              <w:rPr>
                <w:color w:val="282828"/>
                <w:sz w:val="17"/>
              </w:rPr>
              <w:t>95.67 to 1632.72 INR</w:t>
            </w:r>
          </w:p>
        </w:tc>
        <w:tc>
          <w:tcPr>
            <w:tcW w:type="dxa" w:w="1170"/>
            <w:shd w:fill="F8F9FA"/>
            <w:tcMar>
              <w:top w:w="60" w:type="dxa"/>
              <w:bottom w:w="60" w:type="dxa"/>
              <w:left w:w="80" w:type="dxa"/>
              <w:right w:w="80" w:type="dxa"/>
            </w:tcMar>
          </w:tcPr>
          <w:p>
            <w:pPr>
              <w:jc w:val="center"/>
            </w:pPr>
            <w:r>
              <w:rPr>
                <w:color w:val="282828"/>
                <w:sz w:val="17"/>
              </w:rPr>
              <w:t>864.94 +/- 435.71</w:t>
            </w:r>
          </w:p>
        </w:tc>
        <w:tc>
          <w:tcPr>
            <w:tcW w:type="dxa" w:w="1170"/>
            <w:shd w:fill="F8F9FA"/>
            <w:tcMar>
              <w:top w:w="60" w:type="dxa"/>
              <w:bottom w:w="60" w:type="dxa"/>
              <w:left w:w="80" w:type="dxa"/>
              <w:right w:w="80" w:type="dxa"/>
            </w:tcMar>
          </w:tcPr>
          <w:p>
            <w:pPr>
              <w:jc w:val="center"/>
            </w:pPr>
            <w:r>
              <w:rPr>
                <w:color w:val="282828"/>
                <w:sz w:val="17"/>
              </w:rPr>
              <w:t>-1.17</w:t>
            </w:r>
          </w:p>
        </w:tc>
        <w:tc>
          <w:tcPr>
            <w:tcW w:type="dxa" w:w="1170"/>
            <w:shd w:fill="F8F9FA"/>
            <w:tcMar>
              <w:top w:w="60" w:type="dxa"/>
              <w:bottom w:w="60" w:type="dxa"/>
              <w:left w:w="80" w:type="dxa"/>
              <w:right w:w="80" w:type="dxa"/>
            </w:tcMar>
          </w:tcPr>
          <w:p>
            <w:pPr>
              <w:jc w:val="center"/>
            </w:pPr>
            <w:r>
              <w:rPr>
                <w:color w:val="282828"/>
                <w:sz w:val="17"/>
              </w:rPr>
              <w:t>490.80 - 1237.91</w:t>
            </w:r>
          </w:p>
        </w:tc>
        <w:tc>
          <w:tcPr>
            <w:tcW w:type="dxa" w:w="1170"/>
            <w:shd w:fill="F8F9FA"/>
            <w:tcMar>
              <w:top w:w="60" w:type="dxa"/>
              <w:bottom w:w="60" w:type="dxa"/>
              <w:left w:w="80" w:type="dxa"/>
              <w:right w:w="80" w:type="dxa"/>
            </w:tcMar>
          </w:tcPr>
          <w:p>
            <w:pPr>
              <w:jc w:val="center"/>
            </w:pPr>
            <w:r>
              <w:rPr>
                <w:color w:val="282828"/>
                <w:sz w:val="17"/>
              </w:rPr>
              <w:t>747.11 [-629.9, 2358.6]</w:t>
            </w:r>
          </w:p>
        </w:tc>
        <w:tc>
          <w:tcPr>
            <w:tcW w:type="dxa" w:w="1170"/>
            <w:shd w:fill="F8F9FA"/>
            <w:tcMar>
              <w:top w:w="60" w:type="dxa"/>
              <w:bottom w:w="60" w:type="dxa"/>
              <w:left w:w="80" w:type="dxa"/>
              <w:right w:w="80" w:type="dxa"/>
            </w:tcMar>
          </w:tcPr>
          <w:p>
            <w:pPr>
              <w:jc w:val="center"/>
            </w:pPr>
            <w:r>
              <w:rPr>
                <w:b/>
                <w:color w:val="282828"/>
                <w:sz w:val="17"/>
              </w:rPr>
              <w:t>0 (0.00%)</w:t>
            </w:r>
          </w:p>
        </w:tc>
        <w:tc>
          <w:tcPr>
            <w:tcW w:type="dxa" w:w="1170"/>
            <w:shd w:fill="F8F9FA"/>
            <w:tcMar>
              <w:top w:w="60" w:type="dxa"/>
              <w:bottom w:w="60" w:type="dxa"/>
              <w:left w:w="80" w:type="dxa"/>
              <w:right w:w="80" w:type="dxa"/>
            </w:tcMar>
          </w:tcPr>
          <w:p>
            <w:pPr>
              <w:jc w:val="center"/>
            </w:pPr>
            <w:r>
              <w:rPr>
                <w:b/>
                <w:color w:val="282828"/>
                <w:sz w:val="17"/>
              </w:rPr>
              <w:t>0 (0.00%)</w:t>
            </w:r>
          </w:p>
        </w:tc>
      </w:tr>
      <w:tr>
        <w:tc>
          <w:tcPr>
            <w:tcW w:type="dxa" w:w="1170"/>
            <w:shd w:fill="FFFFFF"/>
            <w:tcMar>
              <w:top w:w="60" w:type="dxa"/>
              <w:bottom w:w="60" w:type="dxa"/>
              <w:left w:w="80" w:type="dxa"/>
              <w:right w:w="80" w:type="dxa"/>
            </w:tcMar>
          </w:tcPr>
          <w:p>
            <w:r>
              <w:rPr>
                <w:b/>
                <w:color w:val="282828"/>
                <w:sz w:val="17"/>
              </w:rPr>
              <w:t>delivery_rating*</w:t>
            </w:r>
          </w:p>
        </w:tc>
        <w:tc>
          <w:tcPr>
            <w:tcW w:type="dxa" w:w="1170"/>
            <w:shd w:fill="FFFFFF"/>
            <w:tcMar>
              <w:top w:w="60" w:type="dxa"/>
              <w:bottom w:w="60" w:type="dxa"/>
              <w:left w:w="80" w:type="dxa"/>
              <w:right w:w="80" w:type="dxa"/>
            </w:tcMar>
          </w:tcPr>
          <w:p>
            <w:pPr>
              <w:jc w:val="center"/>
            </w:pPr>
            <w:r>
              <w:rPr>
                <w:color w:val="282828"/>
                <w:sz w:val="17"/>
              </w:rPr>
              <w:t>1.00 to 5.00 stars</w:t>
            </w:r>
          </w:p>
        </w:tc>
        <w:tc>
          <w:tcPr>
            <w:tcW w:type="dxa" w:w="1170"/>
            <w:shd w:fill="FFFFFF"/>
            <w:tcMar>
              <w:top w:w="60" w:type="dxa"/>
              <w:bottom w:w="60" w:type="dxa"/>
              <w:left w:w="80" w:type="dxa"/>
              <w:right w:w="80" w:type="dxa"/>
            </w:tcMar>
          </w:tcPr>
          <w:p>
            <w:pPr>
              <w:jc w:val="center"/>
            </w:pPr>
            <w:r>
              <w:rPr>
                <w:color w:val="282828"/>
                <w:sz w:val="17"/>
              </w:rPr>
              <w:t>3.67 +/- 1.15</w:t>
            </w:r>
          </w:p>
        </w:tc>
        <w:tc>
          <w:tcPr>
            <w:tcW w:type="dxa" w:w="1170"/>
            <w:shd w:fill="FFFFFF"/>
            <w:tcMar>
              <w:top w:w="60" w:type="dxa"/>
              <w:bottom w:w="60" w:type="dxa"/>
              <w:left w:w="80" w:type="dxa"/>
              <w:right w:w="80" w:type="dxa"/>
            </w:tcMar>
          </w:tcPr>
          <w:p>
            <w:pPr>
              <w:jc w:val="center"/>
            </w:pPr>
            <w:r>
              <w:rPr>
                <w:color w:val="282828"/>
                <w:sz w:val="17"/>
              </w:rPr>
              <w:t>-0.74</w:t>
            </w:r>
          </w:p>
        </w:tc>
        <w:tc>
          <w:tcPr>
            <w:tcW w:type="dxa" w:w="1170"/>
            <w:shd w:fill="FFFFFF"/>
            <w:tcMar>
              <w:top w:w="60" w:type="dxa"/>
              <w:bottom w:w="60" w:type="dxa"/>
              <w:left w:w="80" w:type="dxa"/>
              <w:right w:w="80" w:type="dxa"/>
            </w:tcMar>
          </w:tcPr>
          <w:p>
            <w:pPr>
              <w:jc w:val="center"/>
            </w:pPr>
            <w:r>
              <w:rPr>
                <w:color w:val="282828"/>
                <w:sz w:val="17"/>
              </w:rPr>
              <w:t>3.00 - 5.00</w:t>
            </w:r>
          </w:p>
        </w:tc>
        <w:tc>
          <w:tcPr>
            <w:tcW w:type="dxa" w:w="1170"/>
            <w:shd w:fill="FFFFFF"/>
            <w:tcMar>
              <w:top w:w="60" w:type="dxa"/>
              <w:bottom w:w="60" w:type="dxa"/>
              <w:left w:w="80" w:type="dxa"/>
              <w:right w:w="80" w:type="dxa"/>
            </w:tcMar>
          </w:tcPr>
          <w:p>
            <w:pPr>
              <w:jc w:val="center"/>
            </w:pPr>
            <w:r>
              <w:rPr>
                <w:color w:val="282828"/>
                <w:sz w:val="17"/>
              </w:rPr>
              <w:t>2.00 [0.0, 8.0]</w:t>
            </w:r>
          </w:p>
        </w:tc>
        <w:tc>
          <w:tcPr>
            <w:tcW w:type="dxa" w:w="1170"/>
            <w:shd w:fill="FFFFFF"/>
            <w:tcMar>
              <w:top w:w="60" w:type="dxa"/>
              <w:bottom w:w="60" w:type="dxa"/>
              <w:left w:w="80" w:type="dxa"/>
              <w:right w:w="80" w:type="dxa"/>
            </w:tcMar>
          </w:tcPr>
          <w:p>
            <w:pPr>
              <w:jc w:val="center"/>
            </w:pPr>
            <w:r>
              <w:rPr>
                <w:b/>
                <w:color w:val="282828"/>
                <w:sz w:val="17"/>
              </w:rPr>
              <w:t>0 (0.00%)</w:t>
            </w:r>
          </w:p>
        </w:tc>
        <w:tc>
          <w:tcPr>
            <w:tcW w:type="dxa" w:w="1170"/>
            <w:shd w:fill="FFFFFF"/>
            <w:tcMar>
              <w:top w:w="60" w:type="dxa"/>
              <w:bottom w:w="60" w:type="dxa"/>
              <w:left w:w="80" w:type="dxa"/>
              <w:right w:w="80" w:type="dxa"/>
            </w:tcMar>
          </w:tcPr>
          <w:p>
            <w:pPr>
              <w:jc w:val="center"/>
            </w:pPr>
            <w:r>
              <w:rPr>
                <w:b/>
                <w:color w:val="282828"/>
                <w:sz w:val="17"/>
              </w:rPr>
              <w:t>0 (0.00%)</w:t>
            </w:r>
          </w:p>
        </w:tc>
      </w:tr>
    </w:tbl>
    <w:p>
      <w:pPr>
        <w:spacing w:after="200"/>
      </w:pPr>
      <w:r>
        <w:rPr>
          <w:i/>
          <w:sz w:val="16"/>
        </w:rPr>
        <w:t>*Note: `delivery_rating` is an ordinal discrete variable [1..5]; continuous outlier fences are reported for completeness.</w:t>
      </w:r>
    </w:p>
    <w:p>
      <w:pPr>
        <w:pStyle w:val="Heading1"/>
      </w:pPr>
      <w:r>
        <w:t>4. Outlier Classification &amp; Domain Plausibility Taxonomy</w:t>
      </w:r>
    </w:p>
    <w:p>
      <w:pPr>
        <w:spacing w:after="200"/>
      </w:pPr>
      <w:r>
        <w:t>To establish a defensible treatment strategy, all extreme values must be classified according to their operational validity:</w:t>
        <w:br/>
        <w:t>1. Genuine Operational Extremes: Observations that reflect legitimate, high-variance supply chain events. In this dataset, distances up to 297.1 km correspond to inter-city intra-state linehauls (e.g., Mumbai to Pune, Delhi to Agra); package weights up to 49.52 kg represent heavy consumer electronics or commercial freight consignments; delivery costs up to 1,632.72 INR reflect express multi-region logistics tariffs.</w:t>
        <w:br/>
        <w:t>2. Potential Data Entry Errors: Negative transit distances, negative parcel weights, negative delivery costs, or inverted SLA times. Systematic audits in Step 3 and Step 5 confirmed exactly zero data entry corruptions.</w:t>
        <w:br/>
        <w:t>3. Statistically Unusual Observations: Points breaching statistical bounds (|Z| &gt; 3 or 1.5 * IQR). Because empirical excess kurtosis is approximately -1.2 across all continuous features, exactly zero statistical anomalies were detected.</w:t>
      </w:r>
    </w:p>
    <w:p>
      <w:pPr>
        <w:pStyle w:val="Heading1"/>
      </w:pPr>
      <w:r>
        <w:t>5. Treatment Decision Framework &amp; Data Preservation Policy</w:t>
      </w:r>
    </w:p>
    <w:p>
      <w:pPr>
        <w:spacing w:after="120"/>
      </w:pPr>
      <w:r>
        <w:t>Table 2 specifies the formal treatment policy adopted for each feature, establishing clear theoretical and operational justifications.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80" w:type="dxa"/>
              <w:bottom w:w="80" w:type="dxa"/>
              <w:left w:w="80" w:type="dxa"/>
              <w:right w:w="80" w:type="dxa"/>
            </w:tcMar>
          </w:tcPr>
          <w:p>
            <w:pPr>
              <w:jc w:val="center"/>
            </w:pPr>
            <w:r>
              <w:rPr>
                <w:b/>
                <w:color w:val="FFFFFF"/>
                <w:sz w:val="17"/>
              </w:rPr>
              <w:t>Feature</w:t>
            </w:r>
          </w:p>
        </w:tc>
        <w:tc>
          <w:tcPr>
            <w:tcW w:type="dxa" w:w="1872"/>
            <w:shd w:fill="1B365D"/>
            <w:tcMar>
              <w:top w:w="80" w:type="dxa"/>
              <w:bottom w:w="80" w:type="dxa"/>
              <w:left w:w="80" w:type="dxa"/>
              <w:right w:w="80" w:type="dxa"/>
            </w:tcMar>
          </w:tcPr>
          <w:p>
            <w:pPr>
              <w:jc w:val="center"/>
            </w:pPr>
            <w:r>
              <w:rPr>
                <w:b/>
                <w:color w:val="FFFFFF"/>
                <w:sz w:val="17"/>
              </w:rPr>
              <w:t>Statistical Outliers</w:t>
            </w:r>
          </w:p>
        </w:tc>
        <w:tc>
          <w:tcPr>
            <w:tcW w:type="dxa" w:w="1872"/>
            <w:shd w:fill="1B365D"/>
            <w:tcMar>
              <w:top w:w="80" w:type="dxa"/>
              <w:bottom w:w="80" w:type="dxa"/>
              <w:left w:w="80" w:type="dxa"/>
              <w:right w:w="80" w:type="dxa"/>
            </w:tcMar>
          </w:tcPr>
          <w:p>
            <w:pPr>
              <w:jc w:val="center"/>
            </w:pPr>
            <w:r>
              <w:rPr>
                <w:b/>
                <w:color w:val="FFFFFF"/>
                <w:sz w:val="17"/>
              </w:rPr>
              <w:t>Domain Assessment</w:t>
            </w:r>
          </w:p>
        </w:tc>
        <w:tc>
          <w:tcPr>
            <w:tcW w:type="dxa" w:w="1872"/>
            <w:shd w:fill="1B365D"/>
            <w:tcMar>
              <w:top w:w="80" w:type="dxa"/>
              <w:bottom w:w="80" w:type="dxa"/>
              <w:left w:w="80" w:type="dxa"/>
              <w:right w:w="80" w:type="dxa"/>
            </w:tcMar>
          </w:tcPr>
          <w:p>
            <w:pPr>
              <w:jc w:val="center"/>
            </w:pPr>
            <w:r>
              <w:rPr>
                <w:b/>
                <w:color w:val="FFFFFF"/>
                <w:sz w:val="17"/>
              </w:rPr>
              <w:t>Treatment Applied</w:t>
            </w:r>
          </w:p>
        </w:tc>
        <w:tc>
          <w:tcPr>
            <w:tcW w:type="dxa" w:w="1872"/>
            <w:shd w:fill="1B365D"/>
            <w:tcMar>
              <w:top w:w="80" w:type="dxa"/>
              <w:bottom w:w="80" w:type="dxa"/>
              <w:left w:w="80" w:type="dxa"/>
              <w:right w:w="80" w:type="dxa"/>
            </w:tcMar>
          </w:tcPr>
          <w:p>
            <w:pPr>
              <w:jc w:val="center"/>
            </w:pPr>
            <w:r>
              <w:rPr>
                <w:b/>
                <w:color w:val="FFFFFF"/>
                <w:sz w:val="17"/>
              </w:rPr>
              <w:t>Operational Justification</w:t>
            </w:r>
          </w:p>
        </w:tc>
      </w:tr>
      <w:tr>
        <w:tc>
          <w:tcPr>
            <w:tcW w:type="dxa" w:w="1872"/>
            <w:shd w:fill="FFFFFF"/>
            <w:tcMar>
              <w:top w:w="60" w:type="dxa"/>
              <w:bottom w:w="60" w:type="dxa"/>
              <w:left w:w="80" w:type="dxa"/>
              <w:right w:w="80" w:type="dxa"/>
            </w:tcMar>
          </w:tcPr>
          <w:p>
            <w:r>
              <w:rPr>
                <w:b/>
                <w:color w:val="282828"/>
                <w:sz w:val="17"/>
              </w:rPr>
              <w:t>distance_km</w:t>
            </w:r>
          </w:p>
        </w:tc>
        <w:tc>
          <w:tcPr>
            <w:tcW w:type="dxa" w:w="1872"/>
            <w:shd w:fill="FFFFFF"/>
            <w:tcMar>
              <w:top w:w="60" w:type="dxa"/>
              <w:bottom w:w="60" w:type="dxa"/>
              <w:left w:w="80" w:type="dxa"/>
              <w:right w:w="80" w:type="dxa"/>
            </w:tcMar>
          </w:tcPr>
          <w:p>
            <w:pPr>
              <w:jc w:val="center"/>
            </w:pPr>
            <w:r>
              <w:rPr>
                <w:color w:val="282828"/>
                <w:sz w:val="17"/>
              </w:rPr>
              <w:t>0 (IQR) / 0 (Z)</w:t>
            </w:r>
          </w:p>
        </w:tc>
        <w:tc>
          <w:tcPr>
            <w:tcW w:type="dxa" w:w="1872"/>
            <w:shd w:fill="FFFFFF"/>
            <w:tcMar>
              <w:top w:w="60" w:type="dxa"/>
              <w:bottom w:w="60" w:type="dxa"/>
              <w:left w:w="80" w:type="dxa"/>
              <w:right w:w="80" w:type="dxa"/>
            </w:tcMar>
          </w:tcPr>
          <w:p>
            <w:r>
              <w:rPr>
                <w:color w:val="282828"/>
                <w:sz w:val="17"/>
              </w:rPr>
              <w:t>Valid haul distances (3.6 to 297.1 km)</w:t>
            </w:r>
          </w:p>
        </w:tc>
        <w:tc>
          <w:tcPr>
            <w:tcW w:type="dxa" w:w="1872"/>
            <w:shd w:fill="FFFFFF"/>
            <w:tcMar>
              <w:top w:w="60" w:type="dxa"/>
              <w:bottom w:w="60" w:type="dxa"/>
              <w:left w:w="80" w:type="dxa"/>
              <w:right w:w="80" w:type="dxa"/>
            </w:tcMar>
          </w:tcPr>
          <w:p>
            <w:pPr>
              <w:jc w:val="center"/>
            </w:pPr>
            <w:r>
              <w:rPr>
                <w:b/>
                <w:color w:val="282828"/>
                <w:sz w:val="17"/>
              </w:rPr>
              <w:t>Preserved (100% Retained)</w:t>
            </w:r>
          </w:p>
        </w:tc>
        <w:tc>
          <w:tcPr>
            <w:tcW w:type="dxa" w:w="1872"/>
            <w:shd w:fill="FFFFFF"/>
            <w:tcMar>
              <w:top w:w="60" w:type="dxa"/>
              <w:bottom w:w="60" w:type="dxa"/>
              <w:left w:w="80" w:type="dxa"/>
              <w:right w:w="80" w:type="dxa"/>
            </w:tcMar>
          </w:tcPr>
          <w:p>
            <w:r>
              <w:rPr>
                <w:color w:val="282828"/>
                <w:sz w:val="17"/>
              </w:rPr>
              <w:t>Realistic intra-state transit envelope; deletion would truncate long-distance carrier evaluation.</w:t>
            </w:r>
          </w:p>
        </w:tc>
      </w:tr>
      <w:tr>
        <w:tc>
          <w:tcPr>
            <w:tcW w:type="dxa" w:w="1872"/>
            <w:shd w:fill="F8F9FA"/>
            <w:tcMar>
              <w:top w:w="60" w:type="dxa"/>
              <w:bottom w:w="60" w:type="dxa"/>
              <w:left w:w="80" w:type="dxa"/>
              <w:right w:w="80" w:type="dxa"/>
            </w:tcMar>
          </w:tcPr>
          <w:p>
            <w:r>
              <w:rPr>
                <w:b/>
                <w:color w:val="282828"/>
                <w:sz w:val="17"/>
              </w:rPr>
              <w:t>package_weight_kg</w:t>
            </w:r>
          </w:p>
        </w:tc>
        <w:tc>
          <w:tcPr>
            <w:tcW w:type="dxa" w:w="1872"/>
            <w:shd w:fill="F8F9FA"/>
            <w:tcMar>
              <w:top w:w="60" w:type="dxa"/>
              <w:bottom w:w="60" w:type="dxa"/>
              <w:left w:w="80" w:type="dxa"/>
              <w:right w:w="80" w:type="dxa"/>
            </w:tcMar>
          </w:tcPr>
          <w:p>
            <w:pPr>
              <w:jc w:val="center"/>
            </w:pPr>
            <w:r>
              <w:rPr>
                <w:color w:val="282828"/>
                <w:sz w:val="17"/>
              </w:rPr>
              <w:t>0 (IQR) / 0 (Z)</w:t>
            </w:r>
          </w:p>
        </w:tc>
        <w:tc>
          <w:tcPr>
            <w:tcW w:type="dxa" w:w="1872"/>
            <w:shd w:fill="F8F9FA"/>
            <w:tcMar>
              <w:top w:w="60" w:type="dxa"/>
              <w:bottom w:w="60" w:type="dxa"/>
              <w:left w:w="80" w:type="dxa"/>
              <w:right w:w="80" w:type="dxa"/>
            </w:tcMar>
          </w:tcPr>
          <w:p>
            <w:r>
              <w:rPr>
                <w:color w:val="282828"/>
                <w:sz w:val="17"/>
              </w:rPr>
              <w:t>Valid freight range (0.67 to 49.52 kg)</w:t>
            </w:r>
          </w:p>
        </w:tc>
        <w:tc>
          <w:tcPr>
            <w:tcW w:type="dxa" w:w="1872"/>
            <w:shd w:fill="F8F9FA"/>
            <w:tcMar>
              <w:top w:w="60" w:type="dxa"/>
              <w:bottom w:w="60" w:type="dxa"/>
              <w:left w:w="80" w:type="dxa"/>
              <w:right w:w="80" w:type="dxa"/>
            </w:tcMar>
          </w:tcPr>
          <w:p>
            <w:pPr>
              <w:jc w:val="center"/>
            </w:pPr>
            <w:r>
              <w:rPr>
                <w:b/>
                <w:color w:val="282828"/>
                <w:sz w:val="17"/>
              </w:rPr>
              <w:t>Preserved (100% Retained)</w:t>
            </w:r>
          </w:p>
        </w:tc>
        <w:tc>
          <w:tcPr>
            <w:tcW w:type="dxa" w:w="1872"/>
            <w:shd w:fill="F8F9FA"/>
            <w:tcMar>
              <w:top w:w="60" w:type="dxa"/>
              <w:bottom w:w="60" w:type="dxa"/>
              <w:left w:w="80" w:type="dxa"/>
              <w:right w:w="80" w:type="dxa"/>
            </w:tcMar>
          </w:tcPr>
          <w:p>
            <w:r>
              <w:rPr>
                <w:color w:val="282828"/>
                <w:sz w:val="17"/>
              </w:rPr>
              <w:t>Heavy commercial packages are critical for capacity planning; empirical values intact.</w:t>
            </w:r>
          </w:p>
        </w:tc>
      </w:tr>
      <w:tr>
        <w:tc>
          <w:tcPr>
            <w:tcW w:type="dxa" w:w="1872"/>
            <w:shd w:fill="FFFFFF"/>
            <w:tcMar>
              <w:top w:w="60" w:type="dxa"/>
              <w:bottom w:w="60" w:type="dxa"/>
              <w:left w:w="80" w:type="dxa"/>
              <w:right w:w="80" w:type="dxa"/>
            </w:tcMar>
          </w:tcPr>
          <w:p>
            <w:r>
              <w:rPr>
                <w:b/>
                <w:color w:val="282828"/>
                <w:sz w:val="17"/>
              </w:rPr>
              <w:t>expected_time_hours</w:t>
            </w:r>
          </w:p>
        </w:tc>
        <w:tc>
          <w:tcPr>
            <w:tcW w:type="dxa" w:w="1872"/>
            <w:shd w:fill="FFFFFF"/>
            <w:tcMar>
              <w:top w:w="60" w:type="dxa"/>
              <w:bottom w:w="60" w:type="dxa"/>
              <w:left w:w="80" w:type="dxa"/>
              <w:right w:w="80" w:type="dxa"/>
            </w:tcMar>
          </w:tcPr>
          <w:p>
            <w:pPr>
              <w:jc w:val="center"/>
            </w:pPr>
            <w:r>
              <w:rPr>
                <w:color w:val="282828"/>
                <w:sz w:val="17"/>
              </w:rPr>
              <w:t>0 (IQR) / 0 (Z)</w:t>
            </w:r>
          </w:p>
        </w:tc>
        <w:tc>
          <w:tcPr>
            <w:tcW w:type="dxa" w:w="1872"/>
            <w:shd w:fill="FFFFFF"/>
            <w:tcMar>
              <w:top w:w="60" w:type="dxa"/>
              <w:bottom w:w="60" w:type="dxa"/>
              <w:left w:w="80" w:type="dxa"/>
              <w:right w:w="80" w:type="dxa"/>
            </w:tcMar>
          </w:tcPr>
          <w:p>
            <w:r>
              <w:rPr>
                <w:color w:val="282828"/>
                <w:sz w:val="17"/>
              </w:rPr>
              <w:t>Valid SLA duration (0.35 to 9.99 hrs)</w:t>
            </w:r>
          </w:p>
        </w:tc>
        <w:tc>
          <w:tcPr>
            <w:tcW w:type="dxa" w:w="1872"/>
            <w:shd w:fill="FFFFFF"/>
            <w:tcMar>
              <w:top w:w="60" w:type="dxa"/>
              <w:bottom w:w="60" w:type="dxa"/>
              <w:left w:w="80" w:type="dxa"/>
              <w:right w:w="80" w:type="dxa"/>
            </w:tcMar>
          </w:tcPr>
          <w:p>
            <w:pPr>
              <w:jc w:val="center"/>
            </w:pPr>
            <w:r>
              <w:rPr>
                <w:b/>
                <w:color w:val="282828"/>
                <w:sz w:val="17"/>
              </w:rPr>
              <w:t>Preserved (100% Retained)</w:t>
            </w:r>
          </w:p>
        </w:tc>
        <w:tc>
          <w:tcPr>
            <w:tcW w:type="dxa" w:w="1872"/>
            <w:shd w:fill="FFFFFF"/>
            <w:tcMar>
              <w:top w:w="60" w:type="dxa"/>
              <w:bottom w:w="60" w:type="dxa"/>
              <w:left w:w="80" w:type="dxa"/>
              <w:right w:w="80" w:type="dxa"/>
            </w:tcMar>
          </w:tcPr>
          <w:p>
            <w:r>
              <w:rPr>
                <w:color w:val="282828"/>
                <w:sz w:val="17"/>
              </w:rPr>
              <w:t>Same-day to multi-hour dispatch schedules; no unphysical negative durations.</w:t>
            </w:r>
          </w:p>
        </w:tc>
      </w:tr>
      <w:tr>
        <w:tc>
          <w:tcPr>
            <w:tcW w:type="dxa" w:w="1872"/>
            <w:shd w:fill="F8F9FA"/>
            <w:tcMar>
              <w:top w:w="60" w:type="dxa"/>
              <w:bottom w:w="60" w:type="dxa"/>
              <w:left w:w="80" w:type="dxa"/>
              <w:right w:w="80" w:type="dxa"/>
            </w:tcMar>
          </w:tcPr>
          <w:p>
            <w:r>
              <w:rPr>
                <w:b/>
                <w:color w:val="282828"/>
                <w:sz w:val="17"/>
              </w:rPr>
              <w:t>delivery_cost</w:t>
            </w:r>
          </w:p>
        </w:tc>
        <w:tc>
          <w:tcPr>
            <w:tcW w:type="dxa" w:w="1872"/>
            <w:shd w:fill="F8F9FA"/>
            <w:tcMar>
              <w:top w:w="60" w:type="dxa"/>
              <w:bottom w:w="60" w:type="dxa"/>
              <w:left w:w="80" w:type="dxa"/>
              <w:right w:w="80" w:type="dxa"/>
            </w:tcMar>
          </w:tcPr>
          <w:p>
            <w:pPr>
              <w:jc w:val="center"/>
            </w:pPr>
            <w:r>
              <w:rPr>
                <w:color w:val="282828"/>
                <w:sz w:val="17"/>
              </w:rPr>
              <w:t>0 (IQR) / 0 (Z)</w:t>
            </w:r>
          </w:p>
        </w:tc>
        <w:tc>
          <w:tcPr>
            <w:tcW w:type="dxa" w:w="1872"/>
            <w:shd w:fill="F8F9FA"/>
            <w:tcMar>
              <w:top w:w="60" w:type="dxa"/>
              <w:bottom w:w="60" w:type="dxa"/>
              <w:left w:w="80" w:type="dxa"/>
              <w:right w:w="80" w:type="dxa"/>
            </w:tcMar>
          </w:tcPr>
          <w:p>
            <w:r>
              <w:rPr>
                <w:color w:val="282828"/>
                <w:sz w:val="17"/>
              </w:rPr>
              <w:t>Valid logistics tariff (95.67 to 1632.72 INR)</w:t>
            </w:r>
          </w:p>
        </w:tc>
        <w:tc>
          <w:tcPr>
            <w:tcW w:type="dxa" w:w="1872"/>
            <w:shd w:fill="F8F9FA"/>
            <w:tcMar>
              <w:top w:w="60" w:type="dxa"/>
              <w:bottom w:w="60" w:type="dxa"/>
              <w:left w:w="80" w:type="dxa"/>
              <w:right w:w="80" w:type="dxa"/>
            </w:tcMar>
          </w:tcPr>
          <w:p>
            <w:pPr>
              <w:jc w:val="center"/>
            </w:pPr>
            <w:r>
              <w:rPr>
                <w:b/>
                <w:color w:val="282828"/>
                <w:sz w:val="17"/>
              </w:rPr>
              <w:t>Preserved (100% Retained)</w:t>
            </w:r>
          </w:p>
        </w:tc>
        <w:tc>
          <w:tcPr>
            <w:tcW w:type="dxa" w:w="1872"/>
            <w:shd w:fill="F8F9FA"/>
            <w:tcMar>
              <w:top w:w="60" w:type="dxa"/>
              <w:bottom w:w="60" w:type="dxa"/>
              <w:left w:w="80" w:type="dxa"/>
              <w:right w:w="80" w:type="dxa"/>
            </w:tcMar>
          </w:tcPr>
          <w:p>
            <w:r>
              <w:rPr>
                <w:color w:val="282828"/>
                <w:sz w:val="17"/>
              </w:rPr>
              <w:t>Reflects standard Indian 3PL tariff matrix; zero negative or inflated billing amounts.</w:t>
            </w:r>
          </w:p>
        </w:tc>
      </w:tr>
      <w:tr>
        <w:tc>
          <w:tcPr>
            <w:tcW w:type="dxa" w:w="1872"/>
            <w:shd w:fill="FFFFFF"/>
            <w:tcMar>
              <w:top w:w="60" w:type="dxa"/>
              <w:bottom w:w="60" w:type="dxa"/>
              <w:left w:w="80" w:type="dxa"/>
              <w:right w:w="80" w:type="dxa"/>
            </w:tcMar>
          </w:tcPr>
          <w:p>
            <w:r>
              <w:rPr>
                <w:b/>
                <w:color w:val="282828"/>
                <w:sz w:val="17"/>
              </w:rPr>
              <w:t>delivery_rating</w:t>
            </w:r>
          </w:p>
        </w:tc>
        <w:tc>
          <w:tcPr>
            <w:tcW w:type="dxa" w:w="1872"/>
            <w:shd w:fill="FFFFFF"/>
            <w:tcMar>
              <w:top w:w="60" w:type="dxa"/>
              <w:bottom w:w="60" w:type="dxa"/>
              <w:left w:w="80" w:type="dxa"/>
              <w:right w:w="80" w:type="dxa"/>
            </w:tcMar>
          </w:tcPr>
          <w:p>
            <w:pPr>
              <w:jc w:val="center"/>
            </w:pPr>
            <w:r>
              <w:rPr>
                <w:color w:val="282828"/>
                <w:sz w:val="17"/>
              </w:rPr>
              <w:t>0 (IQR) / 0 (Z)</w:t>
            </w:r>
          </w:p>
        </w:tc>
        <w:tc>
          <w:tcPr>
            <w:tcW w:type="dxa" w:w="1872"/>
            <w:shd w:fill="FFFFFF"/>
            <w:tcMar>
              <w:top w:w="60" w:type="dxa"/>
              <w:bottom w:w="60" w:type="dxa"/>
              <w:left w:w="80" w:type="dxa"/>
              <w:right w:w="80" w:type="dxa"/>
            </w:tcMar>
          </w:tcPr>
          <w:p>
            <w:r>
              <w:rPr>
                <w:color w:val="282828"/>
                <w:sz w:val="17"/>
              </w:rPr>
              <w:t>Strict 1 to 5 integer rating scale</w:t>
            </w:r>
          </w:p>
        </w:tc>
        <w:tc>
          <w:tcPr>
            <w:tcW w:type="dxa" w:w="1872"/>
            <w:shd w:fill="FFFFFF"/>
            <w:tcMar>
              <w:top w:w="60" w:type="dxa"/>
              <w:bottom w:w="60" w:type="dxa"/>
              <w:left w:w="80" w:type="dxa"/>
              <w:right w:w="80" w:type="dxa"/>
            </w:tcMar>
          </w:tcPr>
          <w:p>
            <w:pPr>
              <w:jc w:val="center"/>
            </w:pPr>
            <w:r>
              <w:rPr>
                <w:b/>
                <w:color w:val="282828"/>
                <w:sz w:val="17"/>
              </w:rPr>
              <w:t>Scale Preserved Intact</w:t>
            </w:r>
          </w:p>
        </w:tc>
        <w:tc>
          <w:tcPr>
            <w:tcW w:type="dxa" w:w="1872"/>
            <w:shd w:fill="FFFFFF"/>
            <w:tcMar>
              <w:top w:w="60" w:type="dxa"/>
              <w:bottom w:w="60" w:type="dxa"/>
              <w:left w:w="80" w:type="dxa"/>
              <w:right w:w="80" w:type="dxa"/>
            </w:tcMar>
          </w:tcPr>
          <w:p>
            <w:r>
              <w:rPr>
                <w:color w:val="282828"/>
                <w:sz w:val="17"/>
              </w:rPr>
              <w:t>Discrete ordinal metric; continuous capping or winsorization strictly forbidden.</w:t>
            </w:r>
          </w:p>
        </w:tc>
      </w:tr>
    </w:tbl>
    <w:p>
      <w:pPr>
        <w:spacing w:after="200"/>
      </w:pPr>
      <w:r>
        <w:br/>
        <w:t>Core Methodological Safeguards:</w:t>
        <w:br/>
        <w:t>• Primary Key Protection: `delivery_id` is an identifier and is strictly excluded from numerical outlier treatment.</w:t>
        <w:br/>
        <w:t>• Target Variable Protection: The delay outcome `delayed` (`yes`/`no`) is preserved with zero modifications.</w:t>
        <w:br/>
        <w:t>• Sample Size Invariance: Exactly 25,000 valid transactional records are retained, achieving zero data loss.</w:t>
      </w:r>
    </w:p>
    <w:p>
      <w:pPr>
        <w:pStyle w:val="Heading1"/>
      </w:pPr>
      <w:r>
        <w:t>6. Visual Diagnostics &amp; Multi-Panel Analysis Dashboard</w:t>
      </w:r>
    </w:p>
    <w:p>
      <w:pPr>
        <w:spacing w:after="120"/>
      </w:pPr>
      <w:r>
        <w:t>Figure 1 displays the publication-quality 4x3 diagnostic dashboard generated by `src/outlier_detection.py`, illustrating distribution histograms with Z-score fences (Column 1), horizontal boxplots with Tukey's IQR fences (Column 2), and quantile value progressions across percentiles P0 to P100 (Column 3).</w:t>
      </w:r>
    </w:p>
    <w:p>
      <w:pPr>
        <w:jc w:val="center"/>
      </w:pPr>
    </w:p>
    <w:p>
      <w:r>
        <w:drawing>
          <wp:inline xmlns:a="http://schemas.openxmlformats.org/drawingml/2006/main" xmlns:pic="http://schemas.openxmlformats.org/drawingml/2006/picture">
            <wp:extent cx="5852160" cy="5201920"/>
            <wp:docPr id="1" name="Picture 1"/>
            <wp:cNvGraphicFramePr>
              <a:graphicFrameLocks noChangeAspect="1"/>
            </wp:cNvGraphicFramePr>
            <a:graphic>
              <a:graphicData uri="http://schemas.openxmlformats.org/drawingml/2006/picture">
                <pic:pic>
                  <pic:nvPicPr>
                    <pic:cNvPr id="0" name="outlier_analysis.png"/>
                    <pic:cNvPicPr/>
                  </pic:nvPicPr>
                  <pic:blipFill>
                    <a:blip r:embed="rId9"/>
                    <a:stretch>
                      <a:fillRect/>
                    </a:stretch>
                  </pic:blipFill>
                  <pic:spPr>
                    <a:xfrm>
                      <a:off x="0" y="0"/>
                      <a:ext cx="5852160" cy="5201920"/>
                    </a:xfrm>
                    <a:prstGeom prst="rect"/>
                  </pic:spPr>
                </pic:pic>
              </a:graphicData>
            </a:graphic>
          </wp:inline>
        </w:drawing>
      </w:r>
    </w:p>
    <w:p>
      <w:pPr>
        <w:spacing w:after="240"/>
        <w:jc w:val="center"/>
      </w:pPr>
      <w:r>
        <w:rPr>
          <w:i/>
          <w:sz w:val="17"/>
        </w:rPr>
        <w:t>Figure 1: Comprehensive Outlier Diagnostic Dashboard (Histograms, Boxplots, and Quantile Coverage).</w:t>
      </w:r>
    </w:p>
    <w:p>
      <w:pPr>
        <w:pStyle w:val="Heading1"/>
      </w:pPr>
      <w:r>
        <w:t>7. Validation, Verification, and Next Steps</w:t>
      </w:r>
    </w:p>
    <w:p>
      <w:pPr>
        <w:spacing w:after="280"/>
      </w:pPr>
      <w:r>
        <w:t>Verification Protocol Results:</w:t>
        <w:br/>
        <w:t>1. Raw Dataset Immutability: The source Excel workbook (`Delivery Logistics Dataset (India – Multi-Partner).xlsx`) remains 100% read-only and unaltered.</w:t>
        <w:br/>
        <w:t>2. Record Retention: Exactly 25,000 observations and 15 features are preserved.</w:t>
        <w:br/>
        <w:t>3. Mathematical Validation: Both IQR (1.5x) and Z-Score (|Z| &gt; 3.0) confirm zero outliers.</w:t>
        <w:br/>
        <w:t>4. Modular Implementation: `src/outlier_detection.py` provides production-ready, reusable detection and optional Winsorization functions.</w:t>
        <w:br/>
        <w:br/>
        <w:t>Conclusion: Step 5 is completed with full academic rigor. The dataset is certified sound and ready for Step 6 (Data Normalization &amp; Scaling).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