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3"/>
        <w:tblW w:w="0" w:type="auto"/>
        <w:tblLook w:val="04A0" w:firstRow="1" w:lastRow="0" w:firstColumn="1" w:lastColumn="0" w:noHBand="0" w:noVBand="1"/>
      </w:tblPr>
      <w:tblGrid>
        <w:gridCol w:w="9016"/>
      </w:tblGrid>
      <w:tr w:rsidR="00526634" w:rsidRPr="00526634" w14:paraId="2EBB0F99" w14:textId="77777777" w:rsidTr="005266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Pr>
          <w:p w14:paraId="44CAAF7C" w14:textId="77777777" w:rsidR="00526634" w:rsidRPr="00526634" w:rsidRDefault="00526634" w:rsidP="0036393F">
            <w:pPr>
              <w:rPr>
                <w:b w:val="0"/>
                <w:sz w:val="28"/>
                <w:szCs w:val="28"/>
              </w:rPr>
            </w:pPr>
            <w:bookmarkStart w:id="0" w:name="_Hlk38137899"/>
            <w:bookmarkEnd w:id="0"/>
          </w:p>
        </w:tc>
      </w:tr>
      <w:tr w:rsidR="00526634" w:rsidRPr="00526634" w14:paraId="42C05119" w14:textId="77777777" w:rsidTr="00526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9523B78" w14:textId="77777777" w:rsidR="00526634" w:rsidRPr="00526634" w:rsidRDefault="00526634" w:rsidP="0036393F">
            <w:pPr>
              <w:rPr>
                <w:b w:val="0"/>
                <w:bCs w:val="0"/>
                <w:color w:val="1C6194" w:themeColor="accent2" w:themeShade="BF"/>
                <w:sz w:val="36"/>
                <w:szCs w:val="36"/>
              </w:rPr>
            </w:pPr>
            <w:r w:rsidRPr="00526634">
              <w:rPr>
                <w:b w:val="0"/>
                <w:bCs w:val="0"/>
                <w:color w:val="1C6194" w:themeColor="accent2" w:themeShade="BF"/>
                <w:sz w:val="36"/>
                <w:szCs w:val="36"/>
              </w:rPr>
              <w:t xml:space="preserve">Serial Number: 197   </w:t>
            </w:r>
          </w:p>
        </w:tc>
      </w:tr>
      <w:tr w:rsidR="00526634" w:rsidRPr="00526634" w14:paraId="379D228D" w14:textId="77777777" w:rsidTr="00526634">
        <w:tc>
          <w:tcPr>
            <w:cnfStyle w:val="001000000000" w:firstRow="0" w:lastRow="0" w:firstColumn="1" w:lastColumn="0" w:oddVBand="0" w:evenVBand="0" w:oddHBand="0" w:evenHBand="0" w:firstRowFirstColumn="0" w:firstRowLastColumn="0" w:lastRowFirstColumn="0" w:lastRowLastColumn="0"/>
            <w:tcW w:w="9016" w:type="dxa"/>
          </w:tcPr>
          <w:p w14:paraId="66F3F223" w14:textId="77777777" w:rsidR="00526634" w:rsidRPr="00526634" w:rsidRDefault="00526634" w:rsidP="0036393F">
            <w:pPr>
              <w:rPr>
                <w:b w:val="0"/>
                <w:bCs w:val="0"/>
                <w:color w:val="1C6194" w:themeColor="accent2" w:themeShade="BF"/>
                <w:sz w:val="36"/>
                <w:szCs w:val="36"/>
              </w:rPr>
            </w:pPr>
            <w:r w:rsidRPr="00526634">
              <w:rPr>
                <w:b w:val="0"/>
                <w:bCs w:val="0"/>
                <w:color w:val="1C6194" w:themeColor="accent2" w:themeShade="BF"/>
                <w:sz w:val="36"/>
                <w:szCs w:val="36"/>
              </w:rPr>
              <w:t>Instrument Name: NESTLEIND</w:t>
            </w:r>
          </w:p>
        </w:tc>
      </w:tr>
    </w:tbl>
    <w:p w14:paraId="722AA35C" w14:textId="77777777" w:rsidR="00FA10B4" w:rsidRDefault="00FA10B4" w:rsidP="00CC3EA6">
      <w:pPr>
        <w:jc w:val="center"/>
        <w:rPr>
          <w:rStyle w:val="fontstyle01"/>
          <w:color w:val="1481AB" w:themeColor="accent1" w:themeShade="BF"/>
          <w:szCs w:val="44"/>
          <w:u w:val="single"/>
        </w:rPr>
      </w:pPr>
    </w:p>
    <w:p w14:paraId="736A61F7" w14:textId="77777777" w:rsidR="00CC3EA6" w:rsidRPr="00BD39F3" w:rsidRDefault="00CC3EA6" w:rsidP="00BD39F3">
      <w:pPr>
        <w:jc w:val="right"/>
        <w:rPr>
          <w:rFonts w:ascii="ADAM.CG PRO" w:hAnsi="ADAM.CG PRO"/>
          <w:b/>
          <w:bCs/>
          <w:color w:val="1481AB" w:themeColor="accent1" w:themeShade="BF"/>
          <w:sz w:val="24"/>
          <w:szCs w:val="24"/>
          <w:u w:val="single"/>
        </w:rPr>
      </w:pPr>
    </w:p>
    <w:p w14:paraId="5450A139" w14:textId="77777777" w:rsidR="00CC3EA6" w:rsidRDefault="00CC3EA6" w:rsidP="00CC3EA6">
      <w:pPr>
        <w:jc w:val="right"/>
        <w:rPr>
          <w:rFonts w:ascii="ADAM.CG PRO" w:hAnsi="ADAM.CG PRO"/>
          <w:b/>
          <w:bCs/>
          <w:color w:val="1481AB" w:themeColor="accent1" w:themeShade="BF"/>
          <w:sz w:val="36"/>
          <w:szCs w:val="36"/>
          <w:u w:val="single"/>
        </w:rPr>
      </w:pPr>
    </w:p>
    <w:p w14:paraId="76CD9A52" w14:textId="77777777" w:rsidR="00CC3EA6" w:rsidRDefault="00CC3EA6" w:rsidP="00CC3EA6">
      <w:pPr>
        <w:jc w:val="right"/>
        <w:rPr>
          <w:rFonts w:ascii="ADAM.CG PRO" w:hAnsi="ADAM.CG PRO"/>
          <w:b/>
          <w:bCs/>
          <w:color w:val="1481AB" w:themeColor="accent1" w:themeShade="BF"/>
          <w:sz w:val="36"/>
          <w:szCs w:val="36"/>
          <w:u w:val="single"/>
        </w:rPr>
      </w:pPr>
    </w:p>
    <w:p w14:paraId="61BE020E" w14:textId="77777777" w:rsidR="00655A62" w:rsidRDefault="00655A62" w:rsidP="00655A62">
      <w:pPr>
        <w:rPr>
          <w:rFonts w:ascii="CMCSC10" w:hAnsi="CMCSC10"/>
          <w:b/>
          <w:bCs/>
          <w:color w:val="1481AB" w:themeColor="accent1" w:themeShade="BF"/>
          <w:sz w:val="28"/>
          <w:szCs w:val="28"/>
          <w:u w:val="single"/>
        </w:rPr>
      </w:pPr>
    </w:p>
    <w:p w14:paraId="5161BD42" w14:textId="77777777" w:rsidR="00655A62" w:rsidRPr="00415176" w:rsidRDefault="00655A62" w:rsidP="00655A62">
      <w:pPr>
        <w:jc w:val="center"/>
        <w:rPr>
          <w:rFonts w:ascii="CMCSC10" w:hAnsi="CMCSC10"/>
          <w:b/>
          <w:bCs/>
          <w:color w:val="1481AB" w:themeColor="accent1" w:themeShade="BF"/>
          <w:sz w:val="28"/>
          <w:szCs w:val="28"/>
          <w:u w:val="single"/>
        </w:rPr>
      </w:pPr>
      <w:r w:rsidRPr="00415176">
        <w:rPr>
          <w:rFonts w:ascii="CMCSC10" w:hAnsi="CMCSC10"/>
          <w:b/>
          <w:bCs/>
          <w:color w:val="1481AB" w:themeColor="accent1" w:themeShade="BF"/>
          <w:sz w:val="28"/>
          <w:szCs w:val="28"/>
          <w:u w:val="single"/>
        </w:rPr>
        <w:t>ECON F354</w:t>
      </w:r>
    </w:p>
    <w:p w14:paraId="2DA67594" w14:textId="77777777" w:rsidR="00655A62" w:rsidRPr="00415176" w:rsidRDefault="00655A62" w:rsidP="00655A62">
      <w:pPr>
        <w:jc w:val="center"/>
        <w:rPr>
          <w:rFonts w:ascii="CMCSC10" w:hAnsi="CMCSC10"/>
          <w:b/>
          <w:bCs/>
          <w:color w:val="1481AB" w:themeColor="accent1" w:themeShade="BF"/>
          <w:sz w:val="28"/>
          <w:szCs w:val="28"/>
          <w:u w:val="single"/>
        </w:rPr>
      </w:pPr>
      <w:r w:rsidRPr="00415176">
        <w:rPr>
          <w:rFonts w:ascii="CMCSC10" w:hAnsi="CMCSC10"/>
          <w:b/>
          <w:bCs/>
          <w:color w:val="1481AB" w:themeColor="accent1" w:themeShade="BF"/>
          <w:sz w:val="28"/>
          <w:szCs w:val="28"/>
          <w:u w:val="single"/>
        </w:rPr>
        <w:t>DERIVATIVES &amp; RISK MANAGEMENT</w:t>
      </w:r>
      <w:r>
        <w:rPr>
          <w:rFonts w:ascii="CMCSC10" w:hAnsi="CMCSC10"/>
          <w:b/>
          <w:bCs/>
          <w:color w:val="1481AB" w:themeColor="accent1" w:themeShade="BF"/>
          <w:sz w:val="28"/>
          <w:szCs w:val="28"/>
          <w:u w:val="single"/>
        </w:rPr>
        <w:t xml:space="preserve"> PROJECT</w:t>
      </w:r>
    </w:p>
    <w:p w14:paraId="65F9781E" w14:textId="77777777" w:rsidR="00655A62" w:rsidRDefault="00655A62" w:rsidP="00655A62">
      <w:pPr>
        <w:jc w:val="center"/>
        <w:rPr>
          <w:rFonts w:ascii="ADAM.CG PRO" w:hAnsi="ADAM.CG PRO"/>
          <w:b/>
          <w:bCs/>
          <w:color w:val="1481AB" w:themeColor="accent1" w:themeShade="BF"/>
          <w:spacing w:val="106"/>
          <w:sz w:val="52"/>
          <w:szCs w:val="52"/>
        </w:rPr>
      </w:pPr>
    </w:p>
    <w:tbl>
      <w:tblPr>
        <w:tblStyle w:val="PlainTable1"/>
        <w:tblW w:w="10310" w:type="dxa"/>
        <w:jc w:val="center"/>
        <w:tblLook w:val="04A0" w:firstRow="1" w:lastRow="0" w:firstColumn="1" w:lastColumn="0" w:noHBand="0" w:noVBand="1"/>
      </w:tblPr>
      <w:tblGrid>
        <w:gridCol w:w="10310"/>
      </w:tblGrid>
      <w:tr w:rsidR="00655A62" w:rsidRPr="00E1729C" w14:paraId="4EBD3DA0" w14:textId="77777777" w:rsidTr="008F4618">
        <w:trPr>
          <w:cnfStyle w:val="100000000000" w:firstRow="1" w:lastRow="0" w:firstColumn="0" w:lastColumn="0" w:oddVBand="0" w:evenVBand="0" w:oddHBand="0" w:evenHBand="0" w:firstRowFirstColumn="0" w:firstRowLastColumn="0" w:lastRowFirstColumn="0" w:lastRowLastColumn="0"/>
          <w:trHeight w:val="1277"/>
          <w:jc w:val="center"/>
        </w:trPr>
        <w:tc>
          <w:tcPr>
            <w:cnfStyle w:val="001000000000" w:firstRow="0" w:lastRow="0" w:firstColumn="1" w:lastColumn="0" w:oddVBand="0" w:evenVBand="0" w:oddHBand="0" w:evenHBand="0" w:firstRowFirstColumn="0" w:firstRowLastColumn="0" w:lastRowFirstColumn="0" w:lastRowLastColumn="0"/>
            <w:tcW w:w="10310" w:type="dxa"/>
          </w:tcPr>
          <w:p w14:paraId="2E82106F" w14:textId="77777777" w:rsidR="00655A62" w:rsidRPr="00F510E5" w:rsidRDefault="00655A62" w:rsidP="008F4618">
            <w:pPr>
              <w:jc w:val="center"/>
              <w:rPr>
                <w:rFonts w:ascii="CMCSC10" w:hAnsi="CMCSC10"/>
                <w:b w:val="0"/>
                <w:bCs w:val="0"/>
                <w:color w:val="1C6194" w:themeColor="accent2" w:themeShade="BF"/>
                <w:spacing w:val="106"/>
                <w:sz w:val="72"/>
                <w:szCs w:val="260"/>
              </w:rPr>
            </w:pPr>
            <w:r w:rsidRPr="00F510E5">
              <w:rPr>
                <w:rFonts w:ascii="CMCSC10" w:hAnsi="CMCSC10"/>
                <w:b w:val="0"/>
                <w:bCs w:val="0"/>
                <w:color w:val="1C6194" w:themeColor="accent2" w:themeShade="BF"/>
                <w:spacing w:val="106"/>
                <w:sz w:val="72"/>
                <w:szCs w:val="260"/>
              </w:rPr>
              <w:t>Financial Analysis of</w:t>
            </w:r>
          </w:p>
        </w:tc>
      </w:tr>
      <w:tr w:rsidR="00655A62" w:rsidRPr="00E1729C" w14:paraId="7DAA1D0F" w14:textId="77777777" w:rsidTr="008F4618">
        <w:trPr>
          <w:cnfStyle w:val="000000100000" w:firstRow="0" w:lastRow="0" w:firstColumn="0" w:lastColumn="0" w:oddVBand="0" w:evenVBand="0" w:oddHBand="1" w:evenHBand="0" w:firstRowFirstColumn="0" w:firstRowLastColumn="0" w:lastRowFirstColumn="0" w:lastRowLastColumn="0"/>
          <w:trHeight w:val="750"/>
          <w:jc w:val="center"/>
        </w:trPr>
        <w:tc>
          <w:tcPr>
            <w:cnfStyle w:val="001000000000" w:firstRow="0" w:lastRow="0" w:firstColumn="1" w:lastColumn="0" w:oddVBand="0" w:evenVBand="0" w:oddHBand="0" w:evenHBand="0" w:firstRowFirstColumn="0" w:firstRowLastColumn="0" w:lastRowFirstColumn="0" w:lastRowLastColumn="0"/>
            <w:tcW w:w="10310" w:type="dxa"/>
          </w:tcPr>
          <w:p w14:paraId="4CF21205" w14:textId="77777777" w:rsidR="00655A62" w:rsidRPr="00F510E5" w:rsidRDefault="00655A62" w:rsidP="008F4618">
            <w:pPr>
              <w:jc w:val="center"/>
              <w:rPr>
                <w:rFonts w:ascii="CMCSC10" w:hAnsi="CMCSC10"/>
                <w:b w:val="0"/>
                <w:bCs w:val="0"/>
                <w:color w:val="1C6194" w:themeColor="accent2" w:themeShade="BF"/>
                <w:spacing w:val="106"/>
                <w:sz w:val="72"/>
                <w:szCs w:val="260"/>
              </w:rPr>
            </w:pPr>
            <w:r w:rsidRPr="00F510E5">
              <w:rPr>
                <w:rFonts w:ascii="CMCSC10" w:hAnsi="CMCSC10"/>
                <w:b w:val="0"/>
                <w:bCs w:val="0"/>
                <w:color w:val="1C6194" w:themeColor="accent2" w:themeShade="BF"/>
                <w:spacing w:val="106"/>
                <w:sz w:val="72"/>
                <w:szCs w:val="260"/>
              </w:rPr>
              <w:t>Nestl</w:t>
            </w:r>
            <w:r w:rsidRPr="00F510E5">
              <w:rPr>
                <w:rFonts w:ascii="CMCSC10" w:hAnsi="CMCSC10" w:hint="eastAsia"/>
                <w:b w:val="0"/>
                <w:bCs w:val="0"/>
                <w:color w:val="1C6194" w:themeColor="accent2" w:themeShade="BF"/>
                <w:spacing w:val="106"/>
                <w:sz w:val="72"/>
                <w:szCs w:val="260"/>
              </w:rPr>
              <w:t>é</w:t>
            </w:r>
            <w:r w:rsidRPr="00F510E5">
              <w:rPr>
                <w:rFonts w:ascii="CMCSC10" w:hAnsi="CMCSC10"/>
                <w:b w:val="0"/>
                <w:bCs w:val="0"/>
                <w:color w:val="1C6194" w:themeColor="accent2" w:themeShade="BF"/>
                <w:spacing w:val="106"/>
                <w:sz w:val="72"/>
                <w:szCs w:val="260"/>
              </w:rPr>
              <w:t xml:space="preserve"> India</w:t>
            </w:r>
          </w:p>
        </w:tc>
      </w:tr>
    </w:tbl>
    <w:p w14:paraId="534C5AC7" w14:textId="77777777" w:rsidR="009B36A0" w:rsidRPr="006B4A12" w:rsidRDefault="009B36A0" w:rsidP="000A2ABE">
      <w:pPr>
        <w:jc w:val="center"/>
        <w:rPr>
          <w:rFonts w:ascii="CMCSC10" w:hAnsi="CMCSC10"/>
          <w:color w:val="1481AB" w:themeColor="accent1" w:themeShade="BF"/>
          <w:sz w:val="28"/>
          <w:szCs w:val="28"/>
          <w:u w:val="single"/>
        </w:rPr>
      </w:pPr>
    </w:p>
    <w:p w14:paraId="04932A5B" w14:textId="7B7E92C0" w:rsidR="009B36A0" w:rsidRDefault="009B36A0" w:rsidP="00B95F8E">
      <w:pPr>
        <w:rPr>
          <w:rFonts w:ascii="CMCSC10" w:hAnsi="CMCSC10"/>
          <w:b/>
          <w:bCs/>
          <w:color w:val="1481AB" w:themeColor="accent1" w:themeShade="BF"/>
          <w:sz w:val="28"/>
          <w:szCs w:val="28"/>
          <w:u w:val="single"/>
        </w:rPr>
      </w:pPr>
    </w:p>
    <w:p w14:paraId="41D0C430" w14:textId="010349C5" w:rsidR="00AC29DA" w:rsidRDefault="00AC29DA" w:rsidP="00B95F8E">
      <w:pPr>
        <w:rPr>
          <w:rFonts w:ascii="CMCSC10" w:hAnsi="CMCSC10"/>
          <w:b/>
          <w:bCs/>
          <w:color w:val="1481AB" w:themeColor="accent1" w:themeShade="BF"/>
          <w:sz w:val="28"/>
          <w:szCs w:val="28"/>
          <w:u w:val="single"/>
        </w:rPr>
      </w:pPr>
    </w:p>
    <w:p w14:paraId="7631C65B" w14:textId="77777777" w:rsidR="00AC29DA" w:rsidRPr="00415176" w:rsidRDefault="00AC29DA" w:rsidP="00B95F8E">
      <w:pPr>
        <w:rPr>
          <w:rFonts w:ascii="CMCSC10" w:hAnsi="CMCSC10"/>
          <w:b/>
          <w:bCs/>
          <w:color w:val="1481AB" w:themeColor="accent1" w:themeShade="BF"/>
          <w:sz w:val="28"/>
          <w:szCs w:val="28"/>
          <w:u w:val="single"/>
        </w:rPr>
      </w:pPr>
    </w:p>
    <w:p w14:paraId="49D3D7F6" w14:textId="77777777" w:rsidR="00EF6B1E" w:rsidRPr="00415176" w:rsidRDefault="00EF6B1E" w:rsidP="000A2ABE">
      <w:pPr>
        <w:jc w:val="center"/>
        <w:rPr>
          <w:rFonts w:ascii="CMCSC10" w:hAnsi="CMCSC10"/>
          <w:b/>
          <w:bCs/>
          <w:color w:val="1481AB" w:themeColor="accent1" w:themeShade="BF"/>
          <w:sz w:val="28"/>
          <w:szCs w:val="28"/>
          <w:u w:val="single"/>
        </w:rPr>
      </w:pPr>
    </w:p>
    <w:p w14:paraId="1561A6CB" w14:textId="1242245A" w:rsidR="00415176" w:rsidRDefault="00415176" w:rsidP="000A2ABE">
      <w:pPr>
        <w:jc w:val="center"/>
        <w:rPr>
          <w:rFonts w:ascii="ADAM.CG PRO" w:hAnsi="ADAM.CG PRO"/>
          <w:b/>
          <w:bCs/>
          <w:color w:val="1481AB" w:themeColor="accent1" w:themeShade="BF"/>
          <w:sz w:val="28"/>
          <w:szCs w:val="28"/>
          <w:u w:val="single"/>
        </w:rPr>
      </w:pPr>
    </w:p>
    <w:p w14:paraId="0F696F3A" w14:textId="77777777" w:rsidR="000C16A1" w:rsidRDefault="000C16A1" w:rsidP="00586311">
      <w:pPr>
        <w:rPr>
          <w:rFonts w:ascii="ADAM.CG PRO" w:hAnsi="ADAM.CG PRO"/>
          <w:b/>
          <w:bCs/>
          <w:color w:val="1481AB" w:themeColor="accent1" w:themeShade="BF"/>
          <w:sz w:val="28"/>
          <w:szCs w:val="28"/>
          <w:u w:val="single"/>
        </w:rPr>
      </w:pPr>
    </w:p>
    <w:p w14:paraId="0B6F6C1C" w14:textId="77777777" w:rsidR="0044284F" w:rsidRDefault="0044284F" w:rsidP="00586311">
      <w:pPr>
        <w:jc w:val="center"/>
        <w:rPr>
          <w:rFonts w:ascii="CMCSC10" w:hAnsi="CMCSC10"/>
          <w:b/>
          <w:bCs/>
          <w:color w:val="1481AB" w:themeColor="accent1" w:themeShade="BF"/>
          <w:sz w:val="28"/>
          <w:szCs w:val="28"/>
          <w:u w:val="single"/>
        </w:rPr>
      </w:pPr>
    </w:p>
    <w:tbl>
      <w:tblPr>
        <w:tblStyle w:val="PlainTable4"/>
        <w:tblpPr w:leftFromText="180" w:rightFromText="180" w:vertAnchor="text" w:horzAnchor="margin" w:tblpY="296"/>
        <w:tblW w:w="0" w:type="auto"/>
        <w:tblLook w:val="04A0" w:firstRow="1" w:lastRow="0" w:firstColumn="1" w:lastColumn="0" w:noHBand="0" w:noVBand="1"/>
      </w:tblPr>
      <w:tblGrid>
        <w:gridCol w:w="9016"/>
      </w:tblGrid>
      <w:tr w:rsidR="00655A62" w:rsidRPr="007B601C" w14:paraId="7BFA0537" w14:textId="77777777" w:rsidTr="00655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2C8C9FE" w14:textId="77777777" w:rsidR="00655A62" w:rsidRPr="007B601C" w:rsidRDefault="00655A62" w:rsidP="00655A62">
            <w:pPr>
              <w:rPr>
                <w:rFonts w:ascii="CMCSC10" w:hAnsi="CMCSC10"/>
                <w:b w:val="0"/>
                <w:bCs w:val="0"/>
                <w:color w:val="1481AB" w:themeColor="accent1" w:themeShade="BF"/>
                <w:sz w:val="36"/>
                <w:szCs w:val="36"/>
                <w:u w:val="single"/>
              </w:rPr>
            </w:pPr>
            <w:r w:rsidRPr="007B601C">
              <w:rPr>
                <w:rFonts w:ascii="CMCSC10" w:hAnsi="CMCSC10"/>
                <w:b w:val="0"/>
                <w:bCs w:val="0"/>
                <w:color w:val="1481AB" w:themeColor="accent1" w:themeShade="BF"/>
                <w:sz w:val="36"/>
                <w:szCs w:val="36"/>
                <w:u w:val="single"/>
              </w:rPr>
              <w:t>Author:</w:t>
            </w:r>
            <w:r w:rsidRPr="0006718C">
              <w:rPr>
                <w:rFonts w:ascii="CMCSC10" w:hAnsi="CMCSC10"/>
                <w:b w:val="0"/>
                <w:bCs w:val="0"/>
                <w:color w:val="1481AB" w:themeColor="accent1" w:themeShade="BF"/>
                <w:sz w:val="36"/>
                <w:szCs w:val="36"/>
              </w:rPr>
              <w:t xml:space="preserve">    </w:t>
            </w:r>
            <w:r w:rsidRPr="007B601C">
              <w:rPr>
                <w:rFonts w:ascii="CMCSC10" w:hAnsi="CMCSC10"/>
                <w:b w:val="0"/>
                <w:bCs w:val="0"/>
                <w:color w:val="1481AB" w:themeColor="accent1" w:themeShade="BF"/>
                <w:sz w:val="36"/>
                <w:szCs w:val="36"/>
              </w:rPr>
              <w:tab/>
            </w:r>
            <w:r w:rsidRPr="007B601C">
              <w:rPr>
                <w:rFonts w:ascii="CMCSC10" w:hAnsi="CMCSC10"/>
                <w:b w:val="0"/>
                <w:bCs w:val="0"/>
                <w:color w:val="1481AB" w:themeColor="accent1" w:themeShade="BF"/>
                <w:sz w:val="36"/>
                <w:szCs w:val="36"/>
              </w:rPr>
              <w:tab/>
            </w:r>
            <w:r w:rsidRPr="007B601C">
              <w:rPr>
                <w:rFonts w:ascii="CMCSC10" w:hAnsi="CMCSC10"/>
                <w:b w:val="0"/>
                <w:bCs w:val="0"/>
                <w:color w:val="1481AB" w:themeColor="accent1" w:themeShade="BF"/>
                <w:sz w:val="36"/>
                <w:szCs w:val="36"/>
              </w:rPr>
              <w:tab/>
            </w:r>
            <w:r w:rsidRPr="007B601C">
              <w:rPr>
                <w:rFonts w:ascii="CMCSC10" w:hAnsi="CMCSC10"/>
                <w:b w:val="0"/>
                <w:bCs w:val="0"/>
                <w:color w:val="1481AB" w:themeColor="accent1" w:themeShade="BF"/>
                <w:sz w:val="36"/>
                <w:szCs w:val="36"/>
              </w:rPr>
              <w:tab/>
            </w:r>
            <w:r w:rsidRPr="007B601C">
              <w:rPr>
                <w:rFonts w:ascii="CMCSC10" w:hAnsi="CMCSC10"/>
                <w:b w:val="0"/>
                <w:bCs w:val="0"/>
                <w:color w:val="1481AB" w:themeColor="accent1" w:themeShade="BF"/>
                <w:sz w:val="36"/>
                <w:szCs w:val="36"/>
              </w:rPr>
              <w:tab/>
            </w:r>
            <w:r w:rsidRPr="007B601C">
              <w:rPr>
                <w:rFonts w:ascii="CMCSC10" w:hAnsi="CMCSC10"/>
                <w:b w:val="0"/>
                <w:bCs w:val="0"/>
                <w:color w:val="1481AB" w:themeColor="accent1" w:themeShade="BF"/>
                <w:sz w:val="36"/>
                <w:szCs w:val="36"/>
                <w:u w:val="single"/>
              </w:rPr>
              <w:t>Supervis</w:t>
            </w:r>
            <w:r>
              <w:rPr>
                <w:rFonts w:ascii="CMCSC10" w:hAnsi="CMCSC10"/>
                <w:b w:val="0"/>
                <w:bCs w:val="0"/>
                <w:color w:val="1481AB" w:themeColor="accent1" w:themeShade="BF"/>
                <w:sz w:val="36"/>
                <w:szCs w:val="36"/>
                <w:u w:val="single"/>
              </w:rPr>
              <w:t>o</w:t>
            </w:r>
            <w:r w:rsidRPr="007B601C">
              <w:rPr>
                <w:rFonts w:ascii="CMCSC10" w:hAnsi="CMCSC10"/>
                <w:b w:val="0"/>
                <w:bCs w:val="0"/>
                <w:color w:val="1481AB" w:themeColor="accent1" w:themeShade="BF"/>
                <w:sz w:val="36"/>
                <w:szCs w:val="36"/>
                <w:u w:val="single"/>
              </w:rPr>
              <w:t xml:space="preserve">r:                                                                         </w:t>
            </w:r>
          </w:p>
        </w:tc>
      </w:tr>
      <w:tr w:rsidR="00655A62" w:rsidRPr="006B4A12" w14:paraId="3D60B977" w14:textId="77777777" w:rsidTr="00655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1A6F70E" w14:textId="77777777" w:rsidR="00655A62" w:rsidRPr="006B4A12" w:rsidRDefault="00655A62" w:rsidP="00655A62">
            <w:pPr>
              <w:rPr>
                <w:rFonts w:ascii="CMCSC10" w:hAnsi="CMCSC10"/>
                <w:b w:val="0"/>
                <w:bCs w:val="0"/>
                <w:color w:val="1481AB" w:themeColor="accent1" w:themeShade="BF"/>
                <w:sz w:val="36"/>
                <w:szCs w:val="36"/>
                <w:u w:val="single"/>
              </w:rPr>
            </w:pPr>
            <w:r w:rsidRPr="006B4A12">
              <w:rPr>
                <w:rFonts w:ascii="CMCSC10" w:hAnsi="CMCSC10"/>
                <w:b w:val="0"/>
                <w:bCs w:val="0"/>
                <w:color w:val="1481AB" w:themeColor="accent1" w:themeShade="BF"/>
                <w:sz w:val="36"/>
                <w:szCs w:val="36"/>
                <w:u w:val="single"/>
              </w:rPr>
              <w:t>SHUBH MADHAVAN</w:t>
            </w:r>
            <w:r w:rsidRPr="006B4A12">
              <w:rPr>
                <w:rFonts w:ascii="CMCSC10" w:hAnsi="CMCSC10"/>
                <w:b w:val="0"/>
                <w:bCs w:val="0"/>
                <w:color w:val="1481AB" w:themeColor="accent1" w:themeShade="BF"/>
                <w:sz w:val="36"/>
                <w:szCs w:val="36"/>
              </w:rPr>
              <w:t xml:space="preserve">                        </w:t>
            </w:r>
            <w:r w:rsidRPr="006B4A12">
              <w:rPr>
                <w:rFonts w:ascii="CMCSC10" w:hAnsi="CMCSC10"/>
                <w:b w:val="0"/>
                <w:bCs w:val="0"/>
                <w:color w:val="1481AB" w:themeColor="accent1" w:themeShade="BF"/>
                <w:sz w:val="36"/>
                <w:szCs w:val="36"/>
                <w:u w:val="single"/>
              </w:rPr>
              <w:t>DR. THOTA NAGARAJU</w:t>
            </w:r>
          </w:p>
        </w:tc>
      </w:tr>
    </w:tbl>
    <w:p w14:paraId="46786CB5" w14:textId="0E795542" w:rsidR="0044284F" w:rsidRDefault="0044284F" w:rsidP="00586311">
      <w:pPr>
        <w:jc w:val="center"/>
        <w:rPr>
          <w:rFonts w:ascii="CMCSC10" w:hAnsi="CMCSC10"/>
          <w:b/>
          <w:bCs/>
          <w:color w:val="1481AB" w:themeColor="accent1" w:themeShade="BF"/>
          <w:sz w:val="28"/>
          <w:szCs w:val="28"/>
          <w:u w:val="single"/>
        </w:rPr>
      </w:pPr>
    </w:p>
    <w:p w14:paraId="5FC8802B" w14:textId="5E827AC0" w:rsidR="00FA10B4" w:rsidRDefault="00FA10B4" w:rsidP="00586311">
      <w:pPr>
        <w:jc w:val="center"/>
        <w:rPr>
          <w:rFonts w:ascii="CMCSC10" w:hAnsi="CMCSC10"/>
          <w:b/>
          <w:bCs/>
          <w:color w:val="1481AB" w:themeColor="accent1" w:themeShade="BF"/>
          <w:sz w:val="28"/>
          <w:szCs w:val="28"/>
          <w:u w:val="single"/>
        </w:rPr>
      </w:pPr>
    </w:p>
    <w:p w14:paraId="1C7FF1A7" w14:textId="77777777" w:rsidR="007A2303" w:rsidRDefault="007A2303" w:rsidP="00CB7FB0">
      <w:pPr>
        <w:rPr>
          <w:rFonts w:ascii="CMCSC10" w:hAnsi="CMCSC10"/>
          <w:b/>
          <w:bCs/>
          <w:color w:val="1481AB" w:themeColor="accent1" w:themeShade="BF"/>
          <w:sz w:val="28"/>
          <w:szCs w:val="28"/>
          <w:u w:val="single"/>
        </w:rPr>
      </w:pPr>
    </w:p>
    <w:p w14:paraId="0AA3EE81" w14:textId="77777777" w:rsidR="00993AEE" w:rsidRDefault="00CB7FB0" w:rsidP="00CB7FB0">
      <w:pPr>
        <w:rPr>
          <w:rFonts w:ascii="CMCSC10" w:hAnsi="CMCSC10"/>
          <w:sz w:val="40"/>
          <w:szCs w:val="40"/>
        </w:rPr>
      </w:pPr>
      <w:r>
        <w:rPr>
          <w:rFonts w:ascii="CMCSC10" w:hAnsi="CMCSC10"/>
          <w:b/>
          <w:bCs/>
          <w:color w:val="1481AB" w:themeColor="accent1" w:themeShade="BF"/>
          <w:sz w:val="40"/>
          <w:szCs w:val="40"/>
          <w:u w:val="single"/>
        </w:rPr>
        <w:lastRenderedPageBreak/>
        <w:t>Abstract</w:t>
      </w:r>
      <w:r w:rsidRPr="00586311">
        <w:rPr>
          <w:rFonts w:ascii="CMCSC10" w:hAnsi="CMCSC10"/>
          <w:b/>
          <w:bCs/>
          <w:color w:val="1481AB" w:themeColor="accent1" w:themeShade="BF"/>
          <w:sz w:val="40"/>
          <w:szCs w:val="40"/>
        </w:rPr>
        <w:t>:</w:t>
      </w:r>
      <w:r w:rsidRPr="00586311">
        <w:rPr>
          <w:rFonts w:ascii="CMCSC10" w:hAnsi="CMCSC10"/>
          <w:sz w:val="40"/>
          <w:szCs w:val="40"/>
        </w:rPr>
        <w:t xml:space="preserve"> </w:t>
      </w:r>
      <w:r w:rsidR="00993AEE">
        <w:rPr>
          <w:rFonts w:ascii="CMCSC10" w:hAnsi="CMCSC10"/>
          <w:sz w:val="40"/>
          <w:szCs w:val="40"/>
        </w:rPr>
        <w:t xml:space="preserve"> </w:t>
      </w:r>
    </w:p>
    <w:p w14:paraId="7081F4C6" w14:textId="398763BA" w:rsidR="003B1BEB" w:rsidRPr="00761944" w:rsidRDefault="00993AEE" w:rsidP="003B1BEB">
      <w:pPr>
        <w:ind w:firstLine="720"/>
        <w:rPr>
          <w:rFonts w:ascii="CMCSC10" w:hAnsi="CMCSC10"/>
          <w:i/>
          <w:iCs/>
          <w:sz w:val="34"/>
          <w:szCs w:val="36"/>
        </w:rPr>
      </w:pPr>
      <w:r w:rsidRPr="00761944">
        <w:rPr>
          <w:rFonts w:ascii="CMCSC10" w:hAnsi="CMCSC10"/>
          <w:i/>
          <w:iCs/>
          <w:sz w:val="34"/>
          <w:szCs w:val="36"/>
        </w:rPr>
        <w:t xml:space="preserve">The primary motive of this project is to make recommendations in relation to the financial health of the stock of </w:t>
      </w:r>
      <w:r w:rsidRPr="00761944">
        <w:rPr>
          <w:rFonts w:ascii="CMCSC10" w:hAnsi="CMCSC10"/>
          <w:b/>
          <w:bCs/>
          <w:i/>
          <w:iCs/>
          <w:color w:val="1C6194" w:themeColor="accent2" w:themeShade="BF"/>
          <w:sz w:val="34"/>
          <w:szCs w:val="36"/>
        </w:rPr>
        <w:t>Nestl</w:t>
      </w:r>
      <w:r w:rsidRPr="00761944">
        <w:rPr>
          <w:rFonts w:ascii="CMCSC10" w:hAnsi="CMCSC10" w:hint="eastAsia"/>
          <w:b/>
          <w:bCs/>
          <w:i/>
          <w:iCs/>
          <w:color w:val="1C6194" w:themeColor="accent2" w:themeShade="BF"/>
          <w:sz w:val="34"/>
          <w:szCs w:val="36"/>
        </w:rPr>
        <w:t>é</w:t>
      </w:r>
      <w:r w:rsidRPr="00761944">
        <w:rPr>
          <w:rFonts w:ascii="CMCSC10" w:hAnsi="CMCSC10"/>
          <w:b/>
          <w:bCs/>
          <w:i/>
          <w:iCs/>
          <w:color w:val="1C6194" w:themeColor="accent2" w:themeShade="BF"/>
          <w:sz w:val="34"/>
          <w:szCs w:val="36"/>
        </w:rPr>
        <w:t xml:space="preserve"> India Ltd.</w:t>
      </w:r>
      <w:r w:rsidRPr="00761944">
        <w:rPr>
          <w:rFonts w:ascii="CMCSC10" w:hAnsi="CMCSC10"/>
          <w:i/>
          <w:iCs/>
          <w:color w:val="1C6194" w:themeColor="accent2" w:themeShade="BF"/>
          <w:sz w:val="34"/>
          <w:szCs w:val="36"/>
        </w:rPr>
        <w:t xml:space="preserve"> </w:t>
      </w:r>
      <w:r w:rsidRPr="00761944">
        <w:rPr>
          <w:rFonts w:ascii="CMCSC10" w:hAnsi="CMCSC10"/>
          <w:i/>
          <w:iCs/>
          <w:sz w:val="34"/>
          <w:szCs w:val="36"/>
        </w:rPr>
        <w:t>(NESTLEIND). In order to do this, the spot and future prices between 1</w:t>
      </w:r>
      <w:r w:rsidRPr="00761944">
        <w:rPr>
          <w:rFonts w:ascii="CMCSC10" w:hAnsi="CMCSC10"/>
          <w:i/>
          <w:iCs/>
          <w:sz w:val="34"/>
          <w:szCs w:val="36"/>
          <w:vertAlign w:val="superscript"/>
        </w:rPr>
        <w:t>st</w:t>
      </w:r>
      <w:r w:rsidRPr="00761944">
        <w:rPr>
          <w:rFonts w:ascii="CMCSC10" w:hAnsi="CMCSC10"/>
          <w:i/>
          <w:iCs/>
          <w:sz w:val="34"/>
          <w:szCs w:val="36"/>
        </w:rPr>
        <w:t xml:space="preserve"> April ’19 to 30</w:t>
      </w:r>
      <w:r w:rsidRPr="00761944">
        <w:rPr>
          <w:rFonts w:ascii="CMCSC10" w:hAnsi="CMCSC10"/>
          <w:i/>
          <w:iCs/>
          <w:sz w:val="34"/>
          <w:szCs w:val="36"/>
          <w:vertAlign w:val="superscript"/>
        </w:rPr>
        <w:t>th</w:t>
      </w:r>
      <w:r w:rsidRPr="00761944">
        <w:rPr>
          <w:rFonts w:ascii="CMCSC10" w:hAnsi="CMCSC10"/>
          <w:i/>
          <w:iCs/>
          <w:sz w:val="34"/>
          <w:szCs w:val="36"/>
        </w:rPr>
        <w:t xml:space="preserve"> March </w:t>
      </w:r>
      <w:r w:rsidR="008B3DEC" w:rsidRPr="00761944">
        <w:rPr>
          <w:rFonts w:ascii="CMCSC10" w:hAnsi="CMCSC10"/>
          <w:i/>
          <w:iCs/>
          <w:sz w:val="34"/>
          <w:szCs w:val="36"/>
        </w:rPr>
        <w:t xml:space="preserve">’20 </w:t>
      </w:r>
      <w:r w:rsidRPr="00761944">
        <w:rPr>
          <w:rFonts w:ascii="CMCSC10" w:hAnsi="CMCSC10"/>
          <w:i/>
          <w:iCs/>
          <w:sz w:val="34"/>
          <w:szCs w:val="36"/>
        </w:rPr>
        <w:t>are to be analysed on the Daily, Weekly and Monthly Frequencies, so as to find out which investing methodology will work best in ensuring greater returns for the same amount of risk. Apart from calculating Returns on the aforementioned frequencies, these Returns will also be adjusted with the Treasury-Bill Returns in order to calculate the Excess Returns. This is important as it paints a more realistic picture of the situation</w:t>
      </w:r>
      <w:r w:rsidR="00D37696" w:rsidRPr="00761944">
        <w:rPr>
          <w:rFonts w:ascii="CMCSC10" w:hAnsi="CMCSC10"/>
          <w:i/>
          <w:iCs/>
          <w:sz w:val="34"/>
          <w:szCs w:val="36"/>
        </w:rPr>
        <w:t xml:space="preserve"> and helps an investor in making more informed decisions</w:t>
      </w:r>
      <w:r w:rsidRPr="00761944">
        <w:rPr>
          <w:rFonts w:ascii="CMCSC10" w:hAnsi="CMCSC10"/>
          <w:i/>
          <w:iCs/>
          <w:sz w:val="34"/>
          <w:szCs w:val="36"/>
        </w:rPr>
        <w:t xml:space="preserve">. Calculation of the Sharpe Ratio for each of these three frequencies will also help us in ascertaining the </w:t>
      </w:r>
      <w:r w:rsidR="00C308B9" w:rsidRPr="00761944">
        <w:rPr>
          <w:rFonts w:ascii="CMCSC10" w:hAnsi="CMCSC10"/>
          <w:i/>
          <w:iCs/>
          <w:sz w:val="34"/>
          <w:szCs w:val="36"/>
        </w:rPr>
        <w:t>investment method which will give the best returns for the same amount of risk.</w:t>
      </w:r>
      <w:r w:rsidR="008B3DEC" w:rsidRPr="00761944">
        <w:rPr>
          <w:rFonts w:ascii="CMCSC10" w:hAnsi="CMCSC10"/>
          <w:i/>
          <w:iCs/>
          <w:sz w:val="34"/>
          <w:szCs w:val="36"/>
        </w:rPr>
        <w:t xml:space="preserve"> </w:t>
      </w:r>
      <w:r w:rsidR="003B1BEB" w:rsidRPr="00761944">
        <w:rPr>
          <w:rFonts w:ascii="CMCSC10" w:hAnsi="CMCSC10"/>
          <w:i/>
          <w:iCs/>
          <w:sz w:val="34"/>
          <w:szCs w:val="36"/>
        </w:rPr>
        <w:t>Apart from the aforementioned work, Call Options are also interpreted using their Standard Deviations so that they can be compared with the actual quoted option prices.</w:t>
      </w:r>
    </w:p>
    <w:p w14:paraId="1A0997E9" w14:textId="5789123A" w:rsidR="001065BD" w:rsidRPr="00761944" w:rsidRDefault="001065BD" w:rsidP="003B1BEB">
      <w:pPr>
        <w:ind w:firstLine="720"/>
        <w:rPr>
          <w:rFonts w:ascii="CMCSC10" w:hAnsi="CMCSC10"/>
          <w:i/>
          <w:iCs/>
          <w:sz w:val="34"/>
          <w:szCs w:val="36"/>
        </w:rPr>
      </w:pPr>
      <w:r w:rsidRPr="00761944">
        <w:rPr>
          <w:rFonts w:ascii="CMCSC10" w:hAnsi="CMCSC10"/>
          <w:i/>
          <w:iCs/>
          <w:sz w:val="34"/>
          <w:szCs w:val="36"/>
        </w:rPr>
        <w:t xml:space="preserve">All analysis has been done through extensive usage of </w:t>
      </w:r>
      <w:r w:rsidRPr="00761944">
        <w:rPr>
          <w:rFonts w:ascii="CMCSC10" w:hAnsi="CMCSC10"/>
          <w:b/>
          <w:bCs/>
          <w:i/>
          <w:iCs/>
          <w:color w:val="1C6194" w:themeColor="accent2" w:themeShade="BF"/>
          <w:sz w:val="34"/>
          <w:szCs w:val="36"/>
        </w:rPr>
        <w:t xml:space="preserve">Python </w:t>
      </w:r>
      <w:r w:rsidRPr="00761944">
        <w:rPr>
          <w:rFonts w:ascii="CMCSC10" w:hAnsi="CMCSC10"/>
          <w:i/>
          <w:iCs/>
          <w:sz w:val="34"/>
          <w:szCs w:val="36"/>
        </w:rPr>
        <w:t xml:space="preserve">(using the </w:t>
      </w:r>
      <w:proofErr w:type="spellStart"/>
      <w:r w:rsidRPr="00761944">
        <w:rPr>
          <w:rFonts w:ascii="CMCSC10" w:hAnsi="CMCSC10"/>
          <w:i/>
          <w:iCs/>
          <w:color w:val="1C6194" w:themeColor="accent2" w:themeShade="BF"/>
          <w:sz w:val="34"/>
          <w:szCs w:val="36"/>
        </w:rPr>
        <w:t>Numpy</w:t>
      </w:r>
      <w:proofErr w:type="spellEnd"/>
      <w:r w:rsidR="00761944" w:rsidRPr="00761944">
        <w:rPr>
          <w:rFonts w:ascii="CMCSC10" w:hAnsi="CMCSC10"/>
          <w:i/>
          <w:iCs/>
          <w:color w:val="1C6194" w:themeColor="accent2" w:themeShade="BF"/>
          <w:sz w:val="34"/>
          <w:szCs w:val="36"/>
        </w:rPr>
        <w:t>,</w:t>
      </w:r>
      <w:r w:rsidRPr="00761944">
        <w:rPr>
          <w:rFonts w:ascii="CMCSC10" w:hAnsi="CMCSC10"/>
          <w:i/>
          <w:iCs/>
          <w:sz w:val="34"/>
          <w:szCs w:val="36"/>
        </w:rPr>
        <w:t xml:space="preserve"> </w:t>
      </w:r>
      <w:proofErr w:type="gramStart"/>
      <w:r w:rsidRPr="00761944">
        <w:rPr>
          <w:rFonts w:ascii="CMCSC10" w:hAnsi="CMCSC10"/>
          <w:i/>
          <w:iCs/>
          <w:color w:val="1C6194" w:themeColor="accent2" w:themeShade="BF"/>
          <w:sz w:val="34"/>
          <w:szCs w:val="36"/>
        </w:rPr>
        <w:t>Pandas</w:t>
      </w:r>
      <w:r w:rsidR="00761944" w:rsidRPr="00761944">
        <w:rPr>
          <w:rFonts w:ascii="CMCSC10" w:hAnsi="CMCSC10"/>
          <w:i/>
          <w:iCs/>
          <w:color w:val="1C6194" w:themeColor="accent2" w:themeShade="BF"/>
          <w:sz w:val="34"/>
          <w:szCs w:val="36"/>
        </w:rPr>
        <w:t xml:space="preserve">  </w:t>
      </w:r>
      <w:r w:rsidR="00761944" w:rsidRPr="00761944">
        <w:rPr>
          <w:rFonts w:ascii="CMCSC10" w:hAnsi="CMCSC10"/>
          <w:i/>
          <w:iCs/>
          <w:sz w:val="34"/>
          <w:szCs w:val="36"/>
        </w:rPr>
        <w:t>and</w:t>
      </w:r>
      <w:proofErr w:type="gramEnd"/>
      <w:r w:rsidR="00761944" w:rsidRPr="00761944">
        <w:rPr>
          <w:rFonts w:ascii="CMCSC10" w:hAnsi="CMCSC10"/>
          <w:i/>
          <w:iCs/>
          <w:color w:val="1C6194" w:themeColor="accent2" w:themeShade="BF"/>
          <w:sz w:val="34"/>
          <w:szCs w:val="36"/>
        </w:rPr>
        <w:t xml:space="preserve"> Matplotlib</w:t>
      </w:r>
      <w:r w:rsidRPr="00761944">
        <w:rPr>
          <w:rFonts w:ascii="CMCSC10" w:hAnsi="CMCSC10"/>
          <w:i/>
          <w:iCs/>
          <w:color w:val="1C6194" w:themeColor="accent2" w:themeShade="BF"/>
          <w:sz w:val="34"/>
          <w:szCs w:val="36"/>
        </w:rPr>
        <w:t xml:space="preserve"> </w:t>
      </w:r>
      <w:r w:rsidRPr="00761944">
        <w:rPr>
          <w:rFonts w:ascii="CMCSC10" w:hAnsi="CMCSC10"/>
          <w:i/>
          <w:iCs/>
          <w:sz w:val="34"/>
          <w:szCs w:val="36"/>
        </w:rPr>
        <w:t xml:space="preserve">Libraries). </w:t>
      </w:r>
      <w:r w:rsidR="000F4290" w:rsidRPr="00761944">
        <w:rPr>
          <w:rFonts w:ascii="CMCSC10" w:hAnsi="CMCSC10"/>
          <w:i/>
          <w:iCs/>
          <w:sz w:val="34"/>
          <w:szCs w:val="36"/>
        </w:rPr>
        <w:t xml:space="preserve">The </w:t>
      </w:r>
      <w:r w:rsidR="00385937" w:rsidRPr="00761944">
        <w:rPr>
          <w:rFonts w:ascii="CMCSC10" w:hAnsi="CMCSC10"/>
          <w:i/>
          <w:iCs/>
          <w:sz w:val="34"/>
          <w:szCs w:val="36"/>
        </w:rPr>
        <w:t xml:space="preserve">key </w:t>
      </w:r>
      <w:r w:rsidR="000F4290" w:rsidRPr="00761944">
        <w:rPr>
          <w:rFonts w:ascii="CMCSC10" w:hAnsi="CMCSC10"/>
          <w:i/>
          <w:iCs/>
          <w:sz w:val="34"/>
          <w:szCs w:val="36"/>
        </w:rPr>
        <w:t>observations</w:t>
      </w:r>
      <w:r w:rsidR="00385937" w:rsidRPr="00761944">
        <w:rPr>
          <w:rFonts w:ascii="CMCSC10" w:hAnsi="CMCSC10"/>
          <w:i/>
          <w:iCs/>
          <w:sz w:val="34"/>
          <w:szCs w:val="36"/>
        </w:rPr>
        <w:t xml:space="preserve"> from the analysis is that the highest </w:t>
      </w:r>
      <w:r w:rsidR="00385937" w:rsidRPr="00761944">
        <w:rPr>
          <w:rFonts w:ascii="CMCSC10" w:hAnsi="CMCSC10"/>
          <w:i/>
          <w:iCs/>
          <w:color w:val="1C6194" w:themeColor="accent2" w:themeShade="BF"/>
          <w:sz w:val="34"/>
          <w:szCs w:val="36"/>
        </w:rPr>
        <w:t>Sharpe Ratio</w:t>
      </w:r>
      <w:r w:rsidR="00385937" w:rsidRPr="00761944">
        <w:rPr>
          <w:rFonts w:ascii="CMCSC10" w:hAnsi="CMCSC10"/>
          <w:i/>
          <w:iCs/>
          <w:sz w:val="34"/>
          <w:szCs w:val="36"/>
        </w:rPr>
        <w:t xml:space="preserve"> </w:t>
      </w:r>
      <w:r w:rsidR="00BA402A" w:rsidRPr="00761944">
        <w:rPr>
          <w:rFonts w:ascii="CMCSC10" w:hAnsi="CMCSC10"/>
          <w:i/>
          <w:iCs/>
          <w:sz w:val="34"/>
          <w:szCs w:val="36"/>
        </w:rPr>
        <w:t>amongst stocks and futures</w:t>
      </w:r>
      <w:r w:rsidR="00385937" w:rsidRPr="00761944">
        <w:rPr>
          <w:rFonts w:ascii="CMCSC10" w:hAnsi="CMCSC10"/>
          <w:i/>
          <w:iCs/>
          <w:sz w:val="34"/>
          <w:szCs w:val="36"/>
        </w:rPr>
        <w:t xml:space="preserve"> was seen in</w:t>
      </w:r>
      <w:r w:rsidR="00BA402A" w:rsidRPr="00761944">
        <w:rPr>
          <w:rFonts w:ascii="CMCSC10" w:hAnsi="CMCSC10"/>
          <w:i/>
          <w:iCs/>
          <w:sz w:val="34"/>
          <w:szCs w:val="36"/>
        </w:rPr>
        <w:t xml:space="preserve"> the</w:t>
      </w:r>
      <w:r w:rsidR="00385937" w:rsidRPr="00761944">
        <w:rPr>
          <w:rFonts w:ascii="CMCSC10" w:hAnsi="CMCSC10"/>
          <w:i/>
          <w:iCs/>
          <w:sz w:val="34"/>
          <w:szCs w:val="36"/>
        </w:rPr>
        <w:t xml:space="preserve"> Far Month </w:t>
      </w:r>
      <w:r w:rsidR="00BA402A" w:rsidRPr="00761944">
        <w:rPr>
          <w:rFonts w:ascii="CMCSC10" w:hAnsi="CMCSC10"/>
          <w:i/>
          <w:iCs/>
          <w:sz w:val="34"/>
          <w:szCs w:val="36"/>
        </w:rPr>
        <w:t>Futures Contracts, when investment was made on a Monthly Basis.</w:t>
      </w:r>
    </w:p>
    <w:p w14:paraId="12F2CE02" w14:textId="77777777" w:rsidR="00CB7FB0" w:rsidRPr="00761944" w:rsidRDefault="00CB7FB0" w:rsidP="00586311">
      <w:pPr>
        <w:jc w:val="center"/>
        <w:rPr>
          <w:rFonts w:ascii="CMCSC10" w:hAnsi="CMCSC10"/>
          <w:b/>
          <w:bCs/>
          <w:i/>
          <w:iCs/>
          <w:color w:val="1481AB" w:themeColor="accent1" w:themeShade="BF"/>
          <w:sz w:val="28"/>
          <w:szCs w:val="28"/>
          <w:u w:val="single"/>
        </w:rPr>
      </w:pPr>
    </w:p>
    <w:p w14:paraId="34B4D5F7" w14:textId="77777777" w:rsidR="00CB7FB0" w:rsidRDefault="00CB7FB0" w:rsidP="00586311">
      <w:pPr>
        <w:jc w:val="center"/>
        <w:rPr>
          <w:rFonts w:ascii="CMCSC10" w:hAnsi="CMCSC10"/>
          <w:b/>
          <w:bCs/>
          <w:color w:val="1481AB" w:themeColor="accent1" w:themeShade="BF"/>
          <w:sz w:val="28"/>
          <w:szCs w:val="28"/>
          <w:u w:val="single"/>
        </w:rPr>
      </w:pPr>
    </w:p>
    <w:p w14:paraId="2EEBB400" w14:textId="77777777" w:rsidR="00CB7FB0" w:rsidRDefault="00CB7FB0" w:rsidP="00586311">
      <w:pPr>
        <w:jc w:val="center"/>
        <w:rPr>
          <w:rFonts w:ascii="CMCSC10" w:hAnsi="CMCSC10"/>
          <w:b/>
          <w:bCs/>
          <w:color w:val="1481AB" w:themeColor="accent1" w:themeShade="BF"/>
          <w:sz w:val="28"/>
          <w:szCs w:val="28"/>
          <w:u w:val="single"/>
        </w:rPr>
      </w:pPr>
    </w:p>
    <w:p w14:paraId="7C0569AA" w14:textId="77777777" w:rsidR="00CB7FB0" w:rsidRDefault="00CB7FB0" w:rsidP="00586311">
      <w:pPr>
        <w:jc w:val="center"/>
        <w:rPr>
          <w:rFonts w:ascii="CMCSC10" w:hAnsi="CMCSC10"/>
          <w:b/>
          <w:bCs/>
          <w:color w:val="1481AB" w:themeColor="accent1" w:themeShade="BF"/>
          <w:sz w:val="28"/>
          <w:szCs w:val="28"/>
          <w:u w:val="single"/>
        </w:rPr>
      </w:pPr>
    </w:p>
    <w:p w14:paraId="142E54C3" w14:textId="572C0205" w:rsidR="00CB7FB0" w:rsidRDefault="001E2C76" w:rsidP="00B045A4">
      <w:pPr>
        <w:rPr>
          <w:rFonts w:ascii="CMCSC10" w:hAnsi="CMCSC10"/>
          <w:b/>
          <w:bCs/>
          <w:color w:val="1481AB" w:themeColor="accent1" w:themeShade="BF"/>
          <w:sz w:val="28"/>
          <w:szCs w:val="28"/>
          <w:u w:val="single"/>
        </w:rPr>
      </w:pPr>
      <w:r>
        <w:rPr>
          <w:rFonts w:ascii="CMCSC10" w:hAnsi="CMCSC10"/>
          <w:b/>
          <w:bCs/>
          <w:color w:val="1481AB" w:themeColor="accent1" w:themeShade="BF"/>
          <w:sz w:val="28"/>
          <w:szCs w:val="28"/>
          <w:u w:val="single"/>
        </w:rPr>
        <w:t>6</w:t>
      </w:r>
    </w:p>
    <w:sdt>
      <w:sdtPr>
        <w:id w:val="124354322"/>
        <w:docPartObj>
          <w:docPartGallery w:val="Table of Contents"/>
          <w:docPartUnique/>
        </w:docPartObj>
      </w:sdtPr>
      <w:sdtEndPr>
        <w:rPr>
          <w:rFonts w:asciiTheme="minorHAnsi" w:eastAsiaTheme="minorEastAsia" w:hAnsiTheme="minorHAnsi" w:cstheme="minorBidi"/>
          <w:color w:val="auto"/>
          <w:sz w:val="21"/>
          <w:szCs w:val="21"/>
        </w:rPr>
      </w:sdtEndPr>
      <w:sdtContent>
        <w:p w14:paraId="4782BB80" w14:textId="7A3CA5E0" w:rsidR="00763021" w:rsidRDefault="00763021">
          <w:pPr>
            <w:pStyle w:val="TOCHeading"/>
          </w:pPr>
          <w:r>
            <w:t>Table of Contents</w:t>
          </w:r>
        </w:p>
        <w:p w14:paraId="7D5FF6F6" w14:textId="15D97079" w:rsidR="00763021" w:rsidRDefault="00763021">
          <w:pPr>
            <w:pStyle w:val="TOC1"/>
          </w:pPr>
          <w:r>
            <w:rPr>
              <w:b/>
              <w:bCs/>
            </w:rPr>
            <w:t xml:space="preserve">Section </w:t>
          </w:r>
          <w:r w:rsidR="00444871">
            <w:rPr>
              <w:b/>
              <w:bCs/>
            </w:rPr>
            <w:t>1</w:t>
          </w:r>
        </w:p>
        <w:p w14:paraId="659236EC" w14:textId="702FDB4A" w:rsidR="00763021" w:rsidRDefault="007317E3">
          <w:pPr>
            <w:pStyle w:val="TOC2"/>
            <w:ind w:left="216"/>
          </w:pPr>
          <w:r>
            <w:t xml:space="preserve">1 </w:t>
          </w:r>
          <w:r w:rsidR="00763021">
            <w:t>Introduction</w:t>
          </w:r>
          <w:r w:rsidR="00763021">
            <w:ptab w:relativeTo="margin" w:alignment="right" w:leader="dot"/>
          </w:r>
          <w:r w:rsidR="00763021">
            <w:t>4</w:t>
          </w:r>
        </w:p>
        <w:p w14:paraId="4E0DE7C3" w14:textId="51A75454" w:rsidR="00763021" w:rsidRDefault="00763021" w:rsidP="00763021">
          <w:pPr>
            <w:pStyle w:val="TOC3"/>
            <w:numPr>
              <w:ilvl w:val="1"/>
              <w:numId w:val="12"/>
            </w:numPr>
          </w:pPr>
          <w:r>
            <w:t>Nature of Business</w:t>
          </w:r>
          <w:r>
            <w:ptab w:relativeTo="margin" w:alignment="right" w:leader="dot"/>
          </w:r>
          <w:r>
            <w:t>4</w:t>
          </w:r>
        </w:p>
        <w:p w14:paraId="3551E9CE" w14:textId="024CC7F0" w:rsidR="00763021" w:rsidRDefault="00763021" w:rsidP="00763021">
          <w:pPr>
            <w:pStyle w:val="TOC3"/>
            <w:numPr>
              <w:ilvl w:val="1"/>
              <w:numId w:val="12"/>
            </w:numPr>
          </w:pPr>
          <w:r>
            <w:t>Ownership</w:t>
          </w:r>
          <w:r>
            <w:ptab w:relativeTo="margin" w:alignment="right" w:leader="dot"/>
          </w:r>
          <w:r>
            <w:t>5</w:t>
          </w:r>
        </w:p>
        <w:p w14:paraId="2CB0A350" w14:textId="48B784AB" w:rsidR="00763021" w:rsidRPr="00763021" w:rsidRDefault="00763021" w:rsidP="00763021">
          <w:pPr>
            <w:ind w:left="446"/>
          </w:pPr>
          <w:r>
            <w:rPr>
              <w:lang w:val="en-US"/>
            </w:rPr>
            <w:t>1.3 Business Commencement Circumstances</w:t>
          </w:r>
          <w:r>
            <w:ptab w:relativeTo="margin" w:alignment="right" w:leader="dot"/>
          </w:r>
          <w:r>
            <w:t>5</w:t>
          </w:r>
        </w:p>
        <w:p w14:paraId="2E84AD19" w14:textId="595113C8" w:rsidR="00763021" w:rsidRDefault="00763021" w:rsidP="00763021">
          <w:pPr>
            <w:ind w:firstLine="446"/>
            <w:rPr>
              <w:lang w:val="en-US"/>
            </w:rPr>
          </w:pPr>
          <w:r>
            <w:rPr>
              <w:lang w:val="en-US"/>
            </w:rPr>
            <w:t>1.</w:t>
          </w:r>
          <w:r>
            <w:rPr>
              <w:lang w:val="en-US"/>
            </w:rPr>
            <w:t>4</w:t>
          </w:r>
          <w:r w:rsidR="00DA1D4D">
            <w:rPr>
              <w:lang w:val="en-US"/>
            </w:rPr>
            <w:t>.1</w:t>
          </w:r>
          <w:r>
            <w:rPr>
              <w:lang w:val="en-US"/>
            </w:rPr>
            <w:t xml:space="preserve"> Industry of the Business</w:t>
          </w:r>
          <w:r w:rsidR="00736517">
            <w:ptab w:relativeTo="margin" w:alignment="right" w:leader="dot"/>
          </w:r>
          <w:r w:rsidR="00736517">
            <w:t>6</w:t>
          </w:r>
        </w:p>
        <w:p w14:paraId="55641EA7" w14:textId="7EE7BF07" w:rsidR="00763021" w:rsidRDefault="00763021" w:rsidP="00763021">
          <w:pPr>
            <w:ind w:firstLine="446"/>
            <w:rPr>
              <w:lang w:val="en-US"/>
            </w:rPr>
          </w:pPr>
          <w:r>
            <w:rPr>
              <w:lang w:val="en-US"/>
            </w:rPr>
            <w:t>1.</w:t>
          </w:r>
          <w:r w:rsidR="00DA1D4D">
            <w:rPr>
              <w:lang w:val="en-US"/>
            </w:rPr>
            <w:t>4.2</w:t>
          </w:r>
          <w:r>
            <w:rPr>
              <w:lang w:val="en-US"/>
            </w:rPr>
            <w:t xml:space="preserve"> Relevance and Economic Importance</w:t>
          </w:r>
          <w:r w:rsidR="00736517">
            <w:ptab w:relativeTo="margin" w:alignment="right" w:leader="dot"/>
          </w:r>
          <w:r w:rsidR="00736517">
            <w:t>6</w:t>
          </w:r>
        </w:p>
        <w:p w14:paraId="0A9A84EB" w14:textId="41574BE5" w:rsidR="00763021" w:rsidRDefault="00763021" w:rsidP="00763021">
          <w:pPr>
            <w:ind w:firstLine="446"/>
            <w:rPr>
              <w:lang w:val="en-US"/>
            </w:rPr>
          </w:pPr>
          <w:r>
            <w:rPr>
              <w:lang w:val="en-US"/>
            </w:rPr>
            <w:t>1.</w:t>
          </w:r>
          <w:r w:rsidR="00DA1D4D">
            <w:rPr>
              <w:lang w:val="en-US"/>
            </w:rPr>
            <w:t>5.1</w:t>
          </w:r>
          <w:r>
            <w:rPr>
              <w:lang w:val="en-US"/>
            </w:rPr>
            <w:t xml:space="preserve"> </w:t>
          </w:r>
          <w:r w:rsidR="00DA1D4D">
            <w:rPr>
              <w:lang w:val="en-US"/>
            </w:rPr>
            <w:t>Greatness of the Company</w:t>
          </w:r>
          <w:r w:rsidR="00DA1D4D">
            <w:rPr>
              <w:lang w:val="en-US"/>
            </w:rPr>
            <w:t xml:space="preserve"> </w:t>
          </w:r>
          <w:r w:rsidR="00736517">
            <w:ptab w:relativeTo="margin" w:alignment="right" w:leader="dot"/>
          </w:r>
          <w:r w:rsidR="00736517">
            <w:t>7</w:t>
          </w:r>
        </w:p>
        <w:p w14:paraId="733FBFAE" w14:textId="39BBD169" w:rsidR="00736517" w:rsidRDefault="00763021" w:rsidP="00736517">
          <w:pPr>
            <w:ind w:firstLine="446"/>
            <w:rPr>
              <w:lang w:val="en-US"/>
            </w:rPr>
          </w:pPr>
          <w:r>
            <w:rPr>
              <w:lang w:val="en-US"/>
            </w:rPr>
            <w:t>1.</w:t>
          </w:r>
          <w:r w:rsidR="00DA1D4D">
            <w:rPr>
              <w:lang w:val="en-US"/>
            </w:rPr>
            <w:t>5.2</w:t>
          </w:r>
          <w:r>
            <w:rPr>
              <w:lang w:val="en-US"/>
            </w:rPr>
            <w:t xml:space="preserve"> </w:t>
          </w:r>
          <w:r w:rsidR="00DA1D4D">
            <w:rPr>
              <w:lang w:val="en-US"/>
            </w:rPr>
            <w:t>Corporate Social Responsibility</w:t>
          </w:r>
          <w:r w:rsidR="009E2922">
            <w:rPr>
              <w:lang w:val="en-US"/>
            </w:rPr>
            <w:tab/>
          </w:r>
          <w:r w:rsidR="00736517">
            <w:ptab w:relativeTo="margin" w:alignment="right" w:leader="dot"/>
          </w:r>
          <w:r w:rsidR="00736517">
            <w:t>8</w:t>
          </w:r>
        </w:p>
        <w:p w14:paraId="0E937BDB" w14:textId="1E2F1DF7" w:rsidR="009E2922" w:rsidRDefault="00736517" w:rsidP="00736517">
          <w:pPr>
            <w:rPr>
              <w:lang w:val="en-US"/>
            </w:rPr>
          </w:pPr>
          <w:r>
            <w:rPr>
              <w:lang w:val="en-US"/>
            </w:rPr>
            <w:t xml:space="preserve">    </w:t>
          </w:r>
          <w:r w:rsidR="007317E3">
            <w:rPr>
              <w:lang w:val="en-US"/>
            </w:rPr>
            <w:t xml:space="preserve">2 </w:t>
          </w:r>
          <w:r w:rsidR="009E2922">
            <w:rPr>
              <w:lang w:val="en-US"/>
            </w:rPr>
            <w:t>Underlying Stock Returns</w:t>
          </w:r>
          <w:r>
            <w:ptab w:relativeTo="margin" w:alignment="right" w:leader="dot"/>
          </w:r>
          <w:r>
            <w:t>8</w:t>
          </w:r>
        </w:p>
        <w:p w14:paraId="7944FDE7" w14:textId="1C5D2760" w:rsidR="00A622E0" w:rsidRDefault="009E2922" w:rsidP="009E2922">
          <w:pPr>
            <w:rPr>
              <w:lang w:val="en-US"/>
            </w:rPr>
          </w:pPr>
          <w:r>
            <w:rPr>
              <w:lang w:val="en-US"/>
            </w:rPr>
            <w:t xml:space="preserve">    </w:t>
          </w:r>
          <w:r w:rsidR="007317E3">
            <w:rPr>
              <w:lang w:val="en-US"/>
            </w:rPr>
            <w:t xml:space="preserve">3 </w:t>
          </w:r>
          <w:r>
            <w:rPr>
              <w:lang w:val="en-US"/>
            </w:rPr>
            <w:t>Underlying Stock</w:t>
          </w:r>
          <w:r>
            <w:rPr>
              <w:lang w:val="en-US"/>
            </w:rPr>
            <w:t xml:space="preserve"> Risk-Adjusted</w:t>
          </w:r>
          <w:r>
            <w:rPr>
              <w:lang w:val="en-US"/>
            </w:rPr>
            <w:t xml:space="preserve"> Returns</w:t>
          </w:r>
          <w:r w:rsidR="00444871">
            <w:ptab w:relativeTo="margin" w:alignment="right" w:leader="dot"/>
          </w:r>
          <w:r w:rsidR="00444871">
            <w:t>9</w:t>
          </w:r>
        </w:p>
        <w:p w14:paraId="2EED1AC0" w14:textId="50D53A04" w:rsidR="00A622E0" w:rsidRPr="00444871" w:rsidRDefault="00A622E0" w:rsidP="00A622E0">
          <w:pPr>
            <w:pStyle w:val="TOC1"/>
            <w:rPr>
              <w:lang w:val="en-US"/>
            </w:rPr>
          </w:pPr>
          <w:r>
            <w:rPr>
              <w:lang w:val="en-US"/>
            </w:rPr>
            <w:t xml:space="preserve">    </w:t>
          </w:r>
          <w:r w:rsidR="007317E3">
            <w:rPr>
              <w:lang w:val="en-US"/>
            </w:rPr>
            <w:t xml:space="preserve">4 </w:t>
          </w:r>
          <w:r>
            <w:rPr>
              <w:lang w:val="en-US"/>
            </w:rPr>
            <w:t>Economic Interpretation of Risk Adjusted and Risk Unadjusted Returns</w:t>
          </w:r>
          <w:r w:rsidR="00444871">
            <w:ptab w:relativeTo="margin" w:alignment="right" w:leader="dot"/>
          </w:r>
          <w:r w:rsidR="00444871">
            <w:t>10</w:t>
          </w:r>
          <w:r w:rsidR="00444871">
            <w:ptab w:relativeTo="margin" w:alignment="right" w:leader="dot"/>
          </w:r>
          <w:r w:rsidR="00444871">
            <w:t xml:space="preserve">  </w:t>
          </w:r>
          <w:r>
            <w:rPr>
              <w:b/>
              <w:bCs/>
            </w:rPr>
            <w:t xml:space="preserve">Section </w:t>
          </w:r>
          <w:r w:rsidR="00444871">
            <w:rPr>
              <w:b/>
              <w:bCs/>
            </w:rPr>
            <w:t>2</w:t>
          </w:r>
        </w:p>
        <w:p w14:paraId="7243F1BC" w14:textId="11939673" w:rsidR="007317E3" w:rsidRDefault="007317E3" w:rsidP="009E2922">
          <w:pPr>
            <w:rPr>
              <w:lang w:val="en-US"/>
            </w:rPr>
          </w:pPr>
          <w:r>
            <w:rPr>
              <w:lang w:val="en-US"/>
            </w:rPr>
            <w:t xml:space="preserve">    5 Equity Futures</w:t>
          </w:r>
          <w:r w:rsidR="004B2220">
            <w:ptab w:relativeTo="margin" w:alignment="right" w:leader="dot"/>
          </w:r>
          <w:r w:rsidR="004B2220">
            <w:t>12</w:t>
          </w:r>
        </w:p>
        <w:p w14:paraId="5ABE2B25" w14:textId="76D17FDF" w:rsidR="007317E3" w:rsidRDefault="007317E3" w:rsidP="009E2922">
          <w:pPr>
            <w:rPr>
              <w:lang w:val="en-US"/>
            </w:rPr>
          </w:pPr>
          <w:r>
            <w:rPr>
              <w:lang w:val="en-US"/>
            </w:rPr>
            <w:t xml:space="preserve">        5.1 Commencement of Equity Futures</w:t>
          </w:r>
          <w:r w:rsidR="004B2220">
            <w:ptab w:relativeTo="margin" w:alignment="right" w:leader="dot"/>
          </w:r>
          <w:r w:rsidR="004B2220">
            <w:t>12</w:t>
          </w:r>
        </w:p>
        <w:p w14:paraId="1773F220" w14:textId="11F868CD" w:rsidR="009D7BD8" w:rsidRDefault="007317E3" w:rsidP="009E2922">
          <w:pPr>
            <w:rPr>
              <w:lang w:val="en-US"/>
            </w:rPr>
          </w:pPr>
          <w:r>
            <w:rPr>
              <w:lang w:val="en-US"/>
            </w:rPr>
            <w:t xml:space="preserve">        5.2 Lot Size and Contract Specifications</w:t>
          </w:r>
          <w:r w:rsidR="004B2220">
            <w:ptab w:relativeTo="margin" w:alignment="right" w:leader="dot"/>
          </w:r>
          <w:r w:rsidR="004B2220">
            <w:t>12</w:t>
          </w:r>
        </w:p>
        <w:p w14:paraId="1BADF3F9" w14:textId="01D9463C" w:rsidR="009D7BD8" w:rsidRDefault="009D7BD8" w:rsidP="009E2922">
          <w:pPr>
            <w:rPr>
              <w:lang w:val="en-US"/>
            </w:rPr>
          </w:pPr>
          <w:r>
            <w:rPr>
              <w:lang w:val="en-US"/>
            </w:rPr>
            <w:t xml:space="preserve">        5.3 Overall greatness of Equity Futures</w:t>
          </w:r>
          <w:r w:rsidR="004B2220">
            <w:ptab w:relativeTo="margin" w:alignment="right" w:leader="dot"/>
          </w:r>
          <w:r w:rsidR="004B2220">
            <w:t>13</w:t>
          </w:r>
        </w:p>
        <w:p w14:paraId="2BF84019" w14:textId="49E06163" w:rsidR="009D7BD8" w:rsidRDefault="009D7BD8" w:rsidP="009E2922">
          <w:pPr>
            <w:rPr>
              <w:lang w:val="en-US"/>
            </w:rPr>
          </w:pPr>
          <w:r>
            <w:rPr>
              <w:lang w:val="en-US"/>
            </w:rPr>
            <w:t xml:space="preserve">    6 Risk Unadjusted Daily, Weekly and Monthly Data for Near, Next and Far Months</w:t>
          </w:r>
          <w:r w:rsidR="004B2220">
            <w:ptab w:relativeTo="margin" w:alignment="right" w:leader="dot"/>
          </w:r>
          <w:r w:rsidR="004B2220">
            <w:t>13</w:t>
          </w:r>
        </w:p>
        <w:p w14:paraId="2B8ECFF4" w14:textId="5184B9B9" w:rsidR="009D7BD8" w:rsidRDefault="009D7BD8" w:rsidP="009E2922">
          <w:pPr>
            <w:rPr>
              <w:lang w:val="en-US"/>
            </w:rPr>
          </w:pPr>
          <w:r>
            <w:rPr>
              <w:lang w:val="en-US"/>
            </w:rPr>
            <w:t xml:space="preserve">        6.1 Near Month Returns </w:t>
          </w:r>
          <w:r w:rsidR="004B2220">
            <w:ptab w:relativeTo="margin" w:alignment="right" w:leader="dot"/>
          </w:r>
          <w:r w:rsidR="004B2220">
            <w:t>14</w:t>
          </w:r>
        </w:p>
        <w:p w14:paraId="2ACA52E9" w14:textId="12522E80" w:rsidR="009D7BD8" w:rsidRDefault="009D7BD8" w:rsidP="009E2922">
          <w:pPr>
            <w:rPr>
              <w:lang w:val="en-US"/>
            </w:rPr>
          </w:pPr>
          <w:r>
            <w:rPr>
              <w:lang w:val="en-US"/>
            </w:rPr>
            <w:t xml:space="preserve">        6.2 Next Month Returns</w:t>
          </w:r>
          <w:r w:rsidR="004B2220">
            <w:ptab w:relativeTo="margin" w:alignment="right" w:leader="dot"/>
          </w:r>
          <w:r w:rsidR="004B2220">
            <w:t>14</w:t>
          </w:r>
        </w:p>
        <w:p w14:paraId="505BEE1D" w14:textId="549F3A0C" w:rsidR="009D7BD8" w:rsidRDefault="009D7BD8" w:rsidP="009E2922">
          <w:pPr>
            <w:rPr>
              <w:lang w:val="en-US"/>
            </w:rPr>
          </w:pPr>
          <w:r>
            <w:rPr>
              <w:lang w:val="en-US"/>
            </w:rPr>
            <w:t xml:space="preserve">        6.3 Far Month Returns</w:t>
          </w:r>
          <w:r w:rsidR="004B2220">
            <w:ptab w:relativeTo="margin" w:alignment="right" w:leader="dot"/>
          </w:r>
          <w:r w:rsidR="004B2220">
            <w:t>15</w:t>
          </w:r>
        </w:p>
        <w:p w14:paraId="36ACC8A5" w14:textId="350824D7" w:rsidR="009D7BD8" w:rsidRDefault="009D7BD8" w:rsidP="009E2922">
          <w:pPr>
            <w:rPr>
              <w:lang w:val="en-US"/>
            </w:rPr>
          </w:pPr>
          <w:r>
            <w:rPr>
              <w:lang w:val="en-US"/>
            </w:rPr>
            <w:t xml:space="preserve">    7 Risk Adjusted Daily, </w:t>
          </w:r>
          <w:r w:rsidR="00413C79">
            <w:rPr>
              <w:lang w:val="en-US"/>
            </w:rPr>
            <w:t>W</w:t>
          </w:r>
          <w:r>
            <w:rPr>
              <w:lang w:val="en-US"/>
            </w:rPr>
            <w:t>eekly and Monthly Data for Near, Next and Far Months</w:t>
          </w:r>
          <w:r w:rsidR="004B2220">
            <w:ptab w:relativeTo="margin" w:alignment="right" w:leader="dot"/>
          </w:r>
          <w:r w:rsidR="004B2220">
            <w:t>15</w:t>
          </w:r>
        </w:p>
        <w:p w14:paraId="6B5A48BB" w14:textId="36B5C966" w:rsidR="00413C79" w:rsidRDefault="00413C79" w:rsidP="009E2922">
          <w:pPr>
            <w:rPr>
              <w:lang w:val="en-US"/>
            </w:rPr>
          </w:pPr>
          <w:r>
            <w:rPr>
              <w:lang w:val="en-US"/>
            </w:rPr>
            <w:t xml:space="preserve">    8 Economic Interpretation of Risk Adjusted and Risk Unadjusted Futures Returns</w:t>
          </w:r>
          <w:r w:rsidR="004B2220">
            <w:ptab w:relativeTo="margin" w:alignment="right" w:leader="dot"/>
          </w:r>
          <w:r w:rsidR="004B2220">
            <w:t>17</w:t>
          </w:r>
        </w:p>
        <w:p w14:paraId="0C8BBFE7" w14:textId="00BA9E34" w:rsidR="00413C79" w:rsidRDefault="00413C79" w:rsidP="009E2922">
          <w:pPr>
            <w:rPr>
              <w:lang w:val="en-US"/>
            </w:rPr>
          </w:pPr>
          <w:r>
            <w:rPr>
              <w:lang w:val="en-US"/>
            </w:rPr>
            <w:t xml:space="preserve">        8.1 Near Month Analysis</w:t>
          </w:r>
          <w:r w:rsidR="004B2220">
            <w:ptab w:relativeTo="margin" w:alignment="right" w:leader="dot"/>
          </w:r>
          <w:r w:rsidR="004B2220">
            <w:t>17</w:t>
          </w:r>
        </w:p>
        <w:p w14:paraId="655598CB" w14:textId="00ECFDF1" w:rsidR="00413C79" w:rsidRDefault="00413C79" w:rsidP="009E2922">
          <w:pPr>
            <w:rPr>
              <w:lang w:val="en-US"/>
            </w:rPr>
          </w:pPr>
          <w:r>
            <w:rPr>
              <w:lang w:val="en-US"/>
            </w:rPr>
            <w:t xml:space="preserve">        8.2 Next Month Analysis</w:t>
          </w:r>
          <w:r w:rsidR="004B2220">
            <w:ptab w:relativeTo="margin" w:alignment="right" w:leader="dot"/>
          </w:r>
          <w:r w:rsidR="004B2220">
            <w:t>18</w:t>
          </w:r>
        </w:p>
        <w:p w14:paraId="6A356841" w14:textId="34A5E739" w:rsidR="00413C79" w:rsidRDefault="00413C79" w:rsidP="009E2922">
          <w:pPr>
            <w:rPr>
              <w:lang w:val="en-US"/>
            </w:rPr>
          </w:pPr>
          <w:r>
            <w:rPr>
              <w:lang w:val="en-US"/>
            </w:rPr>
            <w:t xml:space="preserve">        8.3 Far Month Analysis </w:t>
          </w:r>
          <w:r w:rsidR="004B2220">
            <w:ptab w:relativeTo="margin" w:alignment="right" w:leader="dot"/>
          </w:r>
          <w:r w:rsidR="004B2220">
            <w:t>19</w:t>
          </w:r>
        </w:p>
        <w:p w14:paraId="0382D690" w14:textId="77777777" w:rsidR="004B2220" w:rsidRDefault="009D7BD8" w:rsidP="004B2220">
          <w:pPr>
            <w:rPr>
              <w:lang w:val="en-US"/>
            </w:rPr>
          </w:pPr>
          <w:r>
            <w:rPr>
              <w:lang w:val="en-US"/>
            </w:rPr>
            <w:t xml:space="preserve">    </w:t>
          </w:r>
          <w:r w:rsidR="00D44346">
            <w:rPr>
              <w:lang w:val="en-US"/>
            </w:rPr>
            <w:t>9 Comparison of Returns</w:t>
          </w:r>
          <w:r w:rsidR="004B2220">
            <w:ptab w:relativeTo="margin" w:alignment="right" w:leader="dot"/>
          </w:r>
          <w:r w:rsidR="004B2220">
            <w:t>23</w:t>
          </w:r>
        </w:p>
        <w:p w14:paraId="5E04848E" w14:textId="3CF7A507" w:rsidR="00A622E0" w:rsidRPr="004B2220" w:rsidRDefault="00A622E0" w:rsidP="004B2220">
          <w:pPr>
            <w:rPr>
              <w:lang w:val="en-US"/>
            </w:rPr>
          </w:pPr>
          <w:r>
            <w:rPr>
              <w:b/>
              <w:bCs/>
            </w:rPr>
            <w:t xml:space="preserve">Section </w:t>
          </w:r>
          <w:r w:rsidR="00B0483F">
            <w:rPr>
              <w:b/>
              <w:bCs/>
            </w:rPr>
            <w:t>3</w:t>
          </w:r>
        </w:p>
        <w:p w14:paraId="3EE074DE" w14:textId="5DE072C2" w:rsidR="00A622E0" w:rsidRPr="00A622E0" w:rsidRDefault="00D44346" w:rsidP="00A622E0">
          <w:r>
            <w:t xml:space="preserve">    10 Comparing Underlying Returns with Futures (both Adjusted and Unadjusted)</w:t>
          </w:r>
          <w:r w:rsidR="00F5513E">
            <w:t xml:space="preserve"> &amp; Liquidity Position</w:t>
          </w:r>
          <w:r w:rsidR="004B2220">
            <w:ptab w:relativeTo="margin" w:alignment="right" w:leader="dot"/>
          </w:r>
          <w:r w:rsidR="004B2220">
            <w:t>24</w:t>
          </w:r>
        </w:p>
        <w:p w14:paraId="6E5E1114" w14:textId="3E259EB3" w:rsidR="00A622E0" w:rsidRDefault="00A622E0" w:rsidP="00A622E0">
          <w:pPr>
            <w:pStyle w:val="TOC1"/>
            <w:rPr>
              <w:b/>
              <w:bCs/>
            </w:rPr>
          </w:pPr>
          <w:r>
            <w:rPr>
              <w:b/>
              <w:bCs/>
            </w:rPr>
            <w:t xml:space="preserve">Section </w:t>
          </w:r>
          <w:r>
            <w:rPr>
              <w:b/>
              <w:bCs/>
            </w:rPr>
            <w:t>4</w:t>
          </w:r>
        </w:p>
        <w:p w14:paraId="21D9E993" w14:textId="2C200DDC" w:rsidR="00A622E0" w:rsidRPr="00A622E0" w:rsidRDefault="00D44346" w:rsidP="00A622E0">
          <w:r>
            <w:t xml:space="preserve">    11 Contango or Backwardation in Financial Instruments </w:t>
          </w:r>
          <w:r w:rsidR="00F5513E">
            <w:t xml:space="preserve">&amp; </w:t>
          </w:r>
          <w:r w:rsidR="00F5513E">
            <w:t>Frequency Significance</w:t>
          </w:r>
          <w:r w:rsidR="004B2220">
            <w:ptab w:relativeTo="margin" w:alignment="right" w:leader="dot"/>
          </w:r>
          <w:r w:rsidR="004B2220">
            <w:t xml:space="preserve">27 </w:t>
          </w:r>
        </w:p>
        <w:p w14:paraId="29C20FC6" w14:textId="4C96541C" w:rsidR="00A622E0" w:rsidRDefault="00A622E0" w:rsidP="00A622E0">
          <w:pPr>
            <w:pStyle w:val="TOC1"/>
            <w:rPr>
              <w:b/>
              <w:bCs/>
            </w:rPr>
          </w:pPr>
          <w:r>
            <w:rPr>
              <w:b/>
              <w:bCs/>
            </w:rPr>
            <w:t xml:space="preserve">Section </w:t>
          </w:r>
          <w:r>
            <w:rPr>
              <w:b/>
              <w:bCs/>
            </w:rPr>
            <w:t>5</w:t>
          </w:r>
        </w:p>
        <w:p w14:paraId="6C599754" w14:textId="3BBEA52D" w:rsidR="00A622E0" w:rsidRDefault="00F5513E" w:rsidP="00A622E0">
          <w:r>
            <w:t xml:space="preserve">    12 Options </w:t>
          </w:r>
          <w:r w:rsidR="004B2220">
            <w:ptab w:relativeTo="margin" w:alignment="right" w:leader="dot"/>
          </w:r>
          <w:r w:rsidR="004B2220">
            <w:t>29</w:t>
          </w:r>
        </w:p>
        <w:p w14:paraId="19C13D8A" w14:textId="4251CB67" w:rsidR="00A622E0" w:rsidRDefault="00A622E0" w:rsidP="00A622E0">
          <w:pPr>
            <w:pStyle w:val="TOC1"/>
          </w:pPr>
          <w:r>
            <w:rPr>
              <w:b/>
              <w:bCs/>
            </w:rPr>
            <w:t xml:space="preserve">Section </w:t>
          </w:r>
          <w:r w:rsidR="00444871">
            <w:rPr>
              <w:b/>
              <w:bCs/>
            </w:rPr>
            <w:t>6</w:t>
          </w:r>
        </w:p>
        <w:p w14:paraId="1C8AF40C" w14:textId="68BEEC8C" w:rsidR="00A622E0" w:rsidRDefault="00F5513E" w:rsidP="00A622E0">
          <w:r>
            <w:t xml:space="preserve">     13 Conclusion</w:t>
          </w:r>
          <w:r w:rsidR="004B2220">
            <w:ptab w:relativeTo="margin" w:alignment="right" w:leader="dot"/>
          </w:r>
          <w:r w:rsidR="004B2220">
            <w:t>30</w:t>
          </w:r>
        </w:p>
        <w:p w14:paraId="3A32BCD3" w14:textId="23E94E88" w:rsidR="00763021" w:rsidRPr="001E5169" w:rsidRDefault="00A622E0" w:rsidP="004B2220">
          <w:pPr>
            <w:pStyle w:val="TOC1"/>
          </w:pPr>
          <w:r>
            <w:rPr>
              <w:b/>
              <w:bCs/>
            </w:rPr>
            <w:t xml:space="preserve">Section </w:t>
          </w:r>
          <w:r w:rsidR="004B2220">
            <w:rPr>
              <w:b/>
              <w:bCs/>
            </w:rPr>
            <w:t>7</w:t>
          </w:r>
          <w:r w:rsidR="00F5513E">
            <w:t xml:space="preserve">    References</w:t>
          </w:r>
          <w:r w:rsidR="004B2220">
            <w:ptab w:relativeTo="margin" w:alignment="right" w:leader="dot"/>
          </w:r>
          <w:r w:rsidR="004B2220">
            <w:t>31</w:t>
          </w:r>
          <w:r w:rsidR="009E2922">
            <w:rPr>
              <w:lang w:val="en-US"/>
            </w:rPr>
            <w:tab/>
          </w:r>
          <w:r w:rsidR="009E2922">
            <w:rPr>
              <w:lang w:val="en-US"/>
            </w:rPr>
            <w:tab/>
          </w:r>
          <w:r w:rsidR="009E2922">
            <w:rPr>
              <w:lang w:val="en-US"/>
            </w:rPr>
            <w:tab/>
          </w:r>
          <w:r w:rsidR="009E2922">
            <w:rPr>
              <w:lang w:val="en-US"/>
            </w:rPr>
            <w:tab/>
          </w:r>
          <w:r w:rsidR="009E2922">
            <w:rPr>
              <w:lang w:val="en-US"/>
            </w:rPr>
            <w:tab/>
          </w:r>
        </w:p>
      </w:sdtContent>
    </w:sdt>
    <w:p w14:paraId="3D535626" w14:textId="1C34457F" w:rsidR="00DA5960" w:rsidRPr="0082070C" w:rsidRDefault="000A2ABE" w:rsidP="004E2396">
      <w:pPr>
        <w:jc w:val="center"/>
        <w:rPr>
          <w:rFonts w:ascii="CMCSC10" w:hAnsi="CMCSC10"/>
          <w:b/>
          <w:bCs/>
          <w:color w:val="1481AB" w:themeColor="accent1" w:themeShade="BF"/>
          <w:sz w:val="40"/>
          <w:szCs w:val="40"/>
          <w:u w:val="single"/>
        </w:rPr>
      </w:pPr>
      <w:r w:rsidRPr="0082070C">
        <w:rPr>
          <w:rFonts w:ascii="CMCSC10" w:hAnsi="CMCSC10"/>
          <w:b/>
          <w:bCs/>
          <w:color w:val="1481AB" w:themeColor="accent1" w:themeShade="BF"/>
          <w:sz w:val="40"/>
          <w:szCs w:val="40"/>
          <w:u w:val="single"/>
        </w:rPr>
        <w:lastRenderedPageBreak/>
        <w:t>Section 1</w:t>
      </w:r>
    </w:p>
    <w:p w14:paraId="46E9B179" w14:textId="512225D6" w:rsidR="00476602" w:rsidRDefault="008554BE">
      <w:pPr>
        <w:rPr>
          <w:rFonts w:ascii="CMCSC10" w:hAnsi="CMCSC10"/>
          <w:sz w:val="40"/>
          <w:szCs w:val="40"/>
        </w:rPr>
      </w:pPr>
      <w:r>
        <w:rPr>
          <w:rFonts w:ascii="CMCSC10" w:hAnsi="CMCSC10"/>
          <w:b/>
          <w:bCs/>
          <w:color w:val="1481AB" w:themeColor="accent1" w:themeShade="BF"/>
          <w:sz w:val="40"/>
          <w:szCs w:val="40"/>
        </w:rPr>
        <w:t xml:space="preserve">1 </w:t>
      </w:r>
      <w:r w:rsidR="00CC3EA6" w:rsidRPr="008554BE">
        <w:rPr>
          <w:rFonts w:ascii="CMCSC10" w:hAnsi="CMCSC10"/>
          <w:b/>
          <w:bCs/>
          <w:color w:val="1481AB" w:themeColor="accent1" w:themeShade="BF"/>
          <w:sz w:val="40"/>
          <w:szCs w:val="40"/>
        </w:rPr>
        <w:t>Introduction</w:t>
      </w:r>
      <w:r w:rsidR="004A76B3" w:rsidRPr="008554BE">
        <w:rPr>
          <w:rFonts w:ascii="CMCSC10" w:hAnsi="CMCSC10"/>
          <w:b/>
          <w:bCs/>
          <w:color w:val="1481AB" w:themeColor="accent1" w:themeShade="BF"/>
          <w:sz w:val="40"/>
          <w:szCs w:val="40"/>
        </w:rPr>
        <w:t>:</w:t>
      </w:r>
      <w:r w:rsidR="009B36A0" w:rsidRPr="008554BE">
        <w:rPr>
          <w:rFonts w:ascii="CMCSC10" w:hAnsi="CMCSC10"/>
          <w:sz w:val="40"/>
          <w:szCs w:val="40"/>
        </w:rPr>
        <w:t xml:space="preserve"> </w:t>
      </w:r>
    </w:p>
    <w:p w14:paraId="261274EF" w14:textId="295C23A4" w:rsidR="008554BE" w:rsidRDefault="008554BE" w:rsidP="00BB5AE2">
      <w:pPr>
        <w:pStyle w:val="ListParagraph"/>
        <w:numPr>
          <w:ilvl w:val="1"/>
          <w:numId w:val="5"/>
        </w:numPr>
        <w:rPr>
          <w:rFonts w:ascii="CMCSC10" w:hAnsi="CMCSC10"/>
          <w:color w:val="1481AB" w:themeColor="accent1" w:themeShade="BF"/>
          <w:sz w:val="36"/>
          <w:szCs w:val="32"/>
        </w:rPr>
      </w:pPr>
      <w:r w:rsidRPr="00BB5AE2">
        <w:rPr>
          <w:rFonts w:ascii="CMCSC10" w:hAnsi="CMCSC10"/>
          <w:color w:val="1481AB" w:themeColor="accent1" w:themeShade="BF"/>
          <w:sz w:val="36"/>
          <w:szCs w:val="32"/>
        </w:rPr>
        <w:t>Nature of Business</w:t>
      </w:r>
    </w:p>
    <w:p w14:paraId="46E93E9B" w14:textId="348A7AE3" w:rsidR="00CB3A8A" w:rsidRPr="00F52339" w:rsidRDefault="00C762BE" w:rsidP="00A97A0B">
      <w:pPr>
        <w:ind w:firstLine="720"/>
        <w:rPr>
          <w:rFonts w:ascii="CMCSC10" w:hAnsi="CMCSC10"/>
          <w:sz w:val="34"/>
          <w:szCs w:val="36"/>
        </w:rPr>
      </w:pPr>
      <w:r w:rsidRPr="00F52339">
        <w:rPr>
          <w:rFonts w:ascii="CMCSC10" w:hAnsi="CMCSC10"/>
          <w:sz w:val="34"/>
          <w:szCs w:val="36"/>
        </w:rPr>
        <w:t xml:space="preserve">Nestlé S.A. is a </w:t>
      </w:r>
      <w:r w:rsidRPr="00F52339">
        <w:rPr>
          <w:rFonts w:ascii="CMCSC10" w:hAnsi="CMCSC10"/>
          <w:color w:val="1481AB" w:themeColor="accent1" w:themeShade="BF"/>
          <w:sz w:val="34"/>
          <w:szCs w:val="36"/>
        </w:rPr>
        <w:t xml:space="preserve">privately-owned </w:t>
      </w:r>
      <w:r w:rsidRPr="00F52339">
        <w:rPr>
          <w:rFonts w:ascii="CMCSC10" w:hAnsi="CMCSC10"/>
          <w:sz w:val="34"/>
          <w:szCs w:val="36"/>
        </w:rPr>
        <w:t xml:space="preserve">company with its Headquarters in Vevey, Switzerland.  It </w:t>
      </w:r>
      <w:r w:rsidR="00B15E5F" w:rsidRPr="00F52339">
        <w:rPr>
          <w:rFonts w:ascii="CMCSC10" w:hAnsi="CMCSC10"/>
          <w:sz w:val="34"/>
          <w:szCs w:val="36"/>
        </w:rPr>
        <w:t xml:space="preserve">aims to fulfil its motto of “Good </w:t>
      </w:r>
      <w:r w:rsidR="00FA703E" w:rsidRPr="00F52339">
        <w:rPr>
          <w:rFonts w:ascii="CMCSC10" w:hAnsi="CMCSC10"/>
          <w:sz w:val="34"/>
          <w:szCs w:val="36"/>
        </w:rPr>
        <w:t>F</w:t>
      </w:r>
      <w:r w:rsidR="00B15E5F" w:rsidRPr="00F52339">
        <w:rPr>
          <w:rFonts w:ascii="CMCSC10" w:hAnsi="CMCSC10"/>
          <w:sz w:val="34"/>
          <w:szCs w:val="36"/>
        </w:rPr>
        <w:t xml:space="preserve">ood, Good </w:t>
      </w:r>
      <w:r w:rsidR="00FA703E" w:rsidRPr="00F52339">
        <w:rPr>
          <w:rFonts w:ascii="CMCSC10" w:hAnsi="CMCSC10"/>
          <w:sz w:val="34"/>
          <w:szCs w:val="36"/>
        </w:rPr>
        <w:t>L</w:t>
      </w:r>
      <w:r w:rsidR="00B15E5F" w:rsidRPr="00F52339">
        <w:rPr>
          <w:rFonts w:ascii="CMCSC10" w:hAnsi="CMCSC10"/>
          <w:sz w:val="34"/>
          <w:szCs w:val="36"/>
        </w:rPr>
        <w:t>ife” by following a value-oriented model in the Food Processing Industry in order to maximise efficiency, growth and shareholder value.</w:t>
      </w:r>
      <w:r w:rsidR="00CB3A8A" w:rsidRPr="00F52339">
        <w:rPr>
          <w:rFonts w:ascii="CMCSC10" w:hAnsi="CMCSC10"/>
          <w:sz w:val="34"/>
          <w:szCs w:val="36"/>
        </w:rPr>
        <w:t xml:space="preserve"> Its original logo was based on the coat of arms of the Henri Nestlé family and was a nod to the family name, which in German means 'nest.'</w:t>
      </w:r>
    </w:p>
    <w:p w14:paraId="5042B43F" w14:textId="3F99201F" w:rsidR="008554BE" w:rsidRPr="00F52339" w:rsidRDefault="00A97A0B" w:rsidP="00B73ED0">
      <w:pPr>
        <w:ind w:firstLine="720"/>
        <w:rPr>
          <w:rFonts w:ascii="CMCSC10" w:hAnsi="CMCSC10"/>
          <w:sz w:val="34"/>
          <w:szCs w:val="36"/>
        </w:rPr>
      </w:pPr>
      <w:r w:rsidRPr="00F52339">
        <w:rPr>
          <w:rFonts w:ascii="CMCSC10" w:hAnsi="CMCSC10"/>
          <w:sz w:val="34"/>
          <w:szCs w:val="36"/>
        </w:rPr>
        <w:t xml:space="preserve">Henri </w:t>
      </w:r>
      <w:r w:rsidR="00CB3A8A" w:rsidRPr="00F52339">
        <w:rPr>
          <w:rFonts w:ascii="CMCSC10" w:hAnsi="CMCSC10"/>
          <w:sz w:val="34"/>
          <w:szCs w:val="36"/>
        </w:rPr>
        <w:t xml:space="preserve">modified </w:t>
      </w:r>
      <w:r w:rsidR="00E73DDC" w:rsidRPr="00F52339">
        <w:rPr>
          <w:rFonts w:ascii="CMCSC10" w:hAnsi="CMCSC10"/>
          <w:sz w:val="34"/>
          <w:szCs w:val="36"/>
        </w:rPr>
        <w:t xml:space="preserve">it later </w:t>
      </w:r>
      <w:r w:rsidR="00CB3A8A" w:rsidRPr="00F52339">
        <w:rPr>
          <w:rFonts w:ascii="CMCSC10" w:hAnsi="CMCSC10"/>
          <w:sz w:val="34"/>
          <w:szCs w:val="36"/>
        </w:rPr>
        <w:t>to create a visual connection between his name and the baby cereal products of his business by incorporating three young birds being fed by a mother.</w:t>
      </w:r>
    </w:p>
    <w:p w14:paraId="5BB9C8B8" w14:textId="498F0A81" w:rsidR="008E3231" w:rsidRPr="00F52339" w:rsidRDefault="008E3231" w:rsidP="00B73ED0">
      <w:pPr>
        <w:ind w:firstLine="720"/>
        <w:rPr>
          <w:rFonts w:ascii="CMCSC10" w:hAnsi="CMCSC10"/>
          <w:color w:val="1C6194" w:themeColor="accent2" w:themeShade="BF"/>
          <w:sz w:val="34"/>
          <w:szCs w:val="36"/>
        </w:rPr>
      </w:pPr>
      <w:r w:rsidRPr="00F52339">
        <w:rPr>
          <w:rFonts w:ascii="CMCSC10" w:hAnsi="CMCSC10"/>
          <w:sz w:val="34"/>
          <w:szCs w:val="36"/>
        </w:rPr>
        <w:tab/>
      </w:r>
      <w:r w:rsidRPr="00F52339">
        <w:rPr>
          <w:rFonts w:ascii="CMCSC10" w:hAnsi="CMCSC10"/>
          <w:sz w:val="34"/>
          <w:szCs w:val="36"/>
        </w:rPr>
        <w:tab/>
      </w:r>
      <w:r w:rsidRPr="00F52339">
        <w:rPr>
          <w:rFonts w:ascii="CMCSC10" w:hAnsi="CMCSC10"/>
          <w:sz w:val="34"/>
          <w:szCs w:val="36"/>
        </w:rPr>
        <w:tab/>
      </w:r>
      <w:r w:rsidRPr="00F52339">
        <w:rPr>
          <w:rFonts w:ascii="CMCSC10" w:hAnsi="CMCSC10"/>
          <w:sz w:val="34"/>
          <w:szCs w:val="36"/>
        </w:rPr>
        <w:tab/>
      </w:r>
      <w:r w:rsidRPr="00F52339">
        <w:rPr>
          <w:rFonts w:ascii="CMCSC10" w:hAnsi="CMCSC10"/>
          <w:sz w:val="34"/>
          <w:szCs w:val="36"/>
        </w:rPr>
        <w:tab/>
      </w:r>
      <w:r w:rsidRPr="00F52339">
        <w:rPr>
          <w:rFonts w:ascii="CMCSC10" w:hAnsi="CMCSC10"/>
          <w:sz w:val="34"/>
          <w:szCs w:val="36"/>
        </w:rPr>
        <w:tab/>
      </w:r>
      <w:r w:rsidRPr="00F52339">
        <w:rPr>
          <w:rFonts w:ascii="CMCSC10" w:hAnsi="CMCSC10"/>
          <w:sz w:val="34"/>
          <w:szCs w:val="36"/>
        </w:rPr>
        <w:tab/>
      </w:r>
      <w:r w:rsidRPr="00F52339">
        <w:rPr>
          <w:rFonts w:ascii="CMCSC10" w:hAnsi="CMCSC10"/>
          <w:sz w:val="34"/>
          <w:szCs w:val="36"/>
        </w:rPr>
        <w:tab/>
      </w:r>
      <w:sdt>
        <w:sdtPr>
          <w:rPr>
            <w:rFonts w:ascii="CMCSC10" w:hAnsi="CMCSC10"/>
            <w:color w:val="1C6194" w:themeColor="accent2" w:themeShade="BF"/>
            <w:sz w:val="34"/>
            <w:szCs w:val="36"/>
          </w:rPr>
          <w:id w:val="-334533120"/>
          <w:citation/>
        </w:sdtPr>
        <w:sdtContent>
          <w:r w:rsidRPr="00F52339">
            <w:rPr>
              <w:rFonts w:ascii="CMCSC10" w:hAnsi="CMCSC10"/>
              <w:color w:val="1C6194" w:themeColor="accent2" w:themeShade="BF"/>
              <w:sz w:val="34"/>
              <w:szCs w:val="36"/>
            </w:rPr>
            <w:fldChar w:fldCharType="begin"/>
          </w:r>
          <w:r w:rsidRPr="00F52339">
            <w:rPr>
              <w:rFonts w:ascii="CMCSC10" w:hAnsi="CMCSC10"/>
              <w:color w:val="1C6194" w:themeColor="accent2" w:themeShade="BF"/>
              <w:sz w:val="34"/>
              <w:szCs w:val="36"/>
            </w:rPr>
            <w:instrText xml:space="preserve"> CITATION Nes1 \l 16393 </w:instrText>
          </w:r>
          <w:r w:rsidRPr="00F52339">
            <w:rPr>
              <w:rFonts w:ascii="CMCSC10" w:hAnsi="CMCSC10"/>
              <w:color w:val="1C6194" w:themeColor="accent2" w:themeShade="BF"/>
              <w:sz w:val="34"/>
              <w:szCs w:val="36"/>
            </w:rPr>
            <w:fldChar w:fldCharType="separate"/>
          </w:r>
          <w:r w:rsidRPr="00F52339">
            <w:rPr>
              <w:rFonts w:ascii="CMCSC10" w:hAnsi="CMCSC10"/>
              <w:noProof/>
              <w:color w:val="1C6194" w:themeColor="accent2" w:themeShade="BF"/>
              <w:sz w:val="34"/>
              <w:szCs w:val="36"/>
            </w:rPr>
            <w:t>(Nestlé, n.d.)</w:t>
          </w:r>
          <w:r w:rsidRPr="00F52339">
            <w:rPr>
              <w:rFonts w:ascii="CMCSC10" w:hAnsi="CMCSC10"/>
              <w:color w:val="1C6194" w:themeColor="accent2" w:themeShade="BF"/>
              <w:sz w:val="34"/>
              <w:szCs w:val="36"/>
            </w:rPr>
            <w:fldChar w:fldCharType="end"/>
          </w:r>
        </w:sdtContent>
      </w:sdt>
    </w:p>
    <w:p w14:paraId="5284E011" w14:textId="4E94BE39" w:rsidR="008554BE" w:rsidRDefault="008554BE" w:rsidP="00393CE2">
      <w:pPr>
        <w:ind w:firstLine="720"/>
      </w:pPr>
    </w:p>
    <w:p w14:paraId="3B526693" w14:textId="37792FE4" w:rsidR="008554BE" w:rsidRDefault="008554BE" w:rsidP="008554BE">
      <w:pPr>
        <w:ind w:firstLine="720"/>
        <w:jc w:val="center"/>
      </w:pPr>
      <w:r>
        <w:rPr>
          <w:rFonts w:ascii="ADAM.CG PRO" w:hAnsi="ADAM.CG PRO"/>
          <w:b/>
          <w:bCs/>
          <w:noProof/>
          <w:color w:val="1481AB" w:themeColor="accent1" w:themeShade="BF"/>
          <w:sz w:val="36"/>
          <w:szCs w:val="36"/>
          <w:u w:val="single"/>
        </w:rPr>
        <w:drawing>
          <wp:inline distT="0" distB="0" distL="0" distR="0" wp14:anchorId="3F2F20F5" wp14:editId="66AEE5DF">
            <wp:extent cx="3072824" cy="133192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_nestl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6575" cy="1337888"/>
                    </a:xfrm>
                    <a:prstGeom prst="rect">
                      <a:avLst/>
                    </a:prstGeom>
                  </pic:spPr>
                </pic:pic>
              </a:graphicData>
            </a:graphic>
          </wp:inline>
        </w:drawing>
      </w:r>
    </w:p>
    <w:p w14:paraId="2813A498" w14:textId="149E1597" w:rsidR="008554BE" w:rsidRDefault="008554BE" w:rsidP="00393CE2">
      <w:pPr>
        <w:ind w:firstLine="720"/>
      </w:pPr>
    </w:p>
    <w:p w14:paraId="0066FC47" w14:textId="45A06A2B" w:rsidR="00807B0A" w:rsidRDefault="00807B0A" w:rsidP="00807B0A">
      <w:pPr>
        <w:rPr>
          <w:rFonts w:ascii="CMCSC10" w:hAnsi="CMCSC10"/>
          <w:color w:val="1481AB" w:themeColor="accent1" w:themeShade="BF"/>
          <w:sz w:val="36"/>
          <w:szCs w:val="32"/>
        </w:rPr>
      </w:pPr>
      <w:r w:rsidRPr="00807B0A">
        <w:rPr>
          <w:rFonts w:ascii="CMCSC10" w:hAnsi="CMCSC10"/>
          <w:color w:val="1481AB" w:themeColor="accent1" w:themeShade="BF"/>
          <w:sz w:val="36"/>
          <w:szCs w:val="32"/>
        </w:rPr>
        <w:t>1.</w:t>
      </w:r>
      <w:r>
        <w:rPr>
          <w:rFonts w:ascii="CMCSC10" w:hAnsi="CMCSC10"/>
          <w:color w:val="1481AB" w:themeColor="accent1" w:themeShade="BF"/>
          <w:sz w:val="36"/>
          <w:szCs w:val="32"/>
        </w:rPr>
        <w:t>2</w:t>
      </w:r>
      <w:r w:rsidRPr="00807B0A">
        <w:rPr>
          <w:rFonts w:ascii="CMCSC10" w:hAnsi="CMCSC10"/>
          <w:color w:val="1481AB" w:themeColor="accent1" w:themeShade="BF"/>
          <w:sz w:val="36"/>
          <w:szCs w:val="32"/>
        </w:rPr>
        <w:t xml:space="preserve"> </w:t>
      </w:r>
      <w:r>
        <w:rPr>
          <w:rFonts w:ascii="CMCSC10" w:hAnsi="CMCSC10"/>
          <w:color w:val="1481AB" w:themeColor="accent1" w:themeShade="BF"/>
          <w:sz w:val="36"/>
          <w:szCs w:val="32"/>
        </w:rPr>
        <w:t>Ownership</w:t>
      </w:r>
    </w:p>
    <w:p w14:paraId="6052ED29" w14:textId="33D987E1" w:rsidR="006F5E7F" w:rsidRPr="003060E5" w:rsidRDefault="006F5E7F" w:rsidP="006F5E7F">
      <w:pPr>
        <w:rPr>
          <w:rFonts w:ascii="CMCSC10" w:hAnsi="CMCSC10"/>
          <w:color w:val="000000" w:themeColor="text1"/>
          <w:sz w:val="36"/>
          <w:szCs w:val="32"/>
        </w:rPr>
      </w:pPr>
      <w:r>
        <w:rPr>
          <w:rFonts w:ascii="CMCSC10" w:hAnsi="CMCSC10"/>
          <w:color w:val="1481AB" w:themeColor="accent1" w:themeShade="BF"/>
          <w:sz w:val="36"/>
          <w:szCs w:val="32"/>
        </w:rPr>
        <w:t xml:space="preserve">    </w:t>
      </w:r>
      <w:r w:rsidRPr="00F52339">
        <w:rPr>
          <w:rFonts w:ascii="CMCSC10" w:hAnsi="CMCSC10"/>
          <w:color w:val="1481AB" w:themeColor="accent1" w:themeShade="BF"/>
          <w:sz w:val="38"/>
          <w:szCs w:val="36"/>
        </w:rPr>
        <w:tab/>
      </w:r>
      <w:r w:rsidRPr="00F52339">
        <w:rPr>
          <w:rFonts w:ascii="CMCSC10" w:hAnsi="CMCSC10"/>
          <w:color w:val="000000" w:themeColor="text1"/>
          <w:sz w:val="34"/>
          <w:szCs w:val="36"/>
        </w:rPr>
        <w:t xml:space="preserve">As it can be seen from the pie chart of </w:t>
      </w:r>
      <w:r w:rsidRPr="00F52339">
        <w:rPr>
          <w:rFonts w:ascii="CMCSC10" w:hAnsi="CMCSC10"/>
          <w:b/>
          <w:bCs/>
          <w:color w:val="1C6194" w:themeColor="accent2" w:themeShade="BF"/>
          <w:sz w:val="34"/>
          <w:szCs w:val="36"/>
        </w:rPr>
        <w:t>Nestl</w:t>
      </w:r>
      <w:r w:rsidRPr="00F52339">
        <w:rPr>
          <w:rFonts w:ascii="CMCSC10" w:hAnsi="CMCSC10" w:hint="eastAsia"/>
          <w:b/>
          <w:bCs/>
          <w:color w:val="1C6194" w:themeColor="accent2" w:themeShade="BF"/>
          <w:sz w:val="34"/>
          <w:szCs w:val="36"/>
        </w:rPr>
        <w:t>é</w:t>
      </w:r>
      <w:r w:rsidRPr="00F52339">
        <w:rPr>
          <w:rFonts w:ascii="CMCSC10" w:hAnsi="CMCSC10"/>
          <w:b/>
          <w:bCs/>
          <w:color w:val="1C6194" w:themeColor="accent2" w:themeShade="BF"/>
          <w:sz w:val="34"/>
          <w:szCs w:val="36"/>
        </w:rPr>
        <w:t>’s Shareholding Pattern</w:t>
      </w:r>
      <w:r w:rsidRPr="00F52339">
        <w:rPr>
          <w:rFonts w:ascii="CMCSC10" w:hAnsi="CMCSC10"/>
          <w:color w:val="1C6194" w:themeColor="accent2" w:themeShade="BF"/>
          <w:sz w:val="34"/>
          <w:szCs w:val="36"/>
        </w:rPr>
        <w:t xml:space="preserve"> </w:t>
      </w:r>
      <w:r w:rsidRPr="00F52339">
        <w:rPr>
          <w:rFonts w:ascii="CMCSC10" w:hAnsi="CMCSC10"/>
          <w:color w:val="000000" w:themeColor="text1"/>
          <w:sz w:val="34"/>
          <w:szCs w:val="36"/>
        </w:rPr>
        <w:t>that was plotted using Python,</w:t>
      </w:r>
      <w:r w:rsidR="00D62B0C" w:rsidRPr="00F52339">
        <w:rPr>
          <w:rFonts w:ascii="CMCSC10" w:hAnsi="CMCSC10"/>
          <w:color w:val="000000" w:themeColor="text1"/>
          <w:sz w:val="34"/>
          <w:szCs w:val="36"/>
        </w:rPr>
        <w:t xml:space="preserve"> the</w:t>
      </w:r>
      <w:r w:rsidRPr="00F52339">
        <w:rPr>
          <w:rFonts w:ascii="CMCSC10" w:hAnsi="CMCSC10"/>
          <w:color w:val="000000" w:themeColor="text1"/>
          <w:sz w:val="34"/>
          <w:szCs w:val="36"/>
        </w:rPr>
        <w:t xml:space="preserve"> majority of Nestl</w:t>
      </w:r>
      <w:r w:rsidRPr="00F52339">
        <w:rPr>
          <w:rFonts w:ascii="CMCSC10" w:hAnsi="CMCSC10" w:hint="eastAsia"/>
          <w:color w:val="000000" w:themeColor="text1"/>
          <w:sz w:val="34"/>
          <w:szCs w:val="36"/>
        </w:rPr>
        <w:t>é</w:t>
      </w:r>
      <w:r w:rsidR="000E2072" w:rsidRPr="00F52339">
        <w:rPr>
          <w:rFonts w:ascii="CMCSC10" w:hAnsi="CMCSC10"/>
          <w:color w:val="000000" w:themeColor="text1"/>
          <w:sz w:val="34"/>
          <w:szCs w:val="36"/>
        </w:rPr>
        <w:t xml:space="preserve"> IND Ltd.’s shares</w:t>
      </w:r>
      <w:r w:rsidRPr="00F52339">
        <w:rPr>
          <w:rFonts w:ascii="CMCSC10" w:hAnsi="CMCSC10"/>
          <w:color w:val="000000" w:themeColor="text1"/>
          <w:sz w:val="34"/>
          <w:szCs w:val="36"/>
        </w:rPr>
        <w:t xml:space="preserve"> are held by</w:t>
      </w:r>
      <w:r w:rsidR="008B4D30" w:rsidRPr="00F52339">
        <w:rPr>
          <w:rFonts w:ascii="CMCSC10" w:hAnsi="CMCSC10"/>
          <w:color w:val="000000" w:themeColor="text1"/>
          <w:sz w:val="34"/>
          <w:szCs w:val="36"/>
        </w:rPr>
        <w:t xml:space="preserve"> its Foreign Promoters</w:t>
      </w:r>
      <w:r w:rsidR="000E2072" w:rsidRPr="00F52339">
        <w:rPr>
          <w:rFonts w:ascii="CMCSC10" w:hAnsi="CMCSC10"/>
          <w:color w:val="000000" w:themeColor="text1"/>
          <w:sz w:val="34"/>
          <w:szCs w:val="36"/>
        </w:rPr>
        <w:t xml:space="preserve"> </w:t>
      </w:r>
      <w:r w:rsidR="000E2072" w:rsidRPr="00F52339">
        <w:rPr>
          <w:rFonts w:ascii="CMCSC10" w:hAnsi="CMCSC10"/>
          <w:color w:val="1C6194" w:themeColor="accent2" w:themeShade="BF"/>
          <w:sz w:val="34"/>
          <w:szCs w:val="36"/>
        </w:rPr>
        <w:t>(63%)</w:t>
      </w:r>
      <w:r w:rsidR="008B4D30" w:rsidRPr="00F52339">
        <w:rPr>
          <w:rFonts w:ascii="CMCSC10" w:hAnsi="CMCSC10"/>
          <w:color w:val="000000" w:themeColor="text1"/>
          <w:sz w:val="34"/>
          <w:szCs w:val="36"/>
        </w:rPr>
        <w:t>, Foreign Institutions</w:t>
      </w:r>
      <w:r w:rsidR="000E2072" w:rsidRPr="00F52339">
        <w:rPr>
          <w:rFonts w:ascii="CMCSC10" w:hAnsi="CMCSC10"/>
          <w:color w:val="000000" w:themeColor="text1"/>
          <w:sz w:val="34"/>
          <w:szCs w:val="36"/>
        </w:rPr>
        <w:t xml:space="preserve"> </w:t>
      </w:r>
      <w:r w:rsidR="000E2072" w:rsidRPr="00F52339">
        <w:rPr>
          <w:rFonts w:ascii="CMCSC10" w:hAnsi="CMCSC10"/>
          <w:color w:val="1C6194" w:themeColor="accent2" w:themeShade="BF"/>
          <w:sz w:val="34"/>
          <w:szCs w:val="36"/>
        </w:rPr>
        <w:t>(12%)</w:t>
      </w:r>
      <w:r w:rsidR="008B4D30" w:rsidRPr="00F52339">
        <w:rPr>
          <w:rFonts w:ascii="CMCSC10" w:hAnsi="CMCSC10"/>
          <w:color w:val="1C6194" w:themeColor="accent2" w:themeShade="BF"/>
          <w:sz w:val="34"/>
          <w:szCs w:val="36"/>
        </w:rPr>
        <w:t xml:space="preserve"> </w:t>
      </w:r>
      <w:r w:rsidR="008B4D30" w:rsidRPr="00F52339">
        <w:rPr>
          <w:rFonts w:ascii="CMCSC10" w:hAnsi="CMCSC10"/>
          <w:color w:val="000000" w:themeColor="text1"/>
          <w:sz w:val="34"/>
          <w:szCs w:val="36"/>
        </w:rPr>
        <w:t>and Public</w:t>
      </w:r>
      <w:r w:rsidR="000E2072" w:rsidRPr="00F52339">
        <w:rPr>
          <w:rFonts w:ascii="CMCSC10" w:hAnsi="CMCSC10"/>
          <w:color w:val="000000" w:themeColor="text1"/>
          <w:sz w:val="34"/>
          <w:szCs w:val="36"/>
        </w:rPr>
        <w:t xml:space="preserve"> </w:t>
      </w:r>
      <w:r w:rsidR="000E2072" w:rsidRPr="00F52339">
        <w:rPr>
          <w:rFonts w:ascii="CMCSC10" w:hAnsi="CMCSC10"/>
          <w:color w:val="1C6194" w:themeColor="accent2" w:themeShade="BF"/>
          <w:sz w:val="34"/>
          <w:szCs w:val="36"/>
        </w:rPr>
        <w:t>(13%)</w:t>
      </w:r>
      <w:r w:rsidR="008B4D30" w:rsidRPr="00F52339">
        <w:rPr>
          <w:rFonts w:ascii="CMCSC10" w:hAnsi="CMCSC10"/>
          <w:color w:val="000000" w:themeColor="text1"/>
          <w:sz w:val="34"/>
          <w:szCs w:val="36"/>
        </w:rPr>
        <w:t>.</w:t>
      </w:r>
      <w:r w:rsidR="000E2072" w:rsidRPr="00F52339">
        <w:rPr>
          <w:rFonts w:ascii="CMCSC10" w:hAnsi="CMCSC10"/>
          <w:color w:val="000000" w:themeColor="text1"/>
          <w:sz w:val="34"/>
          <w:szCs w:val="36"/>
        </w:rPr>
        <w:t xml:space="preserve"> It should also be noted that the Central Government</w:t>
      </w:r>
      <w:r w:rsidR="00173C97" w:rsidRPr="00F52339">
        <w:rPr>
          <w:rFonts w:ascii="CMCSC10" w:hAnsi="CMCSC10"/>
          <w:color w:val="000000" w:themeColor="text1"/>
          <w:sz w:val="34"/>
          <w:szCs w:val="36"/>
        </w:rPr>
        <w:t xml:space="preserve"> holds just </w:t>
      </w:r>
      <w:r w:rsidR="00173C97" w:rsidRPr="00F52339">
        <w:rPr>
          <w:rFonts w:ascii="CMCSC10" w:hAnsi="CMCSC10"/>
          <w:color w:val="1C6194" w:themeColor="accent2" w:themeShade="BF"/>
          <w:sz w:val="34"/>
          <w:szCs w:val="36"/>
        </w:rPr>
        <w:t xml:space="preserve">0.07% </w:t>
      </w:r>
      <w:r w:rsidR="00173C97" w:rsidRPr="00F52339">
        <w:rPr>
          <w:rFonts w:ascii="CMCSC10" w:hAnsi="CMCSC10"/>
          <w:color w:val="000000" w:themeColor="text1"/>
          <w:sz w:val="34"/>
          <w:szCs w:val="36"/>
        </w:rPr>
        <w:t xml:space="preserve">of its shares. The company has established </w:t>
      </w:r>
      <w:r w:rsidR="00173C97" w:rsidRPr="00F52339">
        <w:rPr>
          <w:rFonts w:ascii="CMCSC10" w:hAnsi="CMCSC10"/>
          <w:color w:val="000000" w:themeColor="text1"/>
          <w:sz w:val="34"/>
          <w:szCs w:val="36"/>
        </w:rPr>
        <w:lastRenderedPageBreak/>
        <w:t>itself across the</w:t>
      </w:r>
      <w:r w:rsidR="00173C97" w:rsidRPr="00F52339">
        <w:rPr>
          <w:rFonts w:ascii="CMCSC10" w:hAnsi="CMCSC10"/>
          <w:color w:val="000000" w:themeColor="text1"/>
          <w:sz w:val="36"/>
          <w:szCs w:val="40"/>
        </w:rPr>
        <w:t xml:space="preserve"> </w:t>
      </w:r>
      <w:r w:rsidR="00173C97" w:rsidRPr="00F52339">
        <w:rPr>
          <w:rFonts w:ascii="CMCSC10" w:hAnsi="CMCSC10"/>
          <w:color w:val="000000" w:themeColor="text1"/>
          <w:sz w:val="34"/>
          <w:szCs w:val="36"/>
        </w:rPr>
        <w:t>country with 8 manufacturing facilities and 4 branch offices</w:t>
      </w:r>
      <w:r w:rsidR="00173C97" w:rsidRPr="00F52339">
        <w:rPr>
          <w:rFonts w:ascii="CMCSC10" w:hAnsi="CMCSC10"/>
          <w:color w:val="000000" w:themeColor="text1"/>
          <w:sz w:val="38"/>
          <w:szCs w:val="36"/>
        </w:rPr>
        <w:t>.</w:t>
      </w:r>
      <w:r w:rsidR="008B4D30" w:rsidRPr="00F52339">
        <w:rPr>
          <w:rFonts w:ascii="CMCSC10" w:hAnsi="CMCSC10"/>
          <w:noProof/>
          <w:color w:val="000000" w:themeColor="text1"/>
          <w:sz w:val="38"/>
          <w:szCs w:val="36"/>
        </w:rPr>
        <w:drawing>
          <wp:inline distT="0" distB="0" distL="0" distR="0" wp14:anchorId="0E6390DF" wp14:editId="40E6E688">
            <wp:extent cx="5728970" cy="421386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970" cy="4213860"/>
                    </a:xfrm>
                    <a:prstGeom prst="rect">
                      <a:avLst/>
                    </a:prstGeom>
                    <a:noFill/>
                    <a:ln>
                      <a:noFill/>
                    </a:ln>
                  </pic:spPr>
                </pic:pic>
              </a:graphicData>
            </a:graphic>
          </wp:inline>
        </w:drawing>
      </w:r>
      <w:r w:rsidRPr="00F52339">
        <w:rPr>
          <w:rFonts w:ascii="CMCSC10" w:hAnsi="CMCSC10"/>
          <w:color w:val="000000" w:themeColor="text1"/>
          <w:sz w:val="38"/>
          <w:szCs w:val="36"/>
        </w:rPr>
        <w:t xml:space="preserve"> </w:t>
      </w:r>
    </w:p>
    <w:p w14:paraId="7BAE2BF4" w14:textId="07CE8367" w:rsidR="002F187D" w:rsidRDefault="0006718C" w:rsidP="00514F7F">
      <w:pPr>
        <w:ind w:left="720" w:firstLine="720"/>
        <w:rPr>
          <w:rFonts w:ascii="CMCSC10" w:hAnsi="CMCSC10"/>
          <w:color w:val="000000" w:themeColor="text1"/>
          <w:sz w:val="36"/>
          <w:szCs w:val="32"/>
        </w:rPr>
      </w:pPr>
      <w:r>
        <w:rPr>
          <w:rFonts w:ascii="CMCSC10" w:hAnsi="CMCSC10"/>
          <w:color w:val="000000" w:themeColor="text1"/>
          <w:sz w:val="36"/>
          <w:szCs w:val="32"/>
        </w:rPr>
        <w:t>(</w:t>
      </w:r>
      <w:r w:rsidRPr="0006718C">
        <w:rPr>
          <w:rFonts w:ascii="CMCSC10" w:hAnsi="CMCSC10"/>
          <w:b/>
          <w:bCs/>
          <w:color w:val="1C6194" w:themeColor="accent2" w:themeShade="BF"/>
          <w:sz w:val="36"/>
          <w:szCs w:val="32"/>
        </w:rPr>
        <w:t>Nestl</w:t>
      </w:r>
      <w:r w:rsidRPr="0006718C">
        <w:rPr>
          <w:rFonts w:ascii="CMCSC10" w:hAnsi="CMCSC10" w:hint="eastAsia"/>
          <w:b/>
          <w:bCs/>
          <w:color w:val="1C6194" w:themeColor="accent2" w:themeShade="BF"/>
          <w:sz w:val="36"/>
          <w:szCs w:val="32"/>
        </w:rPr>
        <w:t>é</w:t>
      </w:r>
      <w:r w:rsidRPr="0006718C">
        <w:rPr>
          <w:rFonts w:ascii="CMCSC10" w:hAnsi="CMCSC10"/>
          <w:b/>
          <w:bCs/>
          <w:color w:val="1C6194" w:themeColor="accent2" w:themeShade="BF"/>
          <w:sz w:val="36"/>
          <w:szCs w:val="32"/>
        </w:rPr>
        <w:t>’s Shareholding Pattern</w:t>
      </w:r>
      <w:r>
        <w:rPr>
          <w:rFonts w:ascii="CMCSC10" w:hAnsi="CMCSC10"/>
          <w:color w:val="000000" w:themeColor="text1"/>
          <w:sz w:val="36"/>
          <w:szCs w:val="32"/>
        </w:rPr>
        <w:t>)</w:t>
      </w:r>
    </w:p>
    <w:p w14:paraId="2B50DD9C" w14:textId="77777777" w:rsidR="00BF4DFF" w:rsidRDefault="00BF4DFF" w:rsidP="009566A2">
      <w:pPr>
        <w:rPr>
          <w:rFonts w:ascii="CMCSC10" w:hAnsi="CMCSC10"/>
          <w:color w:val="000000" w:themeColor="text1"/>
          <w:sz w:val="32"/>
          <w:szCs w:val="32"/>
        </w:rPr>
      </w:pPr>
    </w:p>
    <w:p w14:paraId="2CC1337A" w14:textId="71CB9CF2" w:rsidR="009566A2" w:rsidRPr="00E063A8" w:rsidRDefault="009566A2" w:rsidP="009566A2">
      <w:pPr>
        <w:rPr>
          <w:rFonts w:ascii="CMCSC10" w:hAnsi="CMCSC10"/>
          <w:color w:val="1C6194" w:themeColor="accent2" w:themeShade="BF"/>
          <w:sz w:val="36"/>
          <w:szCs w:val="32"/>
        </w:rPr>
      </w:pPr>
      <w:r w:rsidRPr="00E063A8">
        <w:rPr>
          <w:rFonts w:ascii="CMCSC10" w:hAnsi="CMCSC10"/>
          <w:color w:val="1C6194" w:themeColor="accent2" w:themeShade="BF"/>
          <w:sz w:val="36"/>
          <w:szCs w:val="32"/>
        </w:rPr>
        <w:t>1.3 Business Commencement Circumstances</w:t>
      </w:r>
    </w:p>
    <w:p w14:paraId="0DF6B70D" w14:textId="23E9C2BE" w:rsidR="00B61193" w:rsidRDefault="00B61193" w:rsidP="00B61193">
      <w:pPr>
        <w:ind w:firstLine="720"/>
        <w:rPr>
          <w:rFonts w:ascii="CMCSC10" w:hAnsi="CMCSC10"/>
          <w:sz w:val="32"/>
          <w:szCs w:val="32"/>
        </w:rPr>
      </w:pPr>
      <w:r>
        <w:rPr>
          <w:rFonts w:ascii="CMCSC10" w:hAnsi="CMCSC10"/>
          <w:color w:val="1481AB" w:themeColor="accent1" w:themeShade="BF"/>
          <w:sz w:val="36"/>
          <w:szCs w:val="32"/>
        </w:rPr>
        <w:tab/>
      </w:r>
      <w:r w:rsidRPr="00F52339">
        <w:rPr>
          <w:rFonts w:ascii="CMCSC10" w:hAnsi="CMCSC10"/>
          <w:sz w:val="34"/>
          <w:szCs w:val="36"/>
        </w:rPr>
        <w:t xml:space="preserve">Its roots date back to </w:t>
      </w:r>
      <w:r w:rsidRPr="00F52339">
        <w:rPr>
          <w:rFonts w:ascii="CMCSC10" w:hAnsi="CMCSC10"/>
          <w:color w:val="1C6194" w:themeColor="accent2" w:themeShade="BF"/>
          <w:sz w:val="34"/>
          <w:szCs w:val="36"/>
        </w:rPr>
        <w:t>1866</w:t>
      </w:r>
      <w:r w:rsidRPr="00F52339">
        <w:rPr>
          <w:rFonts w:ascii="CMCSC10" w:hAnsi="CMCSC10"/>
          <w:sz w:val="34"/>
          <w:szCs w:val="36"/>
        </w:rPr>
        <w:t xml:space="preserve">, when the Anglo-Swiss Condensed Milk Company’s Milkmaid brand was created; which went on to merge with Henri Nestlé’s company in </w:t>
      </w:r>
      <w:r w:rsidRPr="00F52339">
        <w:rPr>
          <w:rFonts w:ascii="CMCSC10" w:hAnsi="CMCSC10"/>
          <w:color w:val="1C6194" w:themeColor="accent2" w:themeShade="BF"/>
          <w:sz w:val="34"/>
          <w:szCs w:val="36"/>
        </w:rPr>
        <w:t>1905</w:t>
      </w:r>
      <w:r w:rsidRPr="00F52339">
        <w:rPr>
          <w:rFonts w:ascii="CMCSC10" w:hAnsi="CMCSC10"/>
          <w:color w:val="1481AB" w:themeColor="accent1" w:themeShade="BF"/>
          <w:sz w:val="34"/>
          <w:szCs w:val="36"/>
        </w:rPr>
        <w:t xml:space="preserve">. </w:t>
      </w:r>
      <w:r w:rsidRPr="00F52339">
        <w:rPr>
          <w:rFonts w:ascii="CMCSC10" w:hAnsi="CMCSC10"/>
          <w:sz w:val="34"/>
          <w:szCs w:val="36"/>
        </w:rPr>
        <w:t>As the two Swiss companies had been highly successful in the last decades of the 19th century, Nestlé took off.</w:t>
      </w:r>
    </w:p>
    <w:p w14:paraId="59E0B57C" w14:textId="5A9A8B70" w:rsidR="00250CB3" w:rsidRPr="00250CB3" w:rsidRDefault="00250CB3" w:rsidP="00B61193">
      <w:pPr>
        <w:ind w:firstLine="720"/>
        <w:rPr>
          <w:rFonts w:ascii="CMCSC10" w:hAnsi="CMCSC10"/>
          <w:color w:val="1C6194" w:themeColor="accent2" w:themeShade="BF"/>
          <w:sz w:val="32"/>
          <w:szCs w:val="32"/>
        </w:rPr>
      </w:pPr>
      <w:r>
        <w:rPr>
          <w:rFonts w:ascii="CMCSC10" w:hAnsi="CMCSC10"/>
          <w:sz w:val="32"/>
          <w:szCs w:val="32"/>
        </w:rPr>
        <w:tab/>
      </w:r>
      <w:r>
        <w:rPr>
          <w:rFonts w:ascii="CMCSC10" w:hAnsi="CMCSC10"/>
          <w:sz w:val="32"/>
          <w:szCs w:val="32"/>
        </w:rPr>
        <w:tab/>
      </w:r>
      <w:r>
        <w:rPr>
          <w:rFonts w:ascii="CMCSC10" w:hAnsi="CMCSC10"/>
          <w:sz w:val="32"/>
          <w:szCs w:val="32"/>
        </w:rPr>
        <w:tab/>
      </w:r>
      <w:r>
        <w:rPr>
          <w:rFonts w:ascii="CMCSC10" w:hAnsi="CMCSC10"/>
          <w:sz w:val="32"/>
          <w:szCs w:val="32"/>
        </w:rPr>
        <w:tab/>
      </w:r>
      <w:r>
        <w:rPr>
          <w:rFonts w:ascii="CMCSC10" w:hAnsi="CMCSC10"/>
          <w:sz w:val="32"/>
          <w:szCs w:val="32"/>
        </w:rPr>
        <w:tab/>
      </w:r>
      <w:r>
        <w:rPr>
          <w:rFonts w:ascii="CMCSC10" w:hAnsi="CMCSC10"/>
          <w:sz w:val="32"/>
          <w:szCs w:val="32"/>
        </w:rPr>
        <w:tab/>
      </w:r>
      <w:r>
        <w:rPr>
          <w:rFonts w:ascii="CMCSC10" w:hAnsi="CMCSC10"/>
          <w:sz w:val="32"/>
          <w:szCs w:val="32"/>
        </w:rPr>
        <w:tab/>
      </w:r>
      <w:r>
        <w:rPr>
          <w:rFonts w:ascii="CMCSC10" w:hAnsi="CMCSC10"/>
          <w:sz w:val="32"/>
          <w:szCs w:val="32"/>
        </w:rPr>
        <w:tab/>
      </w:r>
      <w:sdt>
        <w:sdtPr>
          <w:rPr>
            <w:rFonts w:ascii="CMCSC10" w:hAnsi="CMCSC10"/>
            <w:color w:val="1C6194" w:themeColor="accent2" w:themeShade="BF"/>
            <w:sz w:val="32"/>
            <w:szCs w:val="32"/>
          </w:rPr>
          <w:id w:val="457222540"/>
          <w:citation/>
        </w:sdtPr>
        <w:sdtContent>
          <w:r w:rsidRPr="00250CB3">
            <w:rPr>
              <w:rFonts w:ascii="CMCSC10" w:hAnsi="CMCSC10"/>
              <w:color w:val="1C6194" w:themeColor="accent2" w:themeShade="BF"/>
              <w:sz w:val="32"/>
              <w:szCs w:val="32"/>
            </w:rPr>
            <w:fldChar w:fldCharType="begin"/>
          </w:r>
          <w:r w:rsidRPr="00250CB3">
            <w:rPr>
              <w:rFonts w:ascii="CMCSC10" w:hAnsi="CMCSC10"/>
              <w:color w:val="1C6194" w:themeColor="accent2" w:themeShade="BF"/>
              <w:sz w:val="32"/>
              <w:szCs w:val="32"/>
            </w:rPr>
            <w:instrText xml:space="preserve"> CITATION Nes \l 16393 </w:instrText>
          </w:r>
          <w:r w:rsidRPr="00250CB3">
            <w:rPr>
              <w:rFonts w:ascii="CMCSC10" w:hAnsi="CMCSC10"/>
              <w:color w:val="1C6194" w:themeColor="accent2" w:themeShade="BF"/>
              <w:sz w:val="32"/>
              <w:szCs w:val="32"/>
            </w:rPr>
            <w:fldChar w:fldCharType="separate"/>
          </w:r>
          <w:r w:rsidRPr="00250CB3">
            <w:rPr>
              <w:rFonts w:ascii="CMCSC10" w:hAnsi="CMCSC10"/>
              <w:noProof/>
              <w:color w:val="1C6194" w:themeColor="accent2" w:themeShade="BF"/>
              <w:sz w:val="32"/>
              <w:szCs w:val="32"/>
            </w:rPr>
            <w:t>(Nestlé, n.d.)</w:t>
          </w:r>
          <w:r w:rsidRPr="00250CB3">
            <w:rPr>
              <w:rFonts w:ascii="CMCSC10" w:hAnsi="CMCSC10"/>
              <w:color w:val="1C6194" w:themeColor="accent2" w:themeShade="BF"/>
              <w:sz w:val="32"/>
              <w:szCs w:val="32"/>
            </w:rPr>
            <w:fldChar w:fldCharType="end"/>
          </w:r>
        </w:sdtContent>
      </w:sdt>
    </w:p>
    <w:p w14:paraId="21B3C943" w14:textId="6646FFB9" w:rsidR="00250CB3" w:rsidRDefault="00B61193" w:rsidP="00B61193">
      <w:pPr>
        <w:ind w:firstLine="720"/>
        <w:rPr>
          <w:rFonts w:ascii="CMCSC10" w:hAnsi="CMCSC10"/>
          <w:color w:val="000000" w:themeColor="text1"/>
          <w:sz w:val="32"/>
          <w:szCs w:val="32"/>
        </w:rPr>
      </w:pPr>
      <w:r w:rsidRPr="00F52339">
        <w:rPr>
          <w:rFonts w:ascii="CMCSC10" w:hAnsi="CMCSC10"/>
          <w:sz w:val="34"/>
          <w:szCs w:val="36"/>
        </w:rPr>
        <w:t xml:space="preserve">During the First World War, Switzerland experienced a serious economic crisis caused by a decline in energy consumption. Shortages of Milk and nearly every other fresh </w:t>
      </w:r>
      <w:r w:rsidRPr="00F52339">
        <w:rPr>
          <w:rFonts w:ascii="CMCSC10" w:hAnsi="CMCSC10"/>
          <w:sz w:val="34"/>
          <w:szCs w:val="36"/>
        </w:rPr>
        <w:lastRenderedPageBreak/>
        <w:t xml:space="preserve">commodity occurred during this period. Nestlé was able to endure this time of economic distress due to fighting on a wide scale. It won several government contracts allowing them to grow rapidly and had </w:t>
      </w:r>
      <w:r w:rsidRPr="00F52339">
        <w:rPr>
          <w:rFonts w:ascii="CMCSC10" w:hAnsi="CMCSC10"/>
          <w:color w:val="1481AB" w:themeColor="accent1" w:themeShade="BF"/>
          <w:sz w:val="34"/>
          <w:szCs w:val="36"/>
        </w:rPr>
        <w:t xml:space="preserve">40 plants </w:t>
      </w:r>
      <w:r w:rsidRPr="00F52339">
        <w:rPr>
          <w:rFonts w:ascii="CMCSC10" w:hAnsi="CMCSC10"/>
          <w:sz w:val="34"/>
          <w:szCs w:val="36"/>
        </w:rPr>
        <w:t xml:space="preserve">all over the world by the time the war came to a close in </w:t>
      </w:r>
      <w:r w:rsidRPr="00F52339">
        <w:rPr>
          <w:rFonts w:ascii="CMCSC10" w:hAnsi="CMCSC10"/>
          <w:color w:val="1481AB" w:themeColor="accent1" w:themeShade="BF"/>
          <w:sz w:val="34"/>
          <w:szCs w:val="36"/>
        </w:rPr>
        <w:t>1918</w:t>
      </w:r>
      <w:r w:rsidRPr="00F52339">
        <w:rPr>
          <w:rFonts w:ascii="CMCSC10" w:hAnsi="CMCSC10"/>
          <w:sz w:val="34"/>
          <w:szCs w:val="36"/>
        </w:rPr>
        <w:t xml:space="preserve">. </w:t>
      </w:r>
      <w:r w:rsidRPr="00F52339">
        <w:rPr>
          <w:rFonts w:ascii="CMCSC10" w:hAnsi="CMCSC10"/>
          <w:color w:val="1481AB" w:themeColor="accent1" w:themeShade="BF"/>
          <w:sz w:val="34"/>
          <w:szCs w:val="36"/>
        </w:rPr>
        <w:t xml:space="preserve">Nestlé started trading on the Indian market </w:t>
      </w:r>
      <w:r w:rsidRPr="00F52339">
        <w:rPr>
          <w:rFonts w:ascii="CMCSC10" w:hAnsi="CMCSC10"/>
          <w:color w:val="000000" w:themeColor="text1"/>
          <w:sz w:val="34"/>
          <w:szCs w:val="36"/>
        </w:rPr>
        <w:t xml:space="preserve">as The NESTLÉ Anglo-Swiss Condensed Milk Company (Export) Limited in </w:t>
      </w:r>
      <w:r w:rsidRPr="00F52339">
        <w:rPr>
          <w:rFonts w:ascii="CMCSC10" w:hAnsi="CMCSC10"/>
          <w:color w:val="1481AB" w:themeColor="accent1" w:themeShade="BF"/>
          <w:sz w:val="34"/>
          <w:szCs w:val="36"/>
        </w:rPr>
        <w:t>1912</w:t>
      </w:r>
      <w:r w:rsidRPr="00F52339">
        <w:rPr>
          <w:rFonts w:ascii="CMCSC10" w:hAnsi="CMCSC10"/>
          <w:color w:val="000000" w:themeColor="text1"/>
          <w:sz w:val="34"/>
          <w:szCs w:val="36"/>
        </w:rPr>
        <w:t>, primarily importing and selling finished goods.</w:t>
      </w:r>
      <w:r w:rsidR="00250CB3" w:rsidRPr="00F52339">
        <w:rPr>
          <w:rFonts w:ascii="CMCSC10" w:hAnsi="CMCSC10"/>
          <w:color w:val="000000" w:themeColor="text1"/>
          <w:sz w:val="34"/>
          <w:szCs w:val="36"/>
        </w:rPr>
        <w:tab/>
      </w:r>
      <w:r w:rsidR="00250CB3" w:rsidRPr="00F52339">
        <w:rPr>
          <w:rFonts w:ascii="CMCSC10" w:hAnsi="CMCSC10"/>
          <w:color w:val="000000" w:themeColor="text1"/>
          <w:sz w:val="34"/>
          <w:szCs w:val="36"/>
        </w:rPr>
        <w:tab/>
      </w:r>
      <w:r w:rsidR="00250CB3">
        <w:rPr>
          <w:rFonts w:ascii="CMCSC10" w:hAnsi="CMCSC10"/>
          <w:color w:val="000000" w:themeColor="text1"/>
          <w:sz w:val="32"/>
          <w:szCs w:val="32"/>
        </w:rPr>
        <w:tab/>
      </w:r>
      <w:r w:rsidR="00250CB3">
        <w:rPr>
          <w:rFonts w:ascii="CMCSC10" w:hAnsi="CMCSC10"/>
          <w:color w:val="000000" w:themeColor="text1"/>
          <w:sz w:val="32"/>
          <w:szCs w:val="32"/>
        </w:rPr>
        <w:tab/>
      </w:r>
      <w:r w:rsidR="00250CB3">
        <w:rPr>
          <w:rFonts w:ascii="CMCSC10" w:hAnsi="CMCSC10"/>
          <w:color w:val="000000" w:themeColor="text1"/>
          <w:sz w:val="32"/>
          <w:szCs w:val="32"/>
        </w:rPr>
        <w:tab/>
      </w:r>
    </w:p>
    <w:p w14:paraId="5CAFA434" w14:textId="455324B3" w:rsidR="00B61193" w:rsidRPr="00250CB3" w:rsidRDefault="005E57C1" w:rsidP="00250CB3">
      <w:pPr>
        <w:ind w:left="5040" w:firstLine="720"/>
        <w:rPr>
          <w:rFonts w:ascii="CMCSC10" w:hAnsi="CMCSC10"/>
          <w:color w:val="1C6194" w:themeColor="accent2" w:themeShade="BF"/>
          <w:sz w:val="32"/>
          <w:szCs w:val="32"/>
        </w:rPr>
      </w:pPr>
      <w:sdt>
        <w:sdtPr>
          <w:rPr>
            <w:rFonts w:ascii="CMCSC10" w:hAnsi="CMCSC10"/>
            <w:color w:val="1C6194" w:themeColor="accent2" w:themeShade="BF"/>
            <w:sz w:val="32"/>
            <w:szCs w:val="32"/>
          </w:rPr>
          <w:id w:val="1523435247"/>
          <w:citation/>
        </w:sdtPr>
        <w:sdtContent>
          <w:r w:rsidR="00250CB3" w:rsidRPr="00250CB3">
            <w:rPr>
              <w:rFonts w:ascii="CMCSC10" w:hAnsi="CMCSC10"/>
              <w:color w:val="1C6194" w:themeColor="accent2" w:themeShade="BF"/>
              <w:sz w:val="32"/>
              <w:szCs w:val="32"/>
            </w:rPr>
            <w:fldChar w:fldCharType="begin"/>
          </w:r>
          <w:r w:rsidR="00250CB3" w:rsidRPr="00250CB3">
            <w:rPr>
              <w:rFonts w:ascii="CMCSC10" w:hAnsi="CMCSC10"/>
              <w:color w:val="1C6194" w:themeColor="accent2" w:themeShade="BF"/>
              <w:sz w:val="32"/>
              <w:szCs w:val="32"/>
            </w:rPr>
            <w:instrText xml:space="preserve"> CITATION Mar15 \l 16393 </w:instrText>
          </w:r>
          <w:r w:rsidR="00250CB3" w:rsidRPr="00250CB3">
            <w:rPr>
              <w:rFonts w:ascii="CMCSC10" w:hAnsi="CMCSC10"/>
              <w:color w:val="1C6194" w:themeColor="accent2" w:themeShade="BF"/>
              <w:sz w:val="32"/>
              <w:szCs w:val="32"/>
            </w:rPr>
            <w:fldChar w:fldCharType="separate"/>
          </w:r>
          <w:r w:rsidR="00250CB3" w:rsidRPr="00250CB3">
            <w:rPr>
              <w:rFonts w:ascii="CMCSC10" w:hAnsi="CMCSC10"/>
              <w:noProof/>
              <w:color w:val="1C6194" w:themeColor="accent2" w:themeShade="BF"/>
              <w:sz w:val="32"/>
              <w:szCs w:val="32"/>
            </w:rPr>
            <w:t>(Luenendonk, 2015)</w:t>
          </w:r>
          <w:r w:rsidR="00250CB3" w:rsidRPr="00250CB3">
            <w:rPr>
              <w:rFonts w:ascii="CMCSC10" w:hAnsi="CMCSC10"/>
              <w:color w:val="1C6194" w:themeColor="accent2" w:themeShade="BF"/>
              <w:sz w:val="32"/>
              <w:szCs w:val="32"/>
            </w:rPr>
            <w:fldChar w:fldCharType="end"/>
          </w:r>
        </w:sdtContent>
      </w:sdt>
    </w:p>
    <w:p w14:paraId="1E2648AD" w14:textId="3FEC91A4" w:rsidR="00C762BE" w:rsidRPr="00F52339" w:rsidRDefault="00B61193" w:rsidP="00D85A04">
      <w:pPr>
        <w:ind w:firstLine="720"/>
        <w:rPr>
          <w:rFonts w:ascii="CMCSC10" w:hAnsi="CMCSC10"/>
          <w:sz w:val="34"/>
          <w:szCs w:val="36"/>
        </w:rPr>
      </w:pPr>
      <w:r w:rsidRPr="00F52339">
        <w:rPr>
          <w:rFonts w:ascii="CMCSC10" w:hAnsi="CMCSC10"/>
          <w:sz w:val="34"/>
          <w:szCs w:val="36"/>
        </w:rPr>
        <w:t xml:space="preserve">It began operations in India in </w:t>
      </w:r>
      <w:r w:rsidRPr="00F52339">
        <w:rPr>
          <w:rFonts w:ascii="CMCSC10" w:hAnsi="CMCSC10"/>
          <w:color w:val="1481AB" w:themeColor="accent1" w:themeShade="BF"/>
          <w:sz w:val="34"/>
          <w:szCs w:val="36"/>
        </w:rPr>
        <w:t>1956</w:t>
      </w:r>
      <w:r w:rsidRPr="00F52339">
        <w:rPr>
          <w:rFonts w:ascii="CMCSC10" w:hAnsi="CMCSC10"/>
          <w:sz w:val="34"/>
          <w:szCs w:val="36"/>
        </w:rPr>
        <w:t xml:space="preserve"> and their first production facility was set up in the year</w:t>
      </w:r>
      <w:r w:rsidRPr="00F52339">
        <w:rPr>
          <w:rFonts w:ascii="CMCSC10" w:hAnsi="CMCSC10"/>
          <w:color w:val="1481AB" w:themeColor="accent1" w:themeShade="BF"/>
          <w:sz w:val="34"/>
          <w:szCs w:val="36"/>
        </w:rPr>
        <w:t xml:space="preserve"> 1961 </w:t>
      </w:r>
      <w:r w:rsidRPr="00F52339">
        <w:rPr>
          <w:rFonts w:ascii="CMCSC10" w:hAnsi="CMCSC10"/>
          <w:sz w:val="34"/>
          <w:szCs w:val="36"/>
        </w:rPr>
        <w:t xml:space="preserve">at </w:t>
      </w:r>
      <w:proofErr w:type="spellStart"/>
      <w:r w:rsidRPr="00F52339">
        <w:rPr>
          <w:rFonts w:ascii="CMCSC10" w:hAnsi="CMCSC10"/>
          <w:sz w:val="34"/>
          <w:szCs w:val="36"/>
        </w:rPr>
        <w:t>Moga</w:t>
      </w:r>
      <w:proofErr w:type="spellEnd"/>
      <w:r w:rsidR="00F101B5" w:rsidRPr="00F52339">
        <w:rPr>
          <w:rFonts w:ascii="CMCSC10" w:hAnsi="CMCSC10"/>
          <w:sz w:val="34"/>
          <w:szCs w:val="36"/>
        </w:rPr>
        <w:t xml:space="preserve"> </w:t>
      </w:r>
      <w:r w:rsidRPr="00F52339">
        <w:rPr>
          <w:rFonts w:ascii="CMCSC10" w:hAnsi="CMCSC10"/>
          <w:sz w:val="34"/>
          <w:szCs w:val="36"/>
        </w:rPr>
        <w:t xml:space="preserve">(Punjab). </w:t>
      </w:r>
    </w:p>
    <w:p w14:paraId="4CF74789" w14:textId="77777777" w:rsidR="00D85A04" w:rsidRPr="00D85A04" w:rsidRDefault="00D85A04" w:rsidP="00D85A04">
      <w:pPr>
        <w:ind w:firstLine="720"/>
        <w:rPr>
          <w:rFonts w:ascii="CMCSC10" w:hAnsi="CMCSC10"/>
          <w:sz w:val="32"/>
          <w:szCs w:val="32"/>
        </w:rPr>
      </w:pPr>
    </w:p>
    <w:p w14:paraId="0AE09874" w14:textId="24136EEE" w:rsidR="009566A2" w:rsidRPr="00A23BCF" w:rsidRDefault="009566A2" w:rsidP="009566A2">
      <w:pPr>
        <w:rPr>
          <w:rFonts w:ascii="CMCSC10" w:hAnsi="CMCSC10"/>
          <w:color w:val="1C6194" w:themeColor="accent2" w:themeShade="BF"/>
          <w:sz w:val="36"/>
          <w:szCs w:val="32"/>
        </w:rPr>
      </w:pPr>
      <w:r w:rsidRPr="00A23BCF">
        <w:rPr>
          <w:rFonts w:ascii="CMCSC10" w:hAnsi="CMCSC10"/>
          <w:color w:val="1C6194" w:themeColor="accent2" w:themeShade="BF"/>
          <w:sz w:val="36"/>
          <w:szCs w:val="32"/>
        </w:rPr>
        <w:t>1.4</w:t>
      </w:r>
      <w:r w:rsidR="00763021">
        <w:rPr>
          <w:rFonts w:ascii="CMCSC10" w:hAnsi="CMCSC10"/>
          <w:color w:val="1C6194" w:themeColor="accent2" w:themeShade="BF"/>
          <w:sz w:val="36"/>
          <w:szCs w:val="32"/>
        </w:rPr>
        <w:t xml:space="preserve">.1 </w:t>
      </w:r>
      <w:r w:rsidRPr="00A23BCF">
        <w:rPr>
          <w:rFonts w:ascii="CMCSC10" w:hAnsi="CMCSC10"/>
          <w:color w:val="1C6194" w:themeColor="accent2" w:themeShade="BF"/>
          <w:sz w:val="36"/>
          <w:szCs w:val="32"/>
        </w:rPr>
        <w:t>Industry of the Business</w:t>
      </w:r>
    </w:p>
    <w:p w14:paraId="68AF8940" w14:textId="31313857" w:rsidR="004762C8" w:rsidRPr="00F52339" w:rsidRDefault="0029215A" w:rsidP="004762C8">
      <w:pPr>
        <w:ind w:firstLine="720"/>
        <w:rPr>
          <w:rFonts w:ascii="CMCSC10" w:hAnsi="CMCSC10"/>
          <w:sz w:val="34"/>
          <w:szCs w:val="36"/>
        </w:rPr>
      </w:pPr>
      <w:r w:rsidRPr="00F52339">
        <w:rPr>
          <w:rFonts w:ascii="CMCSC10" w:hAnsi="CMCSC10"/>
          <w:sz w:val="34"/>
          <w:szCs w:val="36"/>
        </w:rPr>
        <w:t>It is engaged in the</w:t>
      </w:r>
      <w:r w:rsidRPr="00F52339">
        <w:rPr>
          <w:rFonts w:ascii="CMCSC10" w:hAnsi="CMCSC10"/>
          <w:b/>
          <w:bCs/>
          <w:sz w:val="34"/>
          <w:szCs w:val="36"/>
        </w:rPr>
        <w:t xml:space="preserve"> </w:t>
      </w:r>
      <w:r w:rsidRPr="00F52339">
        <w:rPr>
          <w:rFonts w:ascii="CMCSC10" w:hAnsi="CMCSC10"/>
          <w:color w:val="1C6194" w:themeColor="accent2" w:themeShade="BF"/>
          <w:sz w:val="34"/>
          <w:szCs w:val="36"/>
        </w:rPr>
        <w:t xml:space="preserve">Food Processing Industry </w:t>
      </w:r>
      <w:r w:rsidRPr="00F52339">
        <w:rPr>
          <w:rFonts w:ascii="CMCSC10" w:hAnsi="CMCSC10"/>
          <w:sz w:val="34"/>
          <w:szCs w:val="36"/>
        </w:rPr>
        <w:t>and is frequently cited as the largest food company in the world currently.</w:t>
      </w:r>
      <w:r w:rsidR="003631F3" w:rsidRPr="00F52339">
        <w:rPr>
          <w:rFonts w:ascii="CMCSC10" w:hAnsi="CMCSC10"/>
          <w:sz w:val="34"/>
          <w:szCs w:val="36"/>
        </w:rPr>
        <w:t xml:space="preserve"> It is the world's largest food and beverage company. Nestle India Ltd, one of the major players in the FMCG market, has a presence in the fields of milk &amp; nutrition, snacks, cooked dishes &amp; cooking aids &amp; candy &amp; confectionery. It sells premium items such as </w:t>
      </w:r>
      <w:r w:rsidR="003631F3" w:rsidRPr="00F52339">
        <w:rPr>
          <w:rFonts w:ascii="CMCSC10" w:hAnsi="CMCSC10"/>
          <w:color w:val="1C6194" w:themeColor="accent2" w:themeShade="BF"/>
          <w:sz w:val="34"/>
          <w:szCs w:val="36"/>
        </w:rPr>
        <w:t>Nescafe, Maggi, Milky Bar, Milo, Kit Kat, Bar-One, Milkmaid</w:t>
      </w:r>
      <w:r w:rsidR="003631F3" w:rsidRPr="00F52339">
        <w:rPr>
          <w:rFonts w:ascii="CMCSC10" w:hAnsi="CMCSC10"/>
          <w:sz w:val="34"/>
          <w:szCs w:val="36"/>
        </w:rPr>
        <w:t xml:space="preserve"> and </w:t>
      </w:r>
      <w:r w:rsidR="003631F3" w:rsidRPr="00F52339">
        <w:rPr>
          <w:rFonts w:ascii="CMCSC10" w:hAnsi="CMCSC10"/>
          <w:color w:val="1C6194" w:themeColor="accent2" w:themeShade="BF"/>
          <w:sz w:val="34"/>
          <w:szCs w:val="36"/>
        </w:rPr>
        <w:t>Nestea</w:t>
      </w:r>
      <w:r w:rsidR="003631F3" w:rsidRPr="00F52339">
        <w:rPr>
          <w:rFonts w:ascii="CMCSC10" w:hAnsi="CMCSC10"/>
          <w:sz w:val="34"/>
          <w:szCs w:val="36"/>
        </w:rPr>
        <w:t xml:space="preserve">. The country's four divisions continue to promote the selling and distribution of its goods. </w:t>
      </w:r>
    </w:p>
    <w:p w14:paraId="7ECBE641" w14:textId="55831ED3" w:rsidR="00A536C3" w:rsidRPr="00C762BE" w:rsidRDefault="004762C8" w:rsidP="0029215A">
      <w:pPr>
        <w:ind w:firstLine="720"/>
        <w:rPr>
          <w:rFonts w:ascii="CMCSC10" w:hAnsi="CMCSC10"/>
          <w:sz w:val="32"/>
          <w:szCs w:val="32"/>
        </w:rPr>
      </w:pPr>
      <w:r>
        <w:rPr>
          <w:rFonts w:ascii="CMCSC10" w:hAnsi="CMCSC10"/>
          <w:sz w:val="32"/>
          <w:szCs w:val="32"/>
        </w:rPr>
        <w:tab/>
      </w:r>
      <w:r>
        <w:rPr>
          <w:rFonts w:ascii="CMCSC10" w:hAnsi="CMCSC10"/>
          <w:sz w:val="32"/>
          <w:szCs w:val="32"/>
        </w:rPr>
        <w:tab/>
      </w:r>
      <w:r>
        <w:rPr>
          <w:rFonts w:ascii="CMCSC10" w:hAnsi="CMCSC10"/>
          <w:sz w:val="32"/>
          <w:szCs w:val="32"/>
        </w:rPr>
        <w:tab/>
      </w:r>
      <w:r>
        <w:rPr>
          <w:rFonts w:ascii="CMCSC10" w:hAnsi="CMCSC10"/>
          <w:sz w:val="32"/>
          <w:szCs w:val="32"/>
        </w:rPr>
        <w:tab/>
      </w:r>
      <w:r>
        <w:rPr>
          <w:rFonts w:ascii="CMCSC10" w:hAnsi="CMCSC10"/>
          <w:sz w:val="32"/>
          <w:szCs w:val="32"/>
        </w:rPr>
        <w:tab/>
      </w:r>
      <w:r>
        <w:rPr>
          <w:rFonts w:ascii="CMCSC10" w:hAnsi="CMCSC10"/>
          <w:sz w:val="32"/>
          <w:szCs w:val="32"/>
        </w:rPr>
        <w:tab/>
      </w:r>
      <w:r>
        <w:rPr>
          <w:rFonts w:ascii="CMCSC10" w:hAnsi="CMCSC10"/>
          <w:sz w:val="32"/>
          <w:szCs w:val="32"/>
        </w:rPr>
        <w:tab/>
      </w:r>
      <w:r>
        <w:rPr>
          <w:rFonts w:ascii="CMCSC10" w:hAnsi="CMCSC10"/>
          <w:sz w:val="32"/>
          <w:szCs w:val="32"/>
        </w:rPr>
        <w:tab/>
      </w:r>
    </w:p>
    <w:p w14:paraId="3567BA68" w14:textId="2546540E" w:rsidR="006F5A70" w:rsidRPr="00A23BCF" w:rsidRDefault="00763021" w:rsidP="006E07BE">
      <w:pPr>
        <w:rPr>
          <w:rFonts w:ascii="CMCSC10" w:hAnsi="CMCSC10"/>
          <w:color w:val="1C6194" w:themeColor="accent2" w:themeShade="BF"/>
          <w:sz w:val="36"/>
          <w:szCs w:val="36"/>
        </w:rPr>
      </w:pPr>
      <w:r>
        <w:rPr>
          <w:rFonts w:ascii="CMCSC10" w:hAnsi="CMCSC10"/>
          <w:color w:val="1C6194" w:themeColor="accent2" w:themeShade="BF"/>
          <w:sz w:val="36"/>
          <w:szCs w:val="36"/>
        </w:rPr>
        <w:t>1.4.2</w:t>
      </w:r>
      <w:r w:rsidR="00A26A0A" w:rsidRPr="00A23BCF">
        <w:rPr>
          <w:rFonts w:ascii="CMCSC10" w:hAnsi="CMCSC10"/>
          <w:color w:val="1C6194" w:themeColor="accent2" w:themeShade="BF"/>
          <w:sz w:val="36"/>
          <w:szCs w:val="36"/>
        </w:rPr>
        <w:t xml:space="preserve"> </w:t>
      </w:r>
      <w:r w:rsidR="00D36570" w:rsidRPr="00A23BCF">
        <w:rPr>
          <w:rFonts w:ascii="CMCSC10" w:hAnsi="CMCSC10"/>
          <w:color w:val="1C6194" w:themeColor="accent2" w:themeShade="BF"/>
          <w:sz w:val="36"/>
          <w:szCs w:val="36"/>
        </w:rPr>
        <w:t>Relevance and Economic Importance</w:t>
      </w:r>
      <w:r w:rsidR="006E07BE" w:rsidRPr="00A23BCF">
        <w:rPr>
          <w:rFonts w:ascii="CMCSC10" w:hAnsi="CMCSC10"/>
          <w:b/>
          <w:bCs/>
          <w:color w:val="1C6194" w:themeColor="accent2" w:themeShade="BF"/>
          <w:sz w:val="36"/>
          <w:szCs w:val="36"/>
        </w:rPr>
        <w:t>:</w:t>
      </w:r>
    </w:p>
    <w:p w14:paraId="0694F75D" w14:textId="373ADC76" w:rsidR="000F1D32" w:rsidRPr="00F52339" w:rsidRDefault="006F5A70" w:rsidP="008F41DE">
      <w:pPr>
        <w:ind w:firstLine="720"/>
        <w:rPr>
          <w:rFonts w:ascii="CMCSC10" w:hAnsi="CMCSC10"/>
          <w:sz w:val="34"/>
          <w:szCs w:val="36"/>
        </w:rPr>
      </w:pPr>
      <w:r w:rsidRPr="00F52339">
        <w:rPr>
          <w:rFonts w:ascii="CMCSC10" w:hAnsi="CMCSC10"/>
          <w:sz w:val="34"/>
          <w:szCs w:val="36"/>
        </w:rPr>
        <w:t xml:space="preserve">The </w:t>
      </w:r>
      <w:r w:rsidR="00384577" w:rsidRPr="00F52339">
        <w:rPr>
          <w:rFonts w:ascii="CMCSC10" w:hAnsi="CMCSC10"/>
          <w:sz w:val="34"/>
          <w:szCs w:val="36"/>
        </w:rPr>
        <w:t xml:space="preserve">Nestlé </w:t>
      </w:r>
      <w:r w:rsidRPr="00F52339">
        <w:rPr>
          <w:rFonts w:ascii="CMCSC10" w:hAnsi="CMCSC10"/>
          <w:sz w:val="34"/>
          <w:szCs w:val="36"/>
        </w:rPr>
        <w:t xml:space="preserve">organization employs about a quarter of a million workers from seventy different countries from </w:t>
      </w:r>
      <w:r w:rsidR="00447F6B" w:rsidRPr="00F52339">
        <w:rPr>
          <w:rFonts w:ascii="CMCSC10" w:hAnsi="CMCSC10"/>
          <w:sz w:val="34"/>
          <w:szCs w:val="36"/>
        </w:rPr>
        <w:t>all over</w:t>
      </w:r>
      <w:r w:rsidRPr="00F52339">
        <w:rPr>
          <w:rFonts w:ascii="CMCSC10" w:hAnsi="CMCSC10"/>
          <w:sz w:val="34"/>
          <w:szCs w:val="36"/>
        </w:rPr>
        <w:t xml:space="preserve"> the planet.</w:t>
      </w:r>
      <w:r w:rsidR="00447F6B" w:rsidRPr="00F52339">
        <w:rPr>
          <w:rFonts w:ascii="CMCSC10" w:hAnsi="CMCSC10"/>
          <w:sz w:val="34"/>
          <w:szCs w:val="36"/>
        </w:rPr>
        <w:t xml:space="preserve"> </w:t>
      </w:r>
      <w:r w:rsidR="008B7D43" w:rsidRPr="00F52339">
        <w:rPr>
          <w:rFonts w:ascii="CMCSC10" w:hAnsi="CMCSC10"/>
          <w:sz w:val="34"/>
          <w:szCs w:val="36"/>
        </w:rPr>
        <w:t xml:space="preserve">Activities of the Company in India have enabled </w:t>
      </w:r>
      <w:r w:rsidR="008B7D43" w:rsidRPr="00F52339">
        <w:rPr>
          <w:rFonts w:ascii="CMCSC10" w:hAnsi="CMCSC10"/>
          <w:sz w:val="34"/>
          <w:szCs w:val="36"/>
        </w:rPr>
        <w:lastRenderedPageBreak/>
        <w:t xml:space="preserve">direct and indirect jobs and provide livelihood to around one million people </w:t>
      </w:r>
      <w:r w:rsidR="008B7D43" w:rsidRPr="00F52339">
        <w:rPr>
          <w:rFonts w:ascii="CMCSC10" w:hAnsi="CMCSC10"/>
          <w:color w:val="1C6194" w:themeColor="accent2" w:themeShade="BF"/>
          <w:sz w:val="34"/>
          <w:szCs w:val="36"/>
        </w:rPr>
        <w:t>including producers, packaging materials manufacturers, utilities and other products.</w:t>
      </w:r>
      <w:r w:rsidR="008F41DE" w:rsidRPr="00F52339">
        <w:rPr>
          <w:rFonts w:ascii="CMCSC10" w:hAnsi="CMCSC10"/>
          <w:color w:val="1C6194" w:themeColor="accent2" w:themeShade="BF"/>
          <w:sz w:val="34"/>
          <w:szCs w:val="36"/>
        </w:rPr>
        <w:t xml:space="preserve"> </w:t>
      </w:r>
    </w:p>
    <w:p w14:paraId="480D7A86" w14:textId="3435689D" w:rsidR="00BD4EE7" w:rsidRPr="008402D2" w:rsidRDefault="00947A23" w:rsidP="008402D2">
      <w:pPr>
        <w:ind w:firstLine="720"/>
        <w:rPr>
          <w:rFonts w:ascii="CMCSC10" w:hAnsi="CMCSC10"/>
          <w:sz w:val="34"/>
          <w:szCs w:val="36"/>
        </w:rPr>
      </w:pPr>
      <w:r w:rsidRPr="00F52339">
        <w:rPr>
          <w:rFonts w:ascii="CMCSC10" w:hAnsi="CMCSC10"/>
          <w:sz w:val="34"/>
          <w:szCs w:val="36"/>
        </w:rPr>
        <w:t xml:space="preserve">Nestlé’s total income </w:t>
      </w:r>
      <w:r w:rsidR="008F41DE" w:rsidRPr="00F52339">
        <w:rPr>
          <w:rFonts w:ascii="CMCSC10" w:hAnsi="CMCSC10"/>
          <w:sz w:val="34"/>
          <w:szCs w:val="36"/>
        </w:rPr>
        <w:t xml:space="preserve">in India </w:t>
      </w:r>
      <w:r w:rsidRPr="00F52339">
        <w:rPr>
          <w:rFonts w:ascii="CMCSC10" w:hAnsi="CMCSC10"/>
          <w:sz w:val="34"/>
          <w:szCs w:val="36"/>
        </w:rPr>
        <w:t xml:space="preserve">as on December, 2019 was an astounding </w:t>
      </w:r>
      <w:r w:rsidRPr="00F52339">
        <w:rPr>
          <w:rFonts w:ascii="CMCSC10" w:hAnsi="CMCSC10"/>
          <w:color w:val="1C6194" w:themeColor="accent2" w:themeShade="BF"/>
          <w:sz w:val="34"/>
          <w:szCs w:val="36"/>
        </w:rPr>
        <w:t>Rs</w:t>
      </w:r>
      <w:r w:rsidR="009831D9" w:rsidRPr="00F52339">
        <w:rPr>
          <w:rFonts w:ascii="CMCSC10" w:hAnsi="CMCSC10"/>
          <w:color w:val="1C6194" w:themeColor="accent2" w:themeShade="BF"/>
          <w:sz w:val="34"/>
          <w:szCs w:val="36"/>
        </w:rPr>
        <w:t xml:space="preserve"> </w:t>
      </w:r>
      <w:r w:rsidRPr="00F52339">
        <w:rPr>
          <w:rFonts w:ascii="CMCSC10" w:hAnsi="CMCSC10"/>
          <w:color w:val="1C6194" w:themeColor="accent2" w:themeShade="BF"/>
          <w:sz w:val="34"/>
          <w:szCs w:val="36"/>
        </w:rPr>
        <w:t>12,615.78</w:t>
      </w:r>
      <w:r w:rsidR="00632506" w:rsidRPr="00F52339">
        <w:rPr>
          <w:rFonts w:ascii="CMCSC10" w:hAnsi="CMCSC10"/>
          <w:color w:val="1C6194" w:themeColor="accent2" w:themeShade="BF"/>
          <w:sz w:val="34"/>
          <w:szCs w:val="36"/>
        </w:rPr>
        <w:t xml:space="preserve"> </w:t>
      </w:r>
      <w:r w:rsidRPr="00F52339">
        <w:rPr>
          <w:rFonts w:ascii="CMCSC10" w:hAnsi="CMCSC10"/>
          <w:color w:val="1C6194" w:themeColor="accent2" w:themeShade="BF"/>
          <w:sz w:val="34"/>
          <w:szCs w:val="36"/>
        </w:rPr>
        <w:t>Cr</w:t>
      </w:r>
      <w:r w:rsidR="00A523F1" w:rsidRPr="00F52339">
        <w:rPr>
          <w:rFonts w:ascii="CMCSC10" w:hAnsi="CMCSC10"/>
          <w:color w:val="1C6194" w:themeColor="accent2" w:themeShade="BF"/>
          <w:sz w:val="34"/>
          <w:szCs w:val="36"/>
        </w:rPr>
        <w:t xml:space="preserve"> </w:t>
      </w:r>
      <w:r w:rsidR="00A523F1" w:rsidRPr="00F52339">
        <w:rPr>
          <w:rFonts w:ascii="CMCSC10" w:hAnsi="CMCSC10"/>
          <w:sz w:val="34"/>
          <w:szCs w:val="36"/>
        </w:rPr>
        <w:t xml:space="preserve">and their revenue is higher in comparison to other top Food Processing Companies in India like </w:t>
      </w:r>
      <w:proofErr w:type="spellStart"/>
      <w:r w:rsidR="00A523F1" w:rsidRPr="00F52339">
        <w:rPr>
          <w:rFonts w:ascii="CMCSC10" w:hAnsi="CMCSC10"/>
          <w:sz w:val="34"/>
          <w:szCs w:val="36"/>
        </w:rPr>
        <w:t>Parl</w:t>
      </w:r>
      <w:r w:rsidR="000F1D32" w:rsidRPr="00F52339">
        <w:rPr>
          <w:rFonts w:ascii="CMCSC10" w:hAnsi="CMCSC10"/>
          <w:sz w:val="34"/>
          <w:szCs w:val="36"/>
        </w:rPr>
        <w:t>é</w:t>
      </w:r>
      <w:proofErr w:type="spellEnd"/>
      <w:r w:rsidR="00A523F1" w:rsidRPr="00F52339">
        <w:rPr>
          <w:rFonts w:ascii="CMCSC10" w:hAnsi="CMCSC10"/>
          <w:sz w:val="34"/>
          <w:szCs w:val="36"/>
        </w:rPr>
        <w:t xml:space="preserve"> </w:t>
      </w:r>
      <w:proofErr w:type="spellStart"/>
      <w:r w:rsidR="00A523F1" w:rsidRPr="00F52339">
        <w:rPr>
          <w:rFonts w:ascii="CMCSC10" w:hAnsi="CMCSC10"/>
          <w:sz w:val="34"/>
          <w:szCs w:val="36"/>
        </w:rPr>
        <w:t>Agro</w:t>
      </w:r>
      <w:proofErr w:type="spellEnd"/>
      <w:r w:rsidR="00A523F1" w:rsidRPr="00F52339">
        <w:rPr>
          <w:rFonts w:ascii="CMCSC10" w:hAnsi="CMCSC10"/>
          <w:sz w:val="34"/>
          <w:szCs w:val="36"/>
        </w:rPr>
        <w:t xml:space="preserve"> and Britannia Industries.</w:t>
      </w:r>
      <w:r w:rsidR="00026DB2" w:rsidRPr="00F52339">
        <w:rPr>
          <w:rFonts w:ascii="CMCSC10" w:hAnsi="CMCSC10"/>
          <w:sz w:val="34"/>
          <w:szCs w:val="36"/>
        </w:rPr>
        <w:t xml:space="preserve"> Nestlé has a broad variety of items of infant food, cereals for eating, coffee and tea, an array of cakes and much more. In India it has a total of 8 development centr</w:t>
      </w:r>
      <w:r w:rsidR="00F03083" w:rsidRPr="00F52339">
        <w:rPr>
          <w:rFonts w:ascii="CMCSC10" w:hAnsi="CMCSC10"/>
          <w:sz w:val="34"/>
          <w:szCs w:val="36"/>
        </w:rPr>
        <w:t>e</w:t>
      </w:r>
      <w:r w:rsidR="00026DB2" w:rsidRPr="00F52339">
        <w:rPr>
          <w:rFonts w:ascii="CMCSC10" w:hAnsi="CMCSC10"/>
          <w:sz w:val="34"/>
          <w:szCs w:val="36"/>
        </w:rPr>
        <w:t>s and 4 regional offices (Delhi, Mumbai, Chennai, Kolkata).</w:t>
      </w:r>
    </w:p>
    <w:p w14:paraId="32CC40F2" w14:textId="77777777" w:rsidR="004A1A94" w:rsidRPr="004A1A94" w:rsidRDefault="004A1A94" w:rsidP="008402D2">
      <w:pPr>
        <w:rPr>
          <w:sz w:val="36"/>
          <w:szCs w:val="36"/>
        </w:rPr>
      </w:pPr>
    </w:p>
    <w:p w14:paraId="6614343F" w14:textId="1B3AA9F4" w:rsidR="009A03F7" w:rsidRPr="00E063A8" w:rsidRDefault="009A03F7" w:rsidP="009A03F7">
      <w:pPr>
        <w:rPr>
          <w:rFonts w:ascii="CMCSC10" w:hAnsi="CMCSC10"/>
          <w:color w:val="1C6194" w:themeColor="accent2" w:themeShade="BF"/>
          <w:sz w:val="36"/>
          <w:szCs w:val="32"/>
        </w:rPr>
      </w:pPr>
      <w:r w:rsidRPr="00E063A8">
        <w:rPr>
          <w:rFonts w:ascii="CMCSC10" w:hAnsi="CMCSC10"/>
          <w:color w:val="1C6194" w:themeColor="accent2" w:themeShade="BF"/>
          <w:sz w:val="36"/>
          <w:szCs w:val="32"/>
        </w:rPr>
        <w:t>1.</w:t>
      </w:r>
      <w:r w:rsidR="00DB75E2">
        <w:rPr>
          <w:rFonts w:ascii="CMCSC10" w:hAnsi="CMCSC10"/>
          <w:color w:val="1C6194" w:themeColor="accent2" w:themeShade="BF"/>
          <w:sz w:val="36"/>
          <w:szCs w:val="32"/>
        </w:rPr>
        <w:t>5</w:t>
      </w:r>
      <w:r w:rsidR="00DA1D4D">
        <w:rPr>
          <w:rFonts w:ascii="CMCSC10" w:hAnsi="CMCSC10"/>
          <w:color w:val="1C6194" w:themeColor="accent2" w:themeShade="BF"/>
          <w:sz w:val="36"/>
          <w:szCs w:val="32"/>
        </w:rPr>
        <w:t>.1</w:t>
      </w:r>
      <w:r w:rsidRPr="00E063A8">
        <w:rPr>
          <w:rFonts w:ascii="CMCSC10" w:hAnsi="CMCSC10"/>
          <w:color w:val="1C6194" w:themeColor="accent2" w:themeShade="BF"/>
          <w:sz w:val="36"/>
          <w:szCs w:val="32"/>
        </w:rPr>
        <w:t xml:space="preserve"> Greatness of the Company</w:t>
      </w:r>
    </w:p>
    <w:p w14:paraId="302552FE" w14:textId="77777777" w:rsidR="009A03F7" w:rsidRPr="00F52339" w:rsidRDefault="009A03F7" w:rsidP="009A03F7">
      <w:pPr>
        <w:ind w:firstLine="720"/>
        <w:rPr>
          <w:rFonts w:ascii="CMCSC10" w:hAnsi="CMCSC10"/>
          <w:sz w:val="36"/>
          <w:szCs w:val="36"/>
        </w:rPr>
      </w:pPr>
      <w:r w:rsidRPr="00F52339">
        <w:rPr>
          <w:rFonts w:ascii="CMCSC10" w:hAnsi="CMCSC10"/>
          <w:sz w:val="36"/>
          <w:szCs w:val="36"/>
        </w:rPr>
        <w:t xml:space="preserve">Today, Nestlé operates in almost every part of the world. By their own efforts as well as through joint partnerships with companies like Coca-Cola, they have entered an unprecedented global audience, which can be clearly seen through their revenue metrics. They are also a </w:t>
      </w:r>
      <w:r w:rsidRPr="00F52339">
        <w:rPr>
          <w:rFonts w:ascii="CMCSC10" w:hAnsi="CMCSC10"/>
          <w:color w:val="1481AB" w:themeColor="accent1" w:themeShade="BF"/>
          <w:sz w:val="36"/>
          <w:szCs w:val="36"/>
        </w:rPr>
        <w:t xml:space="preserve">Fortune 500 </w:t>
      </w:r>
      <w:r w:rsidRPr="00F52339">
        <w:rPr>
          <w:rFonts w:ascii="CMCSC10" w:hAnsi="CMCSC10"/>
          <w:sz w:val="36"/>
          <w:szCs w:val="36"/>
        </w:rPr>
        <w:t>company, which only adds to their overall greatness.</w:t>
      </w:r>
    </w:p>
    <w:p w14:paraId="22EDA8A7" w14:textId="20BDDDE2" w:rsidR="009A03F7" w:rsidRPr="00F52339" w:rsidRDefault="009A03F7" w:rsidP="009A03F7">
      <w:pPr>
        <w:ind w:firstLine="720"/>
        <w:rPr>
          <w:rFonts w:ascii="CMCSC10" w:hAnsi="CMCSC10"/>
          <w:sz w:val="36"/>
          <w:szCs w:val="36"/>
        </w:rPr>
      </w:pPr>
      <w:r w:rsidRPr="00F52339">
        <w:rPr>
          <w:rFonts w:ascii="CMCSC10" w:hAnsi="CMCSC10"/>
          <w:sz w:val="36"/>
          <w:szCs w:val="36"/>
        </w:rPr>
        <w:t xml:space="preserve">Nescafe was named by CNBC </w:t>
      </w:r>
      <w:proofErr w:type="spellStart"/>
      <w:r w:rsidRPr="00F52339">
        <w:rPr>
          <w:rFonts w:ascii="CMCSC10" w:hAnsi="CMCSC10"/>
          <w:sz w:val="36"/>
          <w:szCs w:val="36"/>
        </w:rPr>
        <w:t>Awaaz</w:t>
      </w:r>
      <w:proofErr w:type="spellEnd"/>
      <w:r w:rsidRPr="00F52339">
        <w:rPr>
          <w:rFonts w:ascii="CMCSC10" w:hAnsi="CMCSC10"/>
          <w:sz w:val="36"/>
          <w:szCs w:val="36"/>
        </w:rPr>
        <w:t xml:space="preserve"> Consumer Awards as the most favo</w:t>
      </w:r>
      <w:r w:rsidR="00D34B25" w:rsidRPr="00F52339">
        <w:rPr>
          <w:rFonts w:ascii="CMCSC10" w:hAnsi="CMCSC10"/>
          <w:sz w:val="36"/>
          <w:szCs w:val="36"/>
        </w:rPr>
        <w:t>u</w:t>
      </w:r>
      <w:r w:rsidRPr="00F52339">
        <w:rPr>
          <w:rFonts w:ascii="CMCSC10" w:hAnsi="CMCSC10"/>
          <w:sz w:val="36"/>
          <w:szCs w:val="36"/>
        </w:rPr>
        <w:t xml:space="preserve">red brand of coffees. Also, Business India has ranked Nestle India among the Super 100 firms as No.1 on Return </w:t>
      </w:r>
      <w:proofErr w:type="gramStart"/>
      <w:r w:rsidRPr="00F52339">
        <w:rPr>
          <w:rFonts w:ascii="CMCSC10" w:hAnsi="CMCSC10"/>
          <w:sz w:val="36"/>
          <w:szCs w:val="36"/>
        </w:rPr>
        <w:t>On</w:t>
      </w:r>
      <w:proofErr w:type="gramEnd"/>
      <w:r w:rsidRPr="00F52339">
        <w:rPr>
          <w:rFonts w:ascii="CMCSC10" w:hAnsi="CMCSC10"/>
          <w:sz w:val="36"/>
          <w:szCs w:val="36"/>
        </w:rPr>
        <w:t xml:space="preserve"> Capital </w:t>
      </w:r>
      <w:r w:rsidR="00487083" w:rsidRPr="00F52339">
        <w:rPr>
          <w:rFonts w:ascii="CMCSC10" w:hAnsi="CMCSC10"/>
          <w:sz w:val="36"/>
          <w:szCs w:val="36"/>
        </w:rPr>
        <w:t>Investment</w:t>
      </w:r>
      <w:r w:rsidRPr="00F52339">
        <w:rPr>
          <w:rFonts w:ascii="CMCSC10" w:hAnsi="CMCSC10"/>
          <w:sz w:val="36"/>
          <w:szCs w:val="36"/>
        </w:rPr>
        <w:t>. Nestl</w:t>
      </w:r>
      <w:r w:rsidRPr="00F52339">
        <w:rPr>
          <w:rFonts w:ascii="CMCSC10" w:hAnsi="CMCSC10" w:hint="eastAsia"/>
          <w:sz w:val="36"/>
          <w:szCs w:val="36"/>
        </w:rPr>
        <w:t>é</w:t>
      </w:r>
      <w:r w:rsidRPr="00F52339">
        <w:rPr>
          <w:rFonts w:ascii="CMCSC10" w:hAnsi="CMCSC10"/>
          <w:sz w:val="36"/>
          <w:szCs w:val="36"/>
        </w:rPr>
        <w:t xml:space="preserve"> is a major player in India and is definitely here to stay.</w:t>
      </w:r>
    </w:p>
    <w:p w14:paraId="4156E806" w14:textId="7FFB29EB" w:rsidR="001D1A0D" w:rsidRDefault="004762C8" w:rsidP="004E2396">
      <w:pPr>
        <w:rPr>
          <w:rFonts w:ascii="CMCSC10" w:hAnsi="CMCSC10"/>
          <w:b/>
          <w:bCs/>
          <w:color w:val="1481AB" w:themeColor="accent1" w:themeShade="BF"/>
          <w:sz w:val="36"/>
          <w:szCs w:val="36"/>
        </w:rPr>
      </w:pPr>
      <w:r w:rsidRPr="00F52339">
        <w:rPr>
          <w:rFonts w:ascii="CMCSC10" w:hAnsi="CMCSC10"/>
          <w:b/>
          <w:bCs/>
          <w:color w:val="1481AB" w:themeColor="accent1" w:themeShade="BF"/>
          <w:sz w:val="36"/>
          <w:szCs w:val="36"/>
        </w:rPr>
        <w:tab/>
      </w:r>
      <w:r w:rsidRPr="00F52339">
        <w:rPr>
          <w:rFonts w:ascii="CMCSC10" w:hAnsi="CMCSC10"/>
          <w:b/>
          <w:bCs/>
          <w:color w:val="1481AB" w:themeColor="accent1" w:themeShade="BF"/>
          <w:sz w:val="36"/>
          <w:szCs w:val="36"/>
        </w:rPr>
        <w:tab/>
      </w:r>
      <w:r w:rsidRPr="00F52339">
        <w:rPr>
          <w:rFonts w:ascii="CMCSC10" w:hAnsi="CMCSC10"/>
          <w:b/>
          <w:bCs/>
          <w:color w:val="1481AB" w:themeColor="accent1" w:themeShade="BF"/>
          <w:sz w:val="36"/>
          <w:szCs w:val="36"/>
        </w:rPr>
        <w:tab/>
      </w:r>
      <w:r w:rsidRPr="00F52339">
        <w:rPr>
          <w:rFonts w:ascii="CMCSC10" w:hAnsi="CMCSC10"/>
          <w:b/>
          <w:bCs/>
          <w:color w:val="1481AB" w:themeColor="accent1" w:themeShade="BF"/>
          <w:sz w:val="36"/>
          <w:szCs w:val="36"/>
        </w:rPr>
        <w:tab/>
      </w:r>
      <w:r w:rsidRPr="00F52339">
        <w:rPr>
          <w:rFonts w:ascii="CMCSC10" w:hAnsi="CMCSC10"/>
          <w:b/>
          <w:bCs/>
          <w:color w:val="1481AB" w:themeColor="accent1" w:themeShade="BF"/>
          <w:sz w:val="36"/>
          <w:szCs w:val="36"/>
        </w:rPr>
        <w:tab/>
      </w:r>
      <w:r>
        <w:rPr>
          <w:rFonts w:ascii="CMCSC10" w:hAnsi="CMCSC10"/>
          <w:b/>
          <w:bCs/>
          <w:color w:val="1481AB" w:themeColor="accent1" w:themeShade="BF"/>
          <w:sz w:val="40"/>
          <w:szCs w:val="40"/>
        </w:rPr>
        <w:tab/>
      </w:r>
      <w:r>
        <w:rPr>
          <w:rFonts w:ascii="CMCSC10" w:hAnsi="CMCSC10"/>
          <w:b/>
          <w:bCs/>
          <w:color w:val="1481AB" w:themeColor="accent1" w:themeShade="BF"/>
          <w:sz w:val="40"/>
          <w:szCs w:val="40"/>
        </w:rPr>
        <w:tab/>
      </w:r>
      <w:r>
        <w:rPr>
          <w:rFonts w:ascii="CMCSC10" w:hAnsi="CMCSC10"/>
          <w:b/>
          <w:bCs/>
          <w:color w:val="1481AB" w:themeColor="accent1" w:themeShade="BF"/>
          <w:sz w:val="40"/>
          <w:szCs w:val="40"/>
        </w:rPr>
        <w:tab/>
      </w:r>
      <w:sdt>
        <w:sdtPr>
          <w:rPr>
            <w:rFonts w:ascii="CMCSC10" w:hAnsi="CMCSC10"/>
            <w:b/>
            <w:bCs/>
            <w:color w:val="1481AB" w:themeColor="accent1" w:themeShade="BF"/>
            <w:sz w:val="36"/>
            <w:szCs w:val="36"/>
          </w:rPr>
          <w:id w:val="-82530779"/>
          <w:citation/>
        </w:sdtPr>
        <w:sdtContent>
          <w:r w:rsidR="00F52339" w:rsidRPr="00F52339">
            <w:rPr>
              <w:rFonts w:ascii="CMCSC10" w:hAnsi="CMCSC10"/>
              <w:b/>
              <w:bCs/>
              <w:color w:val="1481AB" w:themeColor="accent1" w:themeShade="BF"/>
              <w:sz w:val="36"/>
              <w:szCs w:val="36"/>
            </w:rPr>
            <w:fldChar w:fldCharType="begin"/>
          </w:r>
          <w:r w:rsidR="00F52339" w:rsidRPr="00F52339">
            <w:rPr>
              <w:rFonts w:ascii="CMCSC10" w:hAnsi="CMCSC10"/>
              <w:b/>
              <w:bCs/>
              <w:color w:val="1481AB" w:themeColor="accent1" w:themeShade="BF"/>
              <w:sz w:val="36"/>
              <w:szCs w:val="36"/>
            </w:rPr>
            <w:instrText xml:space="preserve"> CITATION Sub \l 16393 </w:instrText>
          </w:r>
          <w:r w:rsidR="00F52339" w:rsidRPr="00F52339">
            <w:rPr>
              <w:rFonts w:ascii="CMCSC10" w:hAnsi="CMCSC10"/>
              <w:b/>
              <w:bCs/>
              <w:color w:val="1481AB" w:themeColor="accent1" w:themeShade="BF"/>
              <w:sz w:val="36"/>
              <w:szCs w:val="36"/>
            </w:rPr>
            <w:fldChar w:fldCharType="separate"/>
          </w:r>
          <w:r w:rsidR="00F52339" w:rsidRPr="00F52339">
            <w:rPr>
              <w:rFonts w:ascii="CMCSC10" w:hAnsi="CMCSC10"/>
              <w:noProof/>
              <w:color w:val="1481AB" w:themeColor="accent1" w:themeShade="BF"/>
              <w:sz w:val="36"/>
              <w:szCs w:val="36"/>
            </w:rPr>
            <w:t>(Subjecto, n.d.)</w:t>
          </w:r>
          <w:r w:rsidR="00F52339" w:rsidRPr="00F52339">
            <w:rPr>
              <w:rFonts w:ascii="CMCSC10" w:hAnsi="CMCSC10"/>
              <w:b/>
              <w:bCs/>
              <w:color w:val="1481AB" w:themeColor="accent1" w:themeShade="BF"/>
              <w:sz w:val="36"/>
              <w:szCs w:val="36"/>
            </w:rPr>
            <w:fldChar w:fldCharType="end"/>
          </w:r>
        </w:sdtContent>
      </w:sdt>
    </w:p>
    <w:p w14:paraId="2B350E53" w14:textId="77777777" w:rsidR="008402D2" w:rsidRDefault="008402D2" w:rsidP="008402D2">
      <w:pPr>
        <w:rPr>
          <w:rFonts w:ascii="CMCSC10" w:hAnsi="CMCSC10"/>
          <w:color w:val="1481AB" w:themeColor="accent1" w:themeShade="BF"/>
          <w:sz w:val="36"/>
          <w:szCs w:val="36"/>
        </w:rPr>
      </w:pPr>
    </w:p>
    <w:p w14:paraId="3AC9AC64" w14:textId="77777777" w:rsidR="008402D2" w:rsidRDefault="008402D2" w:rsidP="008402D2">
      <w:pPr>
        <w:rPr>
          <w:rFonts w:ascii="CMCSC10" w:hAnsi="CMCSC10"/>
          <w:color w:val="1481AB" w:themeColor="accent1" w:themeShade="BF"/>
          <w:sz w:val="36"/>
          <w:szCs w:val="36"/>
        </w:rPr>
      </w:pPr>
    </w:p>
    <w:p w14:paraId="262ECF38" w14:textId="2D734924" w:rsidR="008402D2" w:rsidRPr="009A03F7" w:rsidRDefault="008402D2" w:rsidP="008402D2">
      <w:pPr>
        <w:rPr>
          <w:rFonts w:ascii="CMCSC10" w:hAnsi="CMCSC10"/>
          <w:sz w:val="36"/>
          <w:szCs w:val="36"/>
        </w:rPr>
      </w:pPr>
      <w:r w:rsidRPr="009A03F7">
        <w:rPr>
          <w:rFonts w:ascii="CMCSC10" w:hAnsi="CMCSC10"/>
          <w:color w:val="1481AB" w:themeColor="accent1" w:themeShade="BF"/>
          <w:sz w:val="36"/>
          <w:szCs w:val="36"/>
        </w:rPr>
        <w:lastRenderedPageBreak/>
        <w:t>1.</w:t>
      </w:r>
      <w:r>
        <w:rPr>
          <w:rFonts w:ascii="CMCSC10" w:hAnsi="CMCSC10"/>
          <w:color w:val="1481AB" w:themeColor="accent1" w:themeShade="BF"/>
          <w:sz w:val="36"/>
          <w:szCs w:val="36"/>
        </w:rPr>
        <w:t>4.3</w:t>
      </w:r>
      <w:r w:rsidRPr="009A03F7">
        <w:rPr>
          <w:rFonts w:ascii="CMCSC10" w:hAnsi="CMCSC10"/>
          <w:color w:val="1481AB" w:themeColor="accent1" w:themeShade="BF"/>
          <w:sz w:val="36"/>
          <w:szCs w:val="36"/>
        </w:rPr>
        <w:t xml:space="preserve"> Corporate Social Responsibility:</w:t>
      </w:r>
    </w:p>
    <w:p w14:paraId="6CD06AD0" w14:textId="77777777" w:rsidR="008402D2" w:rsidRPr="00F52339" w:rsidRDefault="008402D2" w:rsidP="008402D2">
      <w:pPr>
        <w:ind w:firstLine="720"/>
        <w:rPr>
          <w:rFonts w:ascii="CMCSC10" w:hAnsi="CMCSC10"/>
          <w:sz w:val="36"/>
          <w:szCs w:val="36"/>
        </w:rPr>
      </w:pPr>
      <w:r w:rsidRPr="00F52339">
        <w:rPr>
          <w:rFonts w:ascii="CMCSC10" w:hAnsi="CMCSC10"/>
          <w:sz w:val="36"/>
          <w:szCs w:val="36"/>
        </w:rPr>
        <w:t xml:space="preserve">Not only is Nestlé one of the top Food Processing Companies in India but also the forerunners in CSR Initiatives. For example, in the financial year 2017-18, Nestle India invested </w:t>
      </w:r>
      <w:r w:rsidRPr="00F52339">
        <w:rPr>
          <w:rFonts w:ascii="CMCSC10" w:hAnsi="CMCSC10"/>
          <w:b/>
          <w:bCs/>
          <w:color w:val="1481AB" w:themeColor="accent1" w:themeShade="BF"/>
          <w:sz w:val="36"/>
          <w:szCs w:val="36"/>
        </w:rPr>
        <w:t xml:space="preserve">more than the required 2% </w:t>
      </w:r>
      <w:r w:rsidRPr="00F52339">
        <w:rPr>
          <w:rFonts w:ascii="CMCSC10" w:hAnsi="CMCSC10"/>
          <w:sz w:val="36"/>
          <w:szCs w:val="36"/>
        </w:rPr>
        <w:t>on CSR initiatives. Here is a basic overview of their CSR Programmes:</w:t>
      </w:r>
    </w:p>
    <w:p w14:paraId="129E94BE" w14:textId="77777777" w:rsidR="008402D2" w:rsidRPr="00F52339" w:rsidRDefault="008402D2" w:rsidP="008402D2">
      <w:pPr>
        <w:pStyle w:val="ListParagraph"/>
        <w:numPr>
          <w:ilvl w:val="0"/>
          <w:numId w:val="4"/>
        </w:numPr>
        <w:rPr>
          <w:rFonts w:ascii="CMCSC10" w:hAnsi="CMCSC10"/>
          <w:color w:val="1C6194" w:themeColor="accent2" w:themeShade="BF"/>
          <w:sz w:val="36"/>
          <w:szCs w:val="36"/>
        </w:rPr>
      </w:pPr>
      <w:r w:rsidRPr="00F52339">
        <w:rPr>
          <w:rFonts w:ascii="CMCSC10" w:hAnsi="CMCSC10"/>
          <w:color w:val="1C6194" w:themeColor="accent2" w:themeShade="BF"/>
          <w:sz w:val="36"/>
          <w:szCs w:val="36"/>
        </w:rPr>
        <w:t>Nestlé Healthy Kids Programme.</w:t>
      </w:r>
    </w:p>
    <w:p w14:paraId="68BCF524" w14:textId="77777777" w:rsidR="008402D2" w:rsidRPr="00F52339" w:rsidRDefault="008402D2" w:rsidP="008402D2">
      <w:pPr>
        <w:pStyle w:val="ListParagraph"/>
        <w:numPr>
          <w:ilvl w:val="0"/>
          <w:numId w:val="4"/>
        </w:numPr>
        <w:rPr>
          <w:rFonts w:ascii="CMCSC10" w:hAnsi="CMCSC10"/>
          <w:color w:val="1C6194" w:themeColor="accent2" w:themeShade="BF"/>
          <w:sz w:val="36"/>
          <w:szCs w:val="36"/>
        </w:rPr>
      </w:pPr>
      <w:r w:rsidRPr="00F52339">
        <w:rPr>
          <w:rFonts w:ascii="CMCSC10" w:hAnsi="CMCSC10"/>
          <w:color w:val="1C6194" w:themeColor="accent2" w:themeShade="BF"/>
          <w:sz w:val="36"/>
          <w:szCs w:val="36"/>
        </w:rPr>
        <w:t xml:space="preserve">Project </w:t>
      </w:r>
      <w:proofErr w:type="spellStart"/>
      <w:r w:rsidRPr="00F52339">
        <w:rPr>
          <w:rFonts w:ascii="CMCSC10" w:hAnsi="CMCSC10"/>
          <w:color w:val="1C6194" w:themeColor="accent2" w:themeShade="BF"/>
          <w:sz w:val="36"/>
          <w:szCs w:val="36"/>
        </w:rPr>
        <w:t>Jagriti</w:t>
      </w:r>
      <w:proofErr w:type="spellEnd"/>
      <w:r w:rsidRPr="00F52339">
        <w:rPr>
          <w:rFonts w:ascii="CMCSC10" w:hAnsi="CMCSC10"/>
          <w:color w:val="1C6194" w:themeColor="accent2" w:themeShade="BF"/>
          <w:sz w:val="36"/>
          <w:szCs w:val="36"/>
        </w:rPr>
        <w:t>.</w:t>
      </w:r>
    </w:p>
    <w:p w14:paraId="34156828" w14:textId="77777777" w:rsidR="008402D2" w:rsidRPr="00F52339" w:rsidRDefault="008402D2" w:rsidP="008402D2">
      <w:pPr>
        <w:pStyle w:val="ListParagraph"/>
        <w:numPr>
          <w:ilvl w:val="0"/>
          <w:numId w:val="4"/>
        </w:numPr>
        <w:rPr>
          <w:rFonts w:ascii="CMCSC10" w:hAnsi="CMCSC10"/>
          <w:color w:val="1C6194" w:themeColor="accent2" w:themeShade="BF"/>
          <w:sz w:val="36"/>
          <w:szCs w:val="36"/>
        </w:rPr>
      </w:pPr>
      <w:r w:rsidRPr="00F52339">
        <w:rPr>
          <w:rFonts w:ascii="CMCSC10" w:hAnsi="CMCSC10"/>
          <w:color w:val="1C6194" w:themeColor="accent2" w:themeShade="BF"/>
          <w:sz w:val="36"/>
          <w:szCs w:val="36"/>
        </w:rPr>
        <w:t>Clean Drinking Water Projects</w:t>
      </w:r>
    </w:p>
    <w:p w14:paraId="34498699" w14:textId="77777777" w:rsidR="008402D2" w:rsidRPr="00F52339" w:rsidRDefault="008402D2" w:rsidP="008402D2">
      <w:pPr>
        <w:pStyle w:val="ListParagraph"/>
        <w:numPr>
          <w:ilvl w:val="0"/>
          <w:numId w:val="4"/>
        </w:numPr>
        <w:rPr>
          <w:rFonts w:ascii="CMCSC10" w:hAnsi="CMCSC10"/>
          <w:color w:val="1C6194" w:themeColor="accent2" w:themeShade="BF"/>
          <w:sz w:val="36"/>
          <w:szCs w:val="36"/>
        </w:rPr>
      </w:pPr>
      <w:r w:rsidRPr="00F52339">
        <w:rPr>
          <w:rFonts w:ascii="CMCSC10" w:hAnsi="CMCSC10"/>
          <w:color w:val="1C6194" w:themeColor="accent2" w:themeShade="BF"/>
          <w:sz w:val="36"/>
          <w:szCs w:val="36"/>
        </w:rPr>
        <w:t>Project Serve Safe Food etc.</w:t>
      </w:r>
      <w:r w:rsidRPr="00F52339">
        <w:rPr>
          <w:rFonts w:ascii="CMCSC10" w:hAnsi="CMCSC10"/>
          <w:color w:val="1C6194" w:themeColor="accent2" w:themeShade="BF"/>
          <w:sz w:val="36"/>
          <w:szCs w:val="36"/>
        </w:rPr>
        <w:tab/>
      </w:r>
      <w:r w:rsidRPr="00F52339">
        <w:rPr>
          <w:rFonts w:ascii="CMCSC10" w:hAnsi="CMCSC10"/>
          <w:color w:val="1C6194" w:themeColor="accent2" w:themeShade="BF"/>
          <w:sz w:val="36"/>
          <w:szCs w:val="36"/>
        </w:rPr>
        <w:tab/>
      </w:r>
      <w:r w:rsidRPr="00F52339">
        <w:rPr>
          <w:rFonts w:ascii="CMCSC10" w:hAnsi="CMCSC10"/>
          <w:color w:val="1C6194" w:themeColor="accent2" w:themeShade="BF"/>
          <w:sz w:val="36"/>
          <w:szCs w:val="36"/>
        </w:rPr>
        <w:tab/>
      </w:r>
      <w:r w:rsidRPr="00F52339">
        <w:rPr>
          <w:rFonts w:ascii="CMCSC10" w:hAnsi="CMCSC10"/>
          <w:color w:val="1C6194" w:themeColor="accent2" w:themeShade="BF"/>
          <w:sz w:val="36"/>
          <w:szCs w:val="36"/>
        </w:rPr>
        <w:tab/>
      </w:r>
    </w:p>
    <w:p w14:paraId="03BD5AAD" w14:textId="77777777" w:rsidR="008402D2" w:rsidRPr="00F52339" w:rsidRDefault="008402D2" w:rsidP="008402D2">
      <w:pPr>
        <w:pStyle w:val="ListParagraph"/>
        <w:ind w:left="5040" w:firstLine="720"/>
        <w:rPr>
          <w:sz w:val="36"/>
          <w:szCs w:val="36"/>
        </w:rPr>
      </w:pPr>
    </w:p>
    <w:p w14:paraId="124C5014" w14:textId="77777777" w:rsidR="008402D2" w:rsidRPr="00F52339" w:rsidRDefault="008402D2" w:rsidP="008402D2">
      <w:pPr>
        <w:pStyle w:val="ListParagraph"/>
        <w:ind w:left="5040"/>
        <w:rPr>
          <w:rFonts w:ascii="CMCSC10" w:hAnsi="CMCSC10"/>
          <w:color w:val="1C6194" w:themeColor="accent2" w:themeShade="BF"/>
          <w:sz w:val="36"/>
          <w:szCs w:val="36"/>
        </w:rPr>
      </w:pPr>
      <w:sdt>
        <w:sdtPr>
          <w:rPr>
            <w:sz w:val="36"/>
            <w:szCs w:val="36"/>
          </w:rPr>
          <w:id w:val="-1947063253"/>
          <w:citation/>
        </w:sdtPr>
        <w:sdtContent>
          <w:r w:rsidRPr="00F52339">
            <w:rPr>
              <w:rFonts w:ascii="CMCSC10" w:hAnsi="CMCSC10"/>
              <w:color w:val="1C6194" w:themeColor="accent2" w:themeShade="BF"/>
              <w:sz w:val="36"/>
              <w:szCs w:val="36"/>
            </w:rPr>
            <w:fldChar w:fldCharType="begin"/>
          </w:r>
          <w:r w:rsidRPr="00F52339">
            <w:rPr>
              <w:rFonts w:ascii="CMCSC10" w:hAnsi="CMCSC10"/>
              <w:color w:val="1C6194" w:themeColor="accent2" w:themeShade="BF"/>
              <w:sz w:val="36"/>
              <w:szCs w:val="36"/>
            </w:rPr>
            <w:instrText xml:space="preserve"> CITATION The18 \l 16393 </w:instrText>
          </w:r>
          <w:r w:rsidRPr="00F52339">
            <w:rPr>
              <w:rFonts w:ascii="CMCSC10" w:hAnsi="CMCSC10"/>
              <w:color w:val="1C6194" w:themeColor="accent2" w:themeShade="BF"/>
              <w:sz w:val="36"/>
              <w:szCs w:val="36"/>
            </w:rPr>
            <w:fldChar w:fldCharType="separate"/>
          </w:r>
          <w:r w:rsidRPr="00F52339">
            <w:rPr>
              <w:rFonts w:ascii="CMCSC10" w:hAnsi="CMCSC10"/>
              <w:noProof/>
              <w:color w:val="1C6194" w:themeColor="accent2" w:themeShade="BF"/>
              <w:sz w:val="36"/>
              <w:szCs w:val="36"/>
            </w:rPr>
            <w:t>(The CSR Journal, 2018)</w:t>
          </w:r>
          <w:r w:rsidRPr="00F52339">
            <w:rPr>
              <w:rFonts w:ascii="CMCSC10" w:hAnsi="CMCSC10"/>
              <w:color w:val="1C6194" w:themeColor="accent2" w:themeShade="BF"/>
              <w:sz w:val="36"/>
              <w:szCs w:val="36"/>
            </w:rPr>
            <w:fldChar w:fldCharType="end"/>
          </w:r>
        </w:sdtContent>
      </w:sdt>
    </w:p>
    <w:p w14:paraId="64FC512B" w14:textId="77777777" w:rsidR="00033926" w:rsidRDefault="00033926" w:rsidP="004E2396">
      <w:pPr>
        <w:rPr>
          <w:rFonts w:ascii="CMCSC10" w:hAnsi="CMCSC10"/>
          <w:b/>
          <w:bCs/>
          <w:color w:val="1481AB" w:themeColor="accent1" w:themeShade="BF"/>
          <w:sz w:val="40"/>
          <w:szCs w:val="40"/>
        </w:rPr>
      </w:pPr>
    </w:p>
    <w:p w14:paraId="63358A8A" w14:textId="33692D51" w:rsidR="004E2396" w:rsidRDefault="004E2396" w:rsidP="004E2396">
      <w:pPr>
        <w:rPr>
          <w:rFonts w:ascii="CMCSC10" w:hAnsi="CMCSC10"/>
          <w:sz w:val="40"/>
          <w:szCs w:val="40"/>
        </w:rPr>
      </w:pPr>
      <w:r>
        <w:rPr>
          <w:rFonts w:ascii="CMCSC10" w:hAnsi="CMCSC10"/>
          <w:b/>
          <w:bCs/>
          <w:color w:val="1481AB" w:themeColor="accent1" w:themeShade="BF"/>
          <w:sz w:val="40"/>
          <w:szCs w:val="40"/>
        </w:rPr>
        <w:t>2 Underlying Stock Returns</w:t>
      </w:r>
      <w:r w:rsidRPr="008554BE">
        <w:rPr>
          <w:rFonts w:ascii="CMCSC10" w:hAnsi="CMCSC10"/>
          <w:b/>
          <w:bCs/>
          <w:color w:val="1481AB" w:themeColor="accent1" w:themeShade="BF"/>
          <w:sz w:val="40"/>
          <w:szCs w:val="40"/>
        </w:rPr>
        <w:t>:</w:t>
      </w:r>
      <w:r w:rsidRPr="008554BE">
        <w:rPr>
          <w:rFonts w:ascii="CMCSC10" w:hAnsi="CMCSC10"/>
          <w:sz w:val="40"/>
          <w:szCs w:val="40"/>
        </w:rPr>
        <w:t xml:space="preserve"> </w:t>
      </w:r>
    </w:p>
    <w:p w14:paraId="4BE22ED1" w14:textId="4DBC039F" w:rsidR="00B841AB" w:rsidRPr="00256A52" w:rsidRDefault="00A157D8" w:rsidP="007F609D">
      <w:pPr>
        <w:ind w:firstLine="720"/>
        <w:rPr>
          <w:rFonts w:ascii="CMCSC10" w:hAnsi="CMCSC10"/>
          <w:sz w:val="36"/>
          <w:szCs w:val="36"/>
        </w:rPr>
      </w:pPr>
      <w:r w:rsidRPr="00256A52">
        <w:rPr>
          <w:rFonts w:ascii="CMCSC10" w:hAnsi="CMCSC10"/>
          <w:sz w:val="36"/>
          <w:szCs w:val="36"/>
        </w:rPr>
        <w:t>It is evident from the following table that</w:t>
      </w:r>
      <w:r w:rsidR="00F94F08">
        <w:rPr>
          <w:rFonts w:ascii="CMCSC10" w:hAnsi="CMCSC10"/>
          <w:sz w:val="36"/>
          <w:szCs w:val="36"/>
        </w:rPr>
        <w:t xml:space="preserve"> mean</w:t>
      </w:r>
      <w:r w:rsidRPr="00256A52">
        <w:rPr>
          <w:rFonts w:ascii="CMCSC10" w:hAnsi="CMCSC10"/>
          <w:sz w:val="36"/>
          <w:szCs w:val="36"/>
        </w:rPr>
        <w:t xml:space="preserve"> returns are higher for </w:t>
      </w:r>
      <w:r w:rsidR="00F94F08">
        <w:rPr>
          <w:rFonts w:ascii="CMCSC10" w:hAnsi="CMCSC10"/>
          <w:sz w:val="36"/>
          <w:szCs w:val="36"/>
        </w:rPr>
        <w:t>m</w:t>
      </w:r>
      <w:r w:rsidRPr="00256A52">
        <w:rPr>
          <w:rFonts w:ascii="CMCSC10" w:hAnsi="CMCSC10"/>
          <w:sz w:val="36"/>
          <w:szCs w:val="36"/>
        </w:rPr>
        <w:t>onthly Frequency in comparison to the Weekly and Daily data.</w:t>
      </w:r>
      <w:r w:rsidR="004733E3" w:rsidRPr="00256A52">
        <w:rPr>
          <w:rFonts w:ascii="CMCSC10" w:hAnsi="CMCSC10"/>
          <w:sz w:val="36"/>
          <w:szCs w:val="36"/>
        </w:rPr>
        <w:t xml:space="preserve"> Moreover, Daily Returns account for </w:t>
      </w:r>
      <w:r w:rsidR="0054465E" w:rsidRPr="00256A52">
        <w:rPr>
          <w:rFonts w:ascii="CMCSC10" w:hAnsi="CMCSC10"/>
          <w:sz w:val="36"/>
          <w:szCs w:val="36"/>
        </w:rPr>
        <w:t>6</w:t>
      </w:r>
      <w:r w:rsidR="00FC50F5">
        <w:rPr>
          <w:rFonts w:ascii="CMCSC10" w:hAnsi="CMCSC10"/>
          <w:sz w:val="36"/>
          <w:szCs w:val="36"/>
        </w:rPr>
        <w:t>5.7</w:t>
      </w:r>
      <w:r w:rsidR="004733E3" w:rsidRPr="00256A52">
        <w:rPr>
          <w:rFonts w:ascii="CMCSC10" w:hAnsi="CMCSC10"/>
          <w:sz w:val="36"/>
          <w:szCs w:val="36"/>
        </w:rPr>
        <w:t>% per annum. Similarly, Weekly and Monthly Returns account for 4</w:t>
      </w:r>
      <w:r w:rsidR="00FC50F5">
        <w:rPr>
          <w:rFonts w:ascii="CMCSC10" w:hAnsi="CMCSC10"/>
          <w:sz w:val="36"/>
          <w:szCs w:val="36"/>
        </w:rPr>
        <w:t>2.69</w:t>
      </w:r>
      <w:r w:rsidR="004733E3" w:rsidRPr="00256A52">
        <w:rPr>
          <w:rFonts w:ascii="CMCSC10" w:hAnsi="CMCSC10"/>
          <w:sz w:val="36"/>
          <w:szCs w:val="36"/>
        </w:rPr>
        <w:t xml:space="preserve">% and </w:t>
      </w:r>
      <w:r w:rsidR="00D02FB4" w:rsidRPr="00256A52">
        <w:rPr>
          <w:rFonts w:ascii="CMCSC10" w:hAnsi="CMCSC10"/>
          <w:sz w:val="36"/>
          <w:szCs w:val="36"/>
        </w:rPr>
        <w:t>4</w:t>
      </w:r>
      <w:r w:rsidR="00FC50F5">
        <w:rPr>
          <w:rFonts w:ascii="CMCSC10" w:hAnsi="CMCSC10"/>
          <w:sz w:val="36"/>
          <w:szCs w:val="36"/>
        </w:rPr>
        <w:t>5.52</w:t>
      </w:r>
      <w:r w:rsidR="004733E3" w:rsidRPr="00256A52">
        <w:rPr>
          <w:rFonts w:ascii="CMCSC10" w:hAnsi="CMCSC10"/>
          <w:sz w:val="36"/>
          <w:szCs w:val="36"/>
        </w:rPr>
        <w:t xml:space="preserve">% respectively.  </w:t>
      </w:r>
      <w:r w:rsidR="00970AED" w:rsidRPr="00256A52">
        <w:rPr>
          <w:rFonts w:ascii="CMCSC10" w:hAnsi="CMCSC10"/>
          <w:sz w:val="36"/>
          <w:szCs w:val="36"/>
        </w:rPr>
        <w:t xml:space="preserve">Hence, comparing return/risk ratio for daily, monthly and weekly frequencies of risk unadjusted returns, </w:t>
      </w:r>
      <w:r w:rsidR="00970AED" w:rsidRPr="00256A52">
        <w:rPr>
          <w:rFonts w:ascii="CMCSC10" w:hAnsi="CMCSC10"/>
          <w:b/>
          <w:bCs/>
          <w:color w:val="1481AB" w:themeColor="accent1" w:themeShade="BF"/>
          <w:sz w:val="36"/>
          <w:szCs w:val="36"/>
        </w:rPr>
        <w:t>Daily frequency has highest reward/risk ratio</w:t>
      </w:r>
      <w:r w:rsidR="00970AED" w:rsidRPr="00256A52">
        <w:rPr>
          <w:rFonts w:ascii="CMCSC10" w:hAnsi="CMCSC10"/>
          <w:sz w:val="36"/>
          <w:szCs w:val="36"/>
        </w:rPr>
        <w:t xml:space="preserve"> of 36.</w:t>
      </w:r>
      <w:r w:rsidR="00FC50F5">
        <w:rPr>
          <w:rFonts w:ascii="CMCSC10" w:hAnsi="CMCSC10"/>
          <w:sz w:val="36"/>
          <w:szCs w:val="36"/>
        </w:rPr>
        <w:t>5, followed by Weekly (12.34) Monthly (11.26) frequencies</w:t>
      </w:r>
      <w:r w:rsidR="00970AED" w:rsidRPr="00256A52">
        <w:rPr>
          <w:rFonts w:ascii="CMCSC10" w:hAnsi="CMCSC10"/>
          <w:sz w:val="36"/>
          <w:szCs w:val="36"/>
        </w:rPr>
        <w:t>.</w:t>
      </w:r>
      <w:r w:rsidR="00B2438C">
        <w:rPr>
          <w:rFonts w:ascii="CMCSC10" w:hAnsi="CMCSC10"/>
          <w:sz w:val="36"/>
          <w:szCs w:val="36"/>
        </w:rPr>
        <w:t xml:space="preserve"> This implies that investing on a daily frequency will pose </w:t>
      </w:r>
      <w:r w:rsidR="00B2438C" w:rsidRPr="00B2438C">
        <w:rPr>
          <w:rFonts w:ascii="CMCSC10" w:hAnsi="CMCSC10"/>
          <w:color w:val="1C6194" w:themeColor="accent2" w:themeShade="BF"/>
          <w:sz w:val="36"/>
          <w:szCs w:val="36"/>
        </w:rPr>
        <w:t xml:space="preserve">lesser risk for </w:t>
      </w:r>
      <w:r w:rsidR="00B2438C" w:rsidRPr="00322E5F">
        <w:rPr>
          <w:rFonts w:ascii="CMCSC10" w:hAnsi="CMCSC10"/>
          <w:color w:val="1C6194" w:themeColor="accent2" w:themeShade="BF"/>
          <w:sz w:val="36"/>
          <w:szCs w:val="36"/>
        </w:rPr>
        <w:t>the same returns</w:t>
      </w:r>
      <w:r w:rsidR="00B2438C">
        <w:rPr>
          <w:rFonts w:ascii="CMCSC10" w:hAnsi="CMCSC10"/>
          <w:sz w:val="36"/>
          <w:szCs w:val="36"/>
        </w:rPr>
        <w:t>.</w:t>
      </w:r>
    </w:p>
    <w:tbl>
      <w:tblPr>
        <w:tblStyle w:val="TableGrid"/>
        <w:tblW w:w="9588" w:type="dxa"/>
        <w:tblInd w:w="-5" w:type="dxa"/>
        <w:tblLook w:val="04A0" w:firstRow="1" w:lastRow="0" w:firstColumn="1" w:lastColumn="0" w:noHBand="0" w:noVBand="1"/>
      </w:tblPr>
      <w:tblGrid>
        <w:gridCol w:w="2826"/>
        <w:gridCol w:w="2254"/>
        <w:gridCol w:w="2254"/>
        <w:gridCol w:w="2254"/>
      </w:tblGrid>
      <w:tr w:rsidR="00452334" w:rsidRPr="00452334" w14:paraId="28965C61" w14:textId="77777777" w:rsidTr="00452334">
        <w:tc>
          <w:tcPr>
            <w:tcW w:w="2826" w:type="dxa"/>
          </w:tcPr>
          <w:p w14:paraId="60A88513" w14:textId="77777777" w:rsidR="00EC1A5E" w:rsidRPr="00F510E5" w:rsidRDefault="00EC1A5E" w:rsidP="00393CE2">
            <w:pPr>
              <w:rPr>
                <w:color w:val="1C6194" w:themeColor="accent2" w:themeShade="BF"/>
                <w:sz w:val="36"/>
                <w:szCs w:val="36"/>
              </w:rPr>
            </w:pPr>
          </w:p>
        </w:tc>
        <w:tc>
          <w:tcPr>
            <w:tcW w:w="2254" w:type="dxa"/>
          </w:tcPr>
          <w:p w14:paraId="3C062097" w14:textId="1385608C" w:rsidR="00EC1A5E" w:rsidRPr="00F510E5" w:rsidRDefault="00EC1A5E" w:rsidP="00393CE2">
            <w:pPr>
              <w:rPr>
                <w:color w:val="1C6194" w:themeColor="accent2" w:themeShade="BF"/>
                <w:sz w:val="36"/>
                <w:szCs w:val="36"/>
              </w:rPr>
            </w:pPr>
            <w:r w:rsidRPr="00F510E5">
              <w:rPr>
                <w:color w:val="1C6194" w:themeColor="accent2" w:themeShade="BF"/>
                <w:sz w:val="36"/>
                <w:szCs w:val="36"/>
              </w:rPr>
              <w:t>Daily</w:t>
            </w:r>
          </w:p>
        </w:tc>
        <w:tc>
          <w:tcPr>
            <w:tcW w:w="2254" w:type="dxa"/>
          </w:tcPr>
          <w:p w14:paraId="521D0FE7" w14:textId="7A32772A" w:rsidR="00EC1A5E" w:rsidRPr="00F510E5" w:rsidRDefault="00EC1A5E" w:rsidP="00393CE2">
            <w:pPr>
              <w:rPr>
                <w:color w:val="1C6194" w:themeColor="accent2" w:themeShade="BF"/>
                <w:sz w:val="36"/>
                <w:szCs w:val="36"/>
              </w:rPr>
            </w:pPr>
            <w:r w:rsidRPr="00F510E5">
              <w:rPr>
                <w:color w:val="1C6194" w:themeColor="accent2" w:themeShade="BF"/>
                <w:sz w:val="36"/>
                <w:szCs w:val="36"/>
              </w:rPr>
              <w:t>Weekly</w:t>
            </w:r>
          </w:p>
        </w:tc>
        <w:tc>
          <w:tcPr>
            <w:tcW w:w="2254" w:type="dxa"/>
          </w:tcPr>
          <w:p w14:paraId="3FF802F6" w14:textId="226E2C14" w:rsidR="00EC1A5E" w:rsidRPr="00F510E5" w:rsidRDefault="00EC1A5E" w:rsidP="00393CE2">
            <w:pPr>
              <w:rPr>
                <w:color w:val="1C6194" w:themeColor="accent2" w:themeShade="BF"/>
                <w:sz w:val="36"/>
                <w:szCs w:val="36"/>
              </w:rPr>
            </w:pPr>
            <w:r w:rsidRPr="00F510E5">
              <w:rPr>
                <w:color w:val="1C6194" w:themeColor="accent2" w:themeShade="BF"/>
                <w:sz w:val="36"/>
                <w:szCs w:val="36"/>
              </w:rPr>
              <w:t>Monthly</w:t>
            </w:r>
          </w:p>
        </w:tc>
      </w:tr>
      <w:tr w:rsidR="00452334" w:rsidRPr="00452334" w14:paraId="33BF0715" w14:textId="77777777" w:rsidTr="00452334">
        <w:tc>
          <w:tcPr>
            <w:tcW w:w="2826" w:type="dxa"/>
          </w:tcPr>
          <w:p w14:paraId="2B62B3E1" w14:textId="385DF014" w:rsidR="00EC1A5E" w:rsidRPr="00F510E5" w:rsidRDefault="00EC1A5E" w:rsidP="00393CE2">
            <w:pPr>
              <w:rPr>
                <w:color w:val="1C6194" w:themeColor="accent2" w:themeShade="BF"/>
                <w:sz w:val="36"/>
                <w:szCs w:val="36"/>
              </w:rPr>
            </w:pPr>
            <w:r w:rsidRPr="00F510E5">
              <w:rPr>
                <w:color w:val="1C6194" w:themeColor="accent2" w:themeShade="BF"/>
                <w:sz w:val="36"/>
                <w:szCs w:val="36"/>
              </w:rPr>
              <w:t>Maximum</w:t>
            </w:r>
          </w:p>
        </w:tc>
        <w:tc>
          <w:tcPr>
            <w:tcW w:w="2254" w:type="dxa"/>
          </w:tcPr>
          <w:p w14:paraId="049B92E3" w14:textId="5F4CCACE" w:rsidR="00EC1A5E" w:rsidRPr="00F510E5" w:rsidRDefault="006408CF" w:rsidP="00393CE2">
            <w:pPr>
              <w:rPr>
                <w:color w:val="1C6194" w:themeColor="accent2" w:themeShade="BF"/>
                <w:sz w:val="36"/>
                <w:szCs w:val="36"/>
              </w:rPr>
            </w:pPr>
            <w:r w:rsidRPr="00F510E5">
              <w:rPr>
                <w:color w:val="1C6194" w:themeColor="accent2" w:themeShade="BF"/>
                <w:sz w:val="36"/>
                <w:szCs w:val="36"/>
              </w:rPr>
              <w:t>7</w:t>
            </w:r>
            <w:r w:rsidR="005F4CDF">
              <w:rPr>
                <w:color w:val="1C6194" w:themeColor="accent2" w:themeShade="BF"/>
                <w:sz w:val="36"/>
                <w:szCs w:val="36"/>
              </w:rPr>
              <w:t>.</w:t>
            </w:r>
            <w:r w:rsidRPr="00F510E5">
              <w:rPr>
                <w:color w:val="1C6194" w:themeColor="accent2" w:themeShade="BF"/>
                <w:sz w:val="36"/>
                <w:szCs w:val="36"/>
              </w:rPr>
              <w:t>8</w:t>
            </w:r>
            <w:r w:rsidR="00124DB2">
              <w:rPr>
                <w:color w:val="1C6194" w:themeColor="accent2" w:themeShade="BF"/>
                <w:sz w:val="36"/>
                <w:szCs w:val="36"/>
              </w:rPr>
              <w:t>1</w:t>
            </w:r>
          </w:p>
        </w:tc>
        <w:tc>
          <w:tcPr>
            <w:tcW w:w="2254" w:type="dxa"/>
          </w:tcPr>
          <w:p w14:paraId="5F5EC144" w14:textId="1DDD28AA" w:rsidR="00EC1A5E" w:rsidRPr="00F510E5" w:rsidRDefault="00A815F6" w:rsidP="00393CE2">
            <w:pPr>
              <w:rPr>
                <w:color w:val="1C6194" w:themeColor="accent2" w:themeShade="BF"/>
                <w:sz w:val="36"/>
                <w:szCs w:val="36"/>
              </w:rPr>
            </w:pPr>
            <w:r w:rsidRPr="00A815F6">
              <w:rPr>
                <w:color w:val="1C6194" w:themeColor="accent2" w:themeShade="BF"/>
                <w:sz w:val="36"/>
                <w:szCs w:val="36"/>
              </w:rPr>
              <w:t>7.89</w:t>
            </w:r>
          </w:p>
        </w:tc>
        <w:tc>
          <w:tcPr>
            <w:tcW w:w="2254" w:type="dxa"/>
          </w:tcPr>
          <w:p w14:paraId="51292D63" w14:textId="0B84E137" w:rsidR="00EC1A5E" w:rsidRPr="00F510E5" w:rsidRDefault="00F9793D" w:rsidP="00393CE2">
            <w:pPr>
              <w:rPr>
                <w:color w:val="1C6194" w:themeColor="accent2" w:themeShade="BF"/>
                <w:sz w:val="36"/>
                <w:szCs w:val="36"/>
              </w:rPr>
            </w:pPr>
            <w:r w:rsidRPr="00F510E5">
              <w:rPr>
                <w:color w:val="1C6194" w:themeColor="accent2" w:themeShade="BF"/>
                <w:sz w:val="36"/>
                <w:szCs w:val="36"/>
              </w:rPr>
              <w:t>10</w:t>
            </w:r>
            <w:r w:rsidR="005F4CDF">
              <w:rPr>
                <w:color w:val="1C6194" w:themeColor="accent2" w:themeShade="BF"/>
                <w:sz w:val="36"/>
                <w:szCs w:val="36"/>
              </w:rPr>
              <w:t>.</w:t>
            </w:r>
            <w:r w:rsidR="007839AD">
              <w:rPr>
                <w:color w:val="1C6194" w:themeColor="accent2" w:themeShade="BF"/>
                <w:sz w:val="36"/>
                <w:szCs w:val="36"/>
              </w:rPr>
              <w:t>272</w:t>
            </w:r>
          </w:p>
        </w:tc>
      </w:tr>
      <w:tr w:rsidR="00452334" w:rsidRPr="00452334" w14:paraId="588260DE" w14:textId="77777777" w:rsidTr="00452334">
        <w:tc>
          <w:tcPr>
            <w:tcW w:w="2826" w:type="dxa"/>
          </w:tcPr>
          <w:p w14:paraId="427F7B7C" w14:textId="5AC8A637" w:rsidR="00EC1A5E" w:rsidRPr="00F510E5" w:rsidRDefault="00EC1A5E" w:rsidP="00393CE2">
            <w:pPr>
              <w:rPr>
                <w:color w:val="1C6194" w:themeColor="accent2" w:themeShade="BF"/>
                <w:sz w:val="36"/>
                <w:szCs w:val="36"/>
              </w:rPr>
            </w:pPr>
            <w:r w:rsidRPr="00F510E5">
              <w:rPr>
                <w:color w:val="1C6194" w:themeColor="accent2" w:themeShade="BF"/>
                <w:sz w:val="36"/>
                <w:szCs w:val="36"/>
              </w:rPr>
              <w:lastRenderedPageBreak/>
              <w:t>Minimum</w:t>
            </w:r>
          </w:p>
        </w:tc>
        <w:tc>
          <w:tcPr>
            <w:tcW w:w="2254" w:type="dxa"/>
          </w:tcPr>
          <w:p w14:paraId="2FB10922" w14:textId="6573FA07" w:rsidR="00EC1A5E" w:rsidRPr="00F510E5" w:rsidRDefault="00823D7B" w:rsidP="00393CE2">
            <w:pPr>
              <w:rPr>
                <w:color w:val="1C6194" w:themeColor="accent2" w:themeShade="BF"/>
                <w:sz w:val="36"/>
                <w:szCs w:val="36"/>
              </w:rPr>
            </w:pPr>
            <w:r w:rsidRPr="00F510E5">
              <w:rPr>
                <w:color w:val="1C6194" w:themeColor="accent2" w:themeShade="BF"/>
                <w:sz w:val="36"/>
                <w:szCs w:val="36"/>
              </w:rPr>
              <w:t>-8</w:t>
            </w:r>
            <w:r w:rsidR="005F4CDF">
              <w:rPr>
                <w:color w:val="1C6194" w:themeColor="accent2" w:themeShade="BF"/>
                <w:sz w:val="36"/>
                <w:szCs w:val="36"/>
              </w:rPr>
              <w:t>.</w:t>
            </w:r>
            <w:r w:rsidR="00124DB2">
              <w:rPr>
                <w:color w:val="1C6194" w:themeColor="accent2" w:themeShade="BF"/>
                <w:sz w:val="36"/>
                <w:szCs w:val="36"/>
              </w:rPr>
              <w:t>49</w:t>
            </w:r>
          </w:p>
        </w:tc>
        <w:tc>
          <w:tcPr>
            <w:tcW w:w="2254" w:type="dxa"/>
          </w:tcPr>
          <w:p w14:paraId="35B822F6" w14:textId="486DBDA0" w:rsidR="00EC1A5E" w:rsidRPr="00F510E5" w:rsidRDefault="004B474A" w:rsidP="00393CE2">
            <w:pPr>
              <w:rPr>
                <w:color w:val="1C6194" w:themeColor="accent2" w:themeShade="BF"/>
                <w:sz w:val="36"/>
                <w:szCs w:val="36"/>
              </w:rPr>
            </w:pPr>
            <w:r w:rsidRPr="00F510E5">
              <w:rPr>
                <w:color w:val="1C6194" w:themeColor="accent2" w:themeShade="BF"/>
                <w:sz w:val="36"/>
                <w:szCs w:val="36"/>
              </w:rPr>
              <w:t>-8</w:t>
            </w:r>
            <w:r w:rsidR="005F4CDF">
              <w:rPr>
                <w:color w:val="1C6194" w:themeColor="accent2" w:themeShade="BF"/>
                <w:sz w:val="36"/>
                <w:szCs w:val="36"/>
              </w:rPr>
              <w:t>.</w:t>
            </w:r>
            <w:r w:rsidRPr="00F510E5">
              <w:rPr>
                <w:color w:val="1C6194" w:themeColor="accent2" w:themeShade="BF"/>
                <w:sz w:val="36"/>
                <w:szCs w:val="36"/>
              </w:rPr>
              <w:t>7</w:t>
            </w:r>
            <w:r w:rsidR="00A815F6">
              <w:rPr>
                <w:color w:val="1C6194" w:themeColor="accent2" w:themeShade="BF"/>
                <w:sz w:val="36"/>
                <w:szCs w:val="36"/>
              </w:rPr>
              <w:t>5</w:t>
            </w:r>
          </w:p>
        </w:tc>
        <w:tc>
          <w:tcPr>
            <w:tcW w:w="2254" w:type="dxa"/>
          </w:tcPr>
          <w:p w14:paraId="74220763" w14:textId="0772C8AA" w:rsidR="00EC1A5E" w:rsidRPr="00F510E5" w:rsidRDefault="00F9793D" w:rsidP="00393CE2">
            <w:pPr>
              <w:rPr>
                <w:color w:val="1C6194" w:themeColor="accent2" w:themeShade="BF"/>
                <w:sz w:val="36"/>
                <w:szCs w:val="36"/>
              </w:rPr>
            </w:pPr>
            <w:r w:rsidRPr="00F510E5">
              <w:rPr>
                <w:color w:val="1C6194" w:themeColor="accent2" w:themeShade="BF"/>
                <w:sz w:val="36"/>
                <w:szCs w:val="36"/>
              </w:rPr>
              <w:t>-3</w:t>
            </w:r>
            <w:r w:rsidR="005F4CDF">
              <w:rPr>
                <w:color w:val="1C6194" w:themeColor="accent2" w:themeShade="BF"/>
                <w:sz w:val="36"/>
                <w:szCs w:val="36"/>
              </w:rPr>
              <w:t>.</w:t>
            </w:r>
            <w:r w:rsidR="007839AD">
              <w:rPr>
                <w:color w:val="1C6194" w:themeColor="accent2" w:themeShade="BF"/>
                <w:sz w:val="36"/>
                <w:szCs w:val="36"/>
              </w:rPr>
              <w:t>298</w:t>
            </w:r>
          </w:p>
        </w:tc>
      </w:tr>
      <w:tr w:rsidR="00452334" w:rsidRPr="00452334" w14:paraId="68AD498E" w14:textId="77777777" w:rsidTr="00452334">
        <w:tc>
          <w:tcPr>
            <w:tcW w:w="2826" w:type="dxa"/>
          </w:tcPr>
          <w:p w14:paraId="1CCB00E3" w14:textId="4F141E9A" w:rsidR="00EC1A5E" w:rsidRPr="00F510E5" w:rsidRDefault="00EC1A5E" w:rsidP="00393CE2">
            <w:pPr>
              <w:rPr>
                <w:color w:val="1C6194" w:themeColor="accent2" w:themeShade="BF"/>
                <w:sz w:val="36"/>
                <w:szCs w:val="36"/>
              </w:rPr>
            </w:pPr>
            <w:r w:rsidRPr="00F510E5">
              <w:rPr>
                <w:color w:val="1C6194" w:themeColor="accent2" w:themeShade="BF"/>
                <w:sz w:val="36"/>
                <w:szCs w:val="36"/>
              </w:rPr>
              <w:t>Mean</w:t>
            </w:r>
          </w:p>
        </w:tc>
        <w:tc>
          <w:tcPr>
            <w:tcW w:w="2254" w:type="dxa"/>
          </w:tcPr>
          <w:p w14:paraId="32EDCEF2" w14:textId="08DE8C52" w:rsidR="00EC1A5E" w:rsidRPr="00F510E5" w:rsidRDefault="00823D7B" w:rsidP="00393CE2">
            <w:pPr>
              <w:rPr>
                <w:color w:val="1C6194" w:themeColor="accent2" w:themeShade="BF"/>
                <w:sz w:val="36"/>
                <w:szCs w:val="36"/>
              </w:rPr>
            </w:pPr>
            <w:r w:rsidRPr="00F510E5">
              <w:rPr>
                <w:color w:val="1C6194" w:themeColor="accent2" w:themeShade="BF"/>
                <w:sz w:val="36"/>
                <w:szCs w:val="36"/>
              </w:rPr>
              <w:t>0.</w:t>
            </w:r>
            <w:r w:rsidR="00124DB2">
              <w:rPr>
                <w:color w:val="1C6194" w:themeColor="accent2" w:themeShade="BF"/>
                <w:sz w:val="36"/>
                <w:szCs w:val="36"/>
              </w:rPr>
              <w:t>18</w:t>
            </w:r>
          </w:p>
        </w:tc>
        <w:tc>
          <w:tcPr>
            <w:tcW w:w="2254" w:type="dxa"/>
          </w:tcPr>
          <w:p w14:paraId="6828E284" w14:textId="555778BD" w:rsidR="00EC1A5E" w:rsidRPr="00F510E5" w:rsidRDefault="004B474A" w:rsidP="00393CE2">
            <w:pPr>
              <w:rPr>
                <w:color w:val="1C6194" w:themeColor="accent2" w:themeShade="BF"/>
                <w:sz w:val="36"/>
                <w:szCs w:val="36"/>
              </w:rPr>
            </w:pPr>
            <w:r w:rsidRPr="00F510E5">
              <w:rPr>
                <w:color w:val="1C6194" w:themeColor="accent2" w:themeShade="BF"/>
                <w:sz w:val="36"/>
                <w:szCs w:val="36"/>
              </w:rPr>
              <w:t>0.8</w:t>
            </w:r>
            <w:r w:rsidR="00A815F6">
              <w:rPr>
                <w:color w:val="1C6194" w:themeColor="accent2" w:themeShade="BF"/>
                <w:sz w:val="36"/>
                <w:szCs w:val="36"/>
              </w:rPr>
              <w:t>21</w:t>
            </w:r>
          </w:p>
        </w:tc>
        <w:tc>
          <w:tcPr>
            <w:tcW w:w="2254" w:type="dxa"/>
          </w:tcPr>
          <w:p w14:paraId="0386E289" w14:textId="12402C40" w:rsidR="00EC1A5E" w:rsidRPr="00F510E5" w:rsidRDefault="00F9793D" w:rsidP="00393CE2">
            <w:pPr>
              <w:rPr>
                <w:color w:val="1C6194" w:themeColor="accent2" w:themeShade="BF"/>
                <w:sz w:val="36"/>
                <w:szCs w:val="36"/>
              </w:rPr>
            </w:pPr>
            <w:r w:rsidRPr="00F510E5">
              <w:rPr>
                <w:color w:val="1C6194" w:themeColor="accent2" w:themeShade="BF"/>
                <w:sz w:val="36"/>
                <w:szCs w:val="36"/>
              </w:rPr>
              <w:t>3</w:t>
            </w:r>
            <w:r w:rsidR="007839AD">
              <w:rPr>
                <w:color w:val="1C6194" w:themeColor="accent2" w:themeShade="BF"/>
                <w:sz w:val="36"/>
                <w:szCs w:val="36"/>
              </w:rPr>
              <w:t>.794</w:t>
            </w:r>
          </w:p>
        </w:tc>
      </w:tr>
      <w:tr w:rsidR="00452334" w:rsidRPr="00452334" w14:paraId="61EF5EEC" w14:textId="77777777" w:rsidTr="00452334">
        <w:tc>
          <w:tcPr>
            <w:tcW w:w="2826" w:type="dxa"/>
          </w:tcPr>
          <w:p w14:paraId="5AEBB7BB" w14:textId="07E996B5" w:rsidR="00EC1A5E" w:rsidRPr="00F510E5" w:rsidRDefault="00EC1A5E" w:rsidP="00393CE2">
            <w:pPr>
              <w:rPr>
                <w:color w:val="1C6194" w:themeColor="accent2" w:themeShade="BF"/>
                <w:sz w:val="36"/>
                <w:szCs w:val="36"/>
              </w:rPr>
            </w:pPr>
            <w:r w:rsidRPr="00F510E5">
              <w:rPr>
                <w:color w:val="1C6194" w:themeColor="accent2" w:themeShade="BF"/>
                <w:sz w:val="36"/>
                <w:szCs w:val="36"/>
              </w:rPr>
              <w:t>Sample Std. Dev</w:t>
            </w:r>
          </w:p>
        </w:tc>
        <w:tc>
          <w:tcPr>
            <w:tcW w:w="2254" w:type="dxa"/>
          </w:tcPr>
          <w:p w14:paraId="1FF47766" w14:textId="5CB9DB10" w:rsidR="00EC1A5E" w:rsidRPr="00F510E5" w:rsidRDefault="006408CF" w:rsidP="00393CE2">
            <w:pPr>
              <w:rPr>
                <w:color w:val="1C6194" w:themeColor="accent2" w:themeShade="BF"/>
                <w:sz w:val="36"/>
                <w:szCs w:val="36"/>
              </w:rPr>
            </w:pPr>
            <w:r w:rsidRPr="00F510E5">
              <w:rPr>
                <w:color w:val="1C6194" w:themeColor="accent2" w:themeShade="BF"/>
                <w:sz w:val="36"/>
                <w:szCs w:val="36"/>
              </w:rPr>
              <w:t>1</w:t>
            </w:r>
            <w:r w:rsidR="005F4CDF">
              <w:rPr>
                <w:color w:val="1C6194" w:themeColor="accent2" w:themeShade="BF"/>
                <w:sz w:val="36"/>
                <w:szCs w:val="36"/>
              </w:rPr>
              <w:t>.</w:t>
            </w:r>
            <w:r w:rsidRPr="00F510E5">
              <w:rPr>
                <w:color w:val="1C6194" w:themeColor="accent2" w:themeShade="BF"/>
                <w:sz w:val="36"/>
                <w:szCs w:val="36"/>
              </w:rPr>
              <w:t>8</w:t>
            </w:r>
            <w:r w:rsidR="00124DB2">
              <w:rPr>
                <w:color w:val="1C6194" w:themeColor="accent2" w:themeShade="BF"/>
                <w:sz w:val="36"/>
                <w:szCs w:val="36"/>
              </w:rPr>
              <w:t>0</w:t>
            </w:r>
          </w:p>
        </w:tc>
        <w:tc>
          <w:tcPr>
            <w:tcW w:w="2254" w:type="dxa"/>
          </w:tcPr>
          <w:p w14:paraId="00953E34" w14:textId="549E83F5" w:rsidR="00EC1A5E" w:rsidRPr="00F510E5" w:rsidRDefault="004B474A" w:rsidP="00393CE2">
            <w:pPr>
              <w:rPr>
                <w:color w:val="1C6194" w:themeColor="accent2" w:themeShade="BF"/>
                <w:sz w:val="36"/>
                <w:szCs w:val="36"/>
              </w:rPr>
            </w:pPr>
            <w:r w:rsidRPr="00F510E5">
              <w:rPr>
                <w:color w:val="1C6194" w:themeColor="accent2" w:themeShade="BF"/>
                <w:sz w:val="36"/>
                <w:szCs w:val="36"/>
              </w:rPr>
              <w:t>3</w:t>
            </w:r>
            <w:r w:rsidR="005F4CDF">
              <w:rPr>
                <w:color w:val="1C6194" w:themeColor="accent2" w:themeShade="BF"/>
                <w:sz w:val="36"/>
                <w:szCs w:val="36"/>
              </w:rPr>
              <w:t>.</w:t>
            </w:r>
            <w:r w:rsidR="00A815F6">
              <w:rPr>
                <w:color w:val="1C6194" w:themeColor="accent2" w:themeShade="BF"/>
                <w:sz w:val="36"/>
                <w:szCs w:val="36"/>
              </w:rPr>
              <w:t>459</w:t>
            </w:r>
          </w:p>
        </w:tc>
        <w:tc>
          <w:tcPr>
            <w:tcW w:w="2254" w:type="dxa"/>
          </w:tcPr>
          <w:p w14:paraId="78800291" w14:textId="42EE60BA" w:rsidR="00EC1A5E" w:rsidRPr="00F510E5" w:rsidRDefault="00F9793D" w:rsidP="00393CE2">
            <w:pPr>
              <w:rPr>
                <w:color w:val="1C6194" w:themeColor="accent2" w:themeShade="BF"/>
                <w:sz w:val="36"/>
                <w:szCs w:val="36"/>
              </w:rPr>
            </w:pPr>
            <w:r w:rsidRPr="00F510E5">
              <w:rPr>
                <w:color w:val="1C6194" w:themeColor="accent2" w:themeShade="BF"/>
                <w:sz w:val="36"/>
                <w:szCs w:val="36"/>
              </w:rPr>
              <w:t>4</w:t>
            </w:r>
            <w:r w:rsidR="005F4CDF">
              <w:rPr>
                <w:color w:val="1C6194" w:themeColor="accent2" w:themeShade="BF"/>
                <w:sz w:val="36"/>
                <w:szCs w:val="36"/>
              </w:rPr>
              <w:t>.0</w:t>
            </w:r>
            <w:r w:rsidR="007839AD">
              <w:rPr>
                <w:color w:val="1C6194" w:themeColor="accent2" w:themeShade="BF"/>
                <w:sz w:val="36"/>
                <w:szCs w:val="36"/>
              </w:rPr>
              <w:t>4</w:t>
            </w:r>
            <w:r w:rsidR="005F4CDF">
              <w:rPr>
                <w:color w:val="1C6194" w:themeColor="accent2" w:themeShade="BF"/>
                <w:sz w:val="36"/>
                <w:szCs w:val="36"/>
              </w:rPr>
              <w:t>1</w:t>
            </w:r>
          </w:p>
        </w:tc>
      </w:tr>
    </w:tbl>
    <w:p w14:paraId="70B55291" w14:textId="75DA7A67" w:rsidR="002C7CB1" w:rsidRPr="00B841AB" w:rsidRDefault="00452334" w:rsidP="002C7CB1">
      <w:pPr>
        <w:ind w:firstLine="720"/>
        <w:jc w:val="center"/>
        <w:rPr>
          <w:rFonts w:ascii="CMCSC10" w:hAnsi="CMCSC10"/>
          <w:color w:val="000000" w:themeColor="text1"/>
          <w:sz w:val="36"/>
          <w:szCs w:val="36"/>
          <w:u w:val="single"/>
        </w:rPr>
      </w:pPr>
      <w:r w:rsidRPr="00B841AB">
        <w:rPr>
          <w:rFonts w:ascii="CMCSC10" w:hAnsi="CMCSC10"/>
          <w:color w:val="000000" w:themeColor="text1"/>
          <w:sz w:val="36"/>
          <w:szCs w:val="36"/>
          <w:u w:val="single"/>
        </w:rPr>
        <w:t xml:space="preserve">Table 1: Comparison of Daily, Weekly and Monthly </w:t>
      </w:r>
      <w:r w:rsidRPr="00B841AB">
        <w:rPr>
          <w:rFonts w:ascii="CMCSC10" w:hAnsi="CMCSC10"/>
          <w:b/>
          <w:bCs/>
          <w:color w:val="000000" w:themeColor="text1"/>
          <w:sz w:val="36"/>
          <w:szCs w:val="36"/>
          <w:u w:val="single"/>
        </w:rPr>
        <w:t xml:space="preserve">Risk- Unadjusted </w:t>
      </w:r>
      <w:r w:rsidRPr="00B841AB">
        <w:rPr>
          <w:rFonts w:ascii="CMCSC10" w:hAnsi="CMCSC10"/>
          <w:color w:val="000000" w:themeColor="text1"/>
          <w:sz w:val="36"/>
          <w:szCs w:val="36"/>
          <w:u w:val="single"/>
        </w:rPr>
        <w:t>Returns (in %</w:t>
      </w:r>
      <w:r w:rsidR="00F94F08">
        <w:rPr>
          <w:rFonts w:ascii="CMCSC10" w:hAnsi="CMCSC10"/>
          <w:color w:val="000000" w:themeColor="text1"/>
          <w:sz w:val="36"/>
          <w:szCs w:val="36"/>
          <w:u w:val="single"/>
        </w:rPr>
        <w:t>, rounded off)</w:t>
      </w:r>
    </w:p>
    <w:p w14:paraId="23E5CFB2" w14:textId="5B07654B" w:rsidR="00A854D1" w:rsidRDefault="00A854D1" w:rsidP="00393CE2">
      <w:pPr>
        <w:ind w:firstLine="720"/>
        <w:rPr>
          <w:sz w:val="36"/>
          <w:szCs w:val="36"/>
        </w:rPr>
      </w:pPr>
    </w:p>
    <w:p w14:paraId="1BAEB492" w14:textId="77777777" w:rsidR="00A854D1" w:rsidRDefault="00A854D1" w:rsidP="00393CE2">
      <w:pPr>
        <w:ind w:firstLine="720"/>
        <w:rPr>
          <w:sz w:val="36"/>
          <w:szCs w:val="36"/>
        </w:rPr>
      </w:pPr>
    </w:p>
    <w:p w14:paraId="4957936E" w14:textId="5E58BD0B" w:rsidR="00AB20D6" w:rsidRDefault="00AB20D6" w:rsidP="00AB20D6">
      <w:pPr>
        <w:rPr>
          <w:rFonts w:ascii="CMCSC10" w:hAnsi="CMCSC10"/>
          <w:sz w:val="40"/>
          <w:szCs w:val="40"/>
        </w:rPr>
      </w:pPr>
      <w:r>
        <w:rPr>
          <w:rFonts w:ascii="CMCSC10" w:hAnsi="CMCSC10"/>
          <w:b/>
          <w:bCs/>
          <w:color w:val="1481AB" w:themeColor="accent1" w:themeShade="BF"/>
          <w:sz w:val="40"/>
          <w:szCs w:val="40"/>
        </w:rPr>
        <w:t>3 Underlying Stock Risk-Adjusted Returns</w:t>
      </w:r>
      <w:r w:rsidRPr="008554BE">
        <w:rPr>
          <w:rFonts w:ascii="CMCSC10" w:hAnsi="CMCSC10"/>
          <w:b/>
          <w:bCs/>
          <w:color w:val="1481AB" w:themeColor="accent1" w:themeShade="BF"/>
          <w:sz w:val="40"/>
          <w:szCs w:val="40"/>
        </w:rPr>
        <w:t>:</w:t>
      </w:r>
      <w:r w:rsidRPr="008554BE">
        <w:rPr>
          <w:rFonts w:ascii="CMCSC10" w:hAnsi="CMCSC10"/>
          <w:sz w:val="40"/>
          <w:szCs w:val="40"/>
        </w:rPr>
        <w:t xml:space="preserve"> </w:t>
      </w:r>
    </w:p>
    <w:p w14:paraId="535E50E6" w14:textId="13E48637" w:rsidR="00A854D1" w:rsidRPr="00EF3D40" w:rsidRDefault="00F94F08" w:rsidP="00EF3D40">
      <w:pPr>
        <w:ind w:firstLine="720"/>
        <w:rPr>
          <w:rFonts w:ascii="CMCSC10" w:hAnsi="CMCSC10"/>
          <w:sz w:val="36"/>
          <w:szCs w:val="36"/>
        </w:rPr>
      </w:pPr>
      <w:r w:rsidRPr="00256A52">
        <w:rPr>
          <w:rFonts w:ascii="CMCSC10" w:hAnsi="CMCSC10"/>
          <w:sz w:val="36"/>
          <w:szCs w:val="36"/>
        </w:rPr>
        <w:t>It is evident from the following table that</w:t>
      </w:r>
      <w:r>
        <w:rPr>
          <w:rFonts w:ascii="CMCSC10" w:hAnsi="CMCSC10"/>
          <w:sz w:val="36"/>
          <w:szCs w:val="36"/>
        </w:rPr>
        <w:t xml:space="preserve"> mean</w:t>
      </w:r>
      <w:r w:rsidRPr="00256A52">
        <w:rPr>
          <w:rFonts w:ascii="CMCSC10" w:hAnsi="CMCSC10"/>
          <w:sz w:val="36"/>
          <w:szCs w:val="36"/>
        </w:rPr>
        <w:t xml:space="preserve"> </w:t>
      </w:r>
      <w:r>
        <w:rPr>
          <w:rFonts w:ascii="CMCSC10" w:hAnsi="CMCSC10"/>
          <w:sz w:val="36"/>
          <w:szCs w:val="36"/>
        </w:rPr>
        <w:t xml:space="preserve">excess </w:t>
      </w:r>
      <w:r w:rsidRPr="00256A52">
        <w:rPr>
          <w:rFonts w:ascii="CMCSC10" w:hAnsi="CMCSC10"/>
          <w:sz w:val="36"/>
          <w:szCs w:val="36"/>
        </w:rPr>
        <w:t>returns are higher for</w:t>
      </w:r>
      <w:r>
        <w:rPr>
          <w:rFonts w:ascii="CMCSC10" w:hAnsi="CMCSC10"/>
          <w:sz w:val="36"/>
          <w:szCs w:val="36"/>
        </w:rPr>
        <w:t xml:space="preserve"> monthly frequency in comparison to daily and weekly frequencies. If we calculate the excess returns per annum for each of these three frequencies, the h</w:t>
      </w:r>
      <w:r w:rsidR="00A51B32">
        <w:rPr>
          <w:rFonts w:ascii="CMCSC10" w:hAnsi="CMCSC10"/>
          <w:sz w:val="36"/>
          <w:szCs w:val="36"/>
        </w:rPr>
        <w:t>ighest per annum % returns are for Daily</w:t>
      </w:r>
      <w:r w:rsidR="00EF3D40">
        <w:rPr>
          <w:rFonts w:ascii="CMCSC10" w:hAnsi="CMCSC10"/>
          <w:sz w:val="36"/>
          <w:szCs w:val="36"/>
        </w:rPr>
        <w:t xml:space="preserve"> (60.59%)</w:t>
      </w:r>
      <w:r w:rsidR="00CC5AC5">
        <w:rPr>
          <w:rFonts w:ascii="CMCSC10" w:hAnsi="CMCSC10"/>
          <w:sz w:val="36"/>
          <w:szCs w:val="36"/>
        </w:rPr>
        <w:t>, followed by Monthly (40.25%) and then Weekly (</w:t>
      </w:r>
      <w:r w:rsidR="00EF3D40">
        <w:rPr>
          <w:rFonts w:ascii="CMCSC10" w:hAnsi="CMCSC10"/>
          <w:sz w:val="36"/>
          <w:szCs w:val="36"/>
        </w:rPr>
        <w:t>30.108</w:t>
      </w:r>
      <w:r w:rsidR="00CC5AC5">
        <w:rPr>
          <w:rFonts w:ascii="CMCSC10" w:hAnsi="CMCSC10"/>
          <w:sz w:val="36"/>
          <w:szCs w:val="36"/>
        </w:rPr>
        <w:t>%)</w:t>
      </w:r>
      <w:r w:rsidR="00A51B32">
        <w:rPr>
          <w:rFonts w:ascii="CMCSC10" w:hAnsi="CMCSC10"/>
          <w:sz w:val="36"/>
          <w:szCs w:val="36"/>
        </w:rPr>
        <w:t xml:space="preserve">. When we divide it by the Standard Deviation </w:t>
      </w:r>
      <w:r w:rsidR="00A51B32" w:rsidRPr="00A51B32">
        <w:rPr>
          <w:rFonts w:ascii="CMCSC10" w:hAnsi="CMCSC10"/>
          <w:color w:val="1C6194" w:themeColor="accent2" w:themeShade="BF"/>
          <w:sz w:val="36"/>
          <w:szCs w:val="36"/>
        </w:rPr>
        <w:t>(Sharpe Ratio)</w:t>
      </w:r>
      <w:r w:rsidR="000D3499">
        <w:rPr>
          <w:rFonts w:ascii="CMCSC10" w:hAnsi="CMCSC10"/>
          <w:sz w:val="36"/>
          <w:szCs w:val="36"/>
        </w:rPr>
        <w:t xml:space="preserve">, the </w:t>
      </w:r>
      <w:r w:rsidR="000D3499" w:rsidRPr="005515F7">
        <w:rPr>
          <w:rFonts w:ascii="CMCSC10" w:hAnsi="CMCSC10"/>
          <w:color w:val="1C6194" w:themeColor="accent2" w:themeShade="BF"/>
          <w:sz w:val="36"/>
          <w:szCs w:val="36"/>
        </w:rPr>
        <w:t xml:space="preserve">Monthly Returns </w:t>
      </w:r>
      <w:r w:rsidR="000D3499">
        <w:rPr>
          <w:rFonts w:ascii="CMCSC10" w:hAnsi="CMCSC10"/>
          <w:sz w:val="36"/>
          <w:szCs w:val="36"/>
        </w:rPr>
        <w:t>are found to be highest</w:t>
      </w:r>
      <w:r w:rsidR="00E42354">
        <w:rPr>
          <w:rFonts w:ascii="CMCSC10" w:hAnsi="CMCSC10"/>
          <w:sz w:val="36"/>
          <w:szCs w:val="36"/>
        </w:rPr>
        <w:t>.</w:t>
      </w:r>
      <w:r w:rsidR="00456E37">
        <w:rPr>
          <w:rFonts w:ascii="CMCSC10" w:hAnsi="CMCSC10"/>
          <w:sz w:val="36"/>
          <w:szCs w:val="36"/>
        </w:rPr>
        <w:t xml:space="preserve"> </w:t>
      </w:r>
      <w:r w:rsidR="00456E37" w:rsidRPr="005515F7">
        <w:rPr>
          <w:rFonts w:ascii="CMCSC10" w:hAnsi="CMCSC10"/>
          <w:color w:val="1C6194" w:themeColor="accent2" w:themeShade="BF"/>
          <w:sz w:val="36"/>
          <w:szCs w:val="36"/>
        </w:rPr>
        <w:t>This means that they offer better return for the same risk (or, equivalently, the same return for lower risk)</w:t>
      </w:r>
      <w:r w:rsidR="00A1750F" w:rsidRPr="005515F7">
        <w:rPr>
          <w:rFonts w:ascii="CMCSC10" w:hAnsi="CMCSC10"/>
          <w:color w:val="1C6194" w:themeColor="accent2" w:themeShade="BF"/>
          <w:sz w:val="36"/>
          <w:szCs w:val="36"/>
        </w:rPr>
        <w:t>.</w:t>
      </w:r>
    </w:p>
    <w:p w14:paraId="331D71BE" w14:textId="77777777" w:rsidR="00A51B32" w:rsidRDefault="00A51B32" w:rsidP="00A51B32">
      <w:pPr>
        <w:ind w:firstLine="720"/>
        <w:rPr>
          <w:sz w:val="36"/>
          <w:szCs w:val="36"/>
        </w:rPr>
      </w:pPr>
    </w:p>
    <w:tbl>
      <w:tblPr>
        <w:tblStyle w:val="TableGrid"/>
        <w:tblW w:w="0" w:type="auto"/>
        <w:tblInd w:w="-431" w:type="dxa"/>
        <w:tblLook w:val="04A0" w:firstRow="1" w:lastRow="0" w:firstColumn="1" w:lastColumn="0" w:noHBand="0" w:noVBand="1"/>
      </w:tblPr>
      <w:tblGrid>
        <w:gridCol w:w="2685"/>
        <w:gridCol w:w="2254"/>
        <w:gridCol w:w="2254"/>
        <w:gridCol w:w="2254"/>
      </w:tblGrid>
      <w:tr w:rsidR="00F37494" w:rsidRPr="00F37494" w14:paraId="704E822B" w14:textId="77777777" w:rsidTr="00F37494">
        <w:tc>
          <w:tcPr>
            <w:tcW w:w="2685" w:type="dxa"/>
          </w:tcPr>
          <w:p w14:paraId="23536537" w14:textId="77777777" w:rsidR="00F37494" w:rsidRPr="00F37494" w:rsidRDefault="00F37494">
            <w:pPr>
              <w:rPr>
                <w:color w:val="1C6194" w:themeColor="accent2" w:themeShade="BF"/>
                <w:sz w:val="36"/>
                <w:szCs w:val="36"/>
              </w:rPr>
            </w:pPr>
          </w:p>
        </w:tc>
        <w:tc>
          <w:tcPr>
            <w:tcW w:w="2254" w:type="dxa"/>
          </w:tcPr>
          <w:p w14:paraId="515EB50A" w14:textId="0AA9B114" w:rsidR="00F37494" w:rsidRPr="00F37494" w:rsidRDefault="00F37494">
            <w:pPr>
              <w:rPr>
                <w:color w:val="1C6194" w:themeColor="accent2" w:themeShade="BF"/>
                <w:sz w:val="36"/>
                <w:szCs w:val="36"/>
              </w:rPr>
            </w:pPr>
            <w:r w:rsidRPr="00F37494">
              <w:rPr>
                <w:color w:val="1C6194" w:themeColor="accent2" w:themeShade="BF"/>
                <w:sz w:val="36"/>
                <w:szCs w:val="36"/>
              </w:rPr>
              <w:t>Daily</w:t>
            </w:r>
          </w:p>
        </w:tc>
        <w:tc>
          <w:tcPr>
            <w:tcW w:w="2254" w:type="dxa"/>
          </w:tcPr>
          <w:p w14:paraId="3954141B" w14:textId="7BB36C3F" w:rsidR="00F37494" w:rsidRPr="00F37494" w:rsidRDefault="00F37494">
            <w:pPr>
              <w:rPr>
                <w:color w:val="1C6194" w:themeColor="accent2" w:themeShade="BF"/>
                <w:sz w:val="36"/>
                <w:szCs w:val="36"/>
              </w:rPr>
            </w:pPr>
            <w:r w:rsidRPr="00F37494">
              <w:rPr>
                <w:color w:val="1C6194" w:themeColor="accent2" w:themeShade="BF"/>
                <w:sz w:val="36"/>
                <w:szCs w:val="36"/>
              </w:rPr>
              <w:t>Weekly</w:t>
            </w:r>
          </w:p>
        </w:tc>
        <w:tc>
          <w:tcPr>
            <w:tcW w:w="2254" w:type="dxa"/>
          </w:tcPr>
          <w:p w14:paraId="6994109F" w14:textId="75C3092D" w:rsidR="00F37494" w:rsidRPr="00F37494" w:rsidRDefault="00F37494">
            <w:pPr>
              <w:rPr>
                <w:color w:val="1C6194" w:themeColor="accent2" w:themeShade="BF"/>
                <w:sz w:val="36"/>
                <w:szCs w:val="36"/>
              </w:rPr>
            </w:pPr>
            <w:r w:rsidRPr="00F37494">
              <w:rPr>
                <w:color w:val="1C6194" w:themeColor="accent2" w:themeShade="BF"/>
                <w:sz w:val="36"/>
                <w:szCs w:val="36"/>
              </w:rPr>
              <w:t>Monthly</w:t>
            </w:r>
          </w:p>
        </w:tc>
      </w:tr>
      <w:tr w:rsidR="00F37494" w:rsidRPr="00F37494" w14:paraId="369F55D0" w14:textId="77777777" w:rsidTr="00F37494">
        <w:tc>
          <w:tcPr>
            <w:tcW w:w="2685" w:type="dxa"/>
          </w:tcPr>
          <w:p w14:paraId="0EE4A6BB" w14:textId="7BE34323" w:rsidR="00F37494" w:rsidRPr="00F37494" w:rsidRDefault="00F37494">
            <w:pPr>
              <w:rPr>
                <w:color w:val="1C6194" w:themeColor="accent2" w:themeShade="BF"/>
                <w:sz w:val="36"/>
                <w:szCs w:val="36"/>
              </w:rPr>
            </w:pPr>
            <w:r w:rsidRPr="00F37494">
              <w:rPr>
                <w:color w:val="1C6194" w:themeColor="accent2" w:themeShade="BF"/>
                <w:sz w:val="36"/>
                <w:szCs w:val="36"/>
              </w:rPr>
              <w:t>Maximum</w:t>
            </w:r>
          </w:p>
        </w:tc>
        <w:tc>
          <w:tcPr>
            <w:tcW w:w="2254" w:type="dxa"/>
          </w:tcPr>
          <w:p w14:paraId="74DD1831" w14:textId="5F7E5C3E" w:rsidR="00F37494" w:rsidRPr="00F37494" w:rsidRDefault="00F37494">
            <w:pPr>
              <w:rPr>
                <w:color w:val="1C6194" w:themeColor="accent2" w:themeShade="BF"/>
                <w:sz w:val="36"/>
                <w:szCs w:val="36"/>
              </w:rPr>
            </w:pPr>
            <w:r w:rsidRPr="00F37494">
              <w:rPr>
                <w:color w:val="1C6194" w:themeColor="accent2" w:themeShade="BF"/>
                <w:sz w:val="36"/>
                <w:szCs w:val="36"/>
              </w:rPr>
              <w:t>7.801</w:t>
            </w:r>
          </w:p>
        </w:tc>
        <w:tc>
          <w:tcPr>
            <w:tcW w:w="2254" w:type="dxa"/>
          </w:tcPr>
          <w:p w14:paraId="60F5FBD9" w14:textId="11A2DD9C" w:rsidR="00F37494" w:rsidRPr="00F37494" w:rsidRDefault="00F37494">
            <w:pPr>
              <w:rPr>
                <w:color w:val="1C6194" w:themeColor="accent2" w:themeShade="BF"/>
                <w:sz w:val="36"/>
                <w:szCs w:val="36"/>
              </w:rPr>
            </w:pPr>
            <w:r w:rsidRPr="00F37494">
              <w:rPr>
                <w:color w:val="1C6194" w:themeColor="accent2" w:themeShade="BF"/>
                <w:sz w:val="36"/>
                <w:szCs w:val="36"/>
              </w:rPr>
              <w:t>7.748</w:t>
            </w:r>
          </w:p>
        </w:tc>
        <w:tc>
          <w:tcPr>
            <w:tcW w:w="2254" w:type="dxa"/>
          </w:tcPr>
          <w:p w14:paraId="57CB8AF9" w14:textId="0123BB08" w:rsidR="00F37494" w:rsidRPr="00F37494" w:rsidRDefault="00F37494">
            <w:pPr>
              <w:rPr>
                <w:color w:val="1C6194" w:themeColor="accent2" w:themeShade="BF"/>
                <w:sz w:val="36"/>
                <w:szCs w:val="36"/>
              </w:rPr>
            </w:pPr>
            <w:r w:rsidRPr="00F37494">
              <w:rPr>
                <w:color w:val="1C6194" w:themeColor="accent2" w:themeShade="BF"/>
                <w:sz w:val="36"/>
                <w:szCs w:val="36"/>
              </w:rPr>
              <w:t>9.82</w:t>
            </w:r>
          </w:p>
        </w:tc>
      </w:tr>
      <w:tr w:rsidR="00F37494" w:rsidRPr="00F37494" w14:paraId="7D43786D" w14:textId="77777777" w:rsidTr="00F37494">
        <w:tc>
          <w:tcPr>
            <w:tcW w:w="2685" w:type="dxa"/>
          </w:tcPr>
          <w:p w14:paraId="19ABE0DC" w14:textId="2AACBEFA" w:rsidR="00F37494" w:rsidRPr="00F37494" w:rsidRDefault="00F37494">
            <w:pPr>
              <w:rPr>
                <w:color w:val="1C6194" w:themeColor="accent2" w:themeShade="BF"/>
                <w:sz w:val="36"/>
                <w:szCs w:val="36"/>
              </w:rPr>
            </w:pPr>
            <w:r w:rsidRPr="00F37494">
              <w:rPr>
                <w:color w:val="1C6194" w:themeColor="accent2" w:themeShade="BF"/>
                <w:sz w:val="36"/>
                <w:szCs w:val="36"/>
              </w:rPr>
              <w:t>Minimum</w:t>
            </w:r>
          </w:p>
        </w:tc>
        <w:tc>
          <w:tcPr>
            <w:tcW w:w="2254" w:type="dxa"/>
          </w:tcPr>
          <w:p w14:paraId="71DE18A8" w14:textId="235E7B1A" w:rsidR="00F37494" w:rsidRPr="00F37494" w:rsidRDefault="00F37494">
            <w:pPr>
              <w:rPr>
                <w:color w:val="1C6194" w:themeColor="accent2" w:themeShade="BF"/>
                <w:sz w:val="36"/>
                <w:szCs w:val="36"/>
              </w:rPr>
            </w:pPr>
            <w:r w:rsidRPr="00F37494">
              <w:rPr>
                <w:color w:val="1C6194" w:themeColor="accent2" w:themeShade="BF"/>
                <w:sz w:val="36"/>
                <w:szCs w:val="36"/>
              </w:rPr>
              <w:t>-8.502</w:t>
            </w:r>
          </w:p>
        </w:tc>
        <w:tc>
          <w:tcPr>
            <w:tcW w:w="2254" w:type="dxa"/>
          </w:tcPr>
          <w:p w14:paraId="7064E2D5" w14:textId="08C8D741" w:rsidR="00F37494" w:rsidRPr="00F37494" w:rsidRDefault="00F37494">
            <w:pPr>
              <w:rPr>
                <w:color w:val="1C6194" w:themeColor="accent2" w:themeShade="BF"/>
                <w:sz w:val="36"/>
                <w:szCs w:val="36"/>
              </w:rPr>
            </w:pPr>
            <w:r w:rsidRPr="00F37494">
              <w:rPr>
                <w:color w:val="1C6194" w:themeColor="accent2" w:themeShade="BF"/>
                <w:sz w:val="36"/>
                <w:szCs w:val="36"/>
              </w:rPr>
              <w:t>-8.842</w:t>
            </w:r>
          </w:p>
        </w:tc>
        <w:tc>
          <w:tcPr>
            <w:tcW w:w="2254" w:type="dxa"/>
          </w:tcPr>
          <w:p w14:paraId="695F04AE" w14:textId="34BD7C49" w:rsidR="00F37494" w:rsidRPr="00F37494" w:rsidRDefault="00F37494">
            <w:pPr>
              <w:rPr>
                <w:color w:val="1C6194" w:themeColor="accent2" w:themeShade="BF"/>
                <w:sz w:val="36"/>
                <w:szCs w:val="36"/>
              </w:rPr>
            </w:pPr>
            <w:r w:rsidRPr="00F37494">
              <w:rPr>
                <w:color w:val="1C6194" w:themeColor="accent2" w:themeShade="BF"/>
                <w:sz w:val="36"/>
                <w:szCs w:val="36"/>
              </w:rPr>
              <w:t>-3.707</w:t>
            </w:r>
          </w:p>
        </w:tc>
      </w:tr>
      <w:tr w:rsidR="00F37494" w:rsidRPr="00F37494" w14:paraId="571844FF" w14:textId="77777777" w:rsidTr="00F37494">
        <w:tc>
          <w:tcPr>
            <w:tcW w:w="2685" w:type="dxa"/>
          </w:tcPr>
          <w:p w14:paraId="206FD90C" w14:textId="1325546D" w:rsidR="00F37494" w:rsidRPr="00F37494" w:rsidRDefault="00F37494">
            <w:pPr>
              <w:rPr>
                <w:color w:val="1C6194" w:themeColor="accent2" w:themeShade="BF"/>
                <w:sz w:val="36"/>
                <w:szCs w:val="36"/>
              </w:rPr>
            </w:pPr>
            <w:r w:rsidRPr="00F37494">
              <w:rPr>
                <w:color w:val="1C6194" w:themeColor="accent2" w:themeShade="BF"/>
                <w:sz w:val="36"/>
                <w:szCs w:val="36"/>
              </w:rPr>
              <w:t>Mean</w:t>
            </w:r>
          </w:p>
        </w:tc>
        <w:tc>
          <w:tcPr>
            <w:tcW w:w="2254" w:type="dxa"/>
          </w:tcPr>
          <w:p w14:paraId="7DE6671D" w14:textId="4F08C125" w:rsidR="00F37494" w:rsidRPr="00F37494" w:rsidRDefault="00F37494">
            <w:pPr>
              <w:rPr>
                <w:color w:val="1C6194" w:themeColor="accent2" w:themeShade="BF"/>
                <w:sz w:val="36"/>
                <w:szCs w:val="36"/>
              </w:rPr>
            </w:pPr>
            <w:r w:rsidRPr="00F37494">
              <w:rPr>
                <w:color w:val="1C6194" w:themeColor="accent2" w:themeShade="BF"/>
                <w:sz w:val="36"/>
                <w:szCs w:val="36"/>
              </w:rPr>
              <w:t>0.166</w:t>
            </w:r>
          </w:p>
        </w:tc>
        <w:tc>
          <w:tcPr>
            <w:tcW w:w="2254" w:type="dxa"/>
          </w:tcPr>
          <w:p w14:paraId="0B0EC7DD" w14:textId="2285588C" w:rsidR="00F37494" w:rsidRPr="00F37494" w:rsidRDefault="00F37494">
            <w:pPr>
              <w:rPr>
                <w:color w:val="1C6194" w:themeColor="accent2" w:themeShade="BF"/>
                <w:sz w:val="36"/>
                <w:szCs w:val="36"/>
              </w:rPr>
            </w:pPr>
            <w:r w:rsidRPr="00F37494">
              <w:rPr>
                <w:color w:val="1C6194" w:themeColor="accent2" w:themeShade="BF"/>
                <w:sz w:val="36"/>
                <w:szCs w:val="36"/>
              </w:rPr>
              <w:t>0.579</w:t>
            </w:r>
          </w:p>
        </w:tc>
        <w:tc>
          <w:tcPr>
            <w:tcW w:w="2254" w:type="dxa"/>
          </w:tcPr>
          <w:p w14:paraId="5116145E" w14:textId="5B0F67C1" w:rsidR="00F37494" w:rsidRPr="00F37494" w:rsidRDefault="00F37494">
            <w:pPr>
              <w:rPr>
                <w:color w:val="1C6194" w:themeColor="accent2" w:themeShade="BF"/>
                <w:sz w:val="36"/>
                <w:szCs w:val="36"/>
              </w:rPr>
            </w:pPr>
            <w:r w:rsidRPr="00F37494">
              <w:rPr>
                <w:color w:val="1C6194" w:themeColor="accent2" w:themeShade="BF"/>
                <w:sz w:val="36"/>
                <w:szCs w:val="36"/>
              </w:rPr>
              <w:t>3.354</w:t>
            </w:r>
          </w:p>
        </w:tc>
      </w:tr>
      <w:tr w:rsidR="00F37494" w:rsidRPr="00F37494" w14:paraId="0A9535FE" w14:textId="77777777" w:rsidTr="00F37494">
        <w:tc>
          <w:tcPr>
            <w:tcW w:w="2685" w:type="dxa"/>
          </w:tcPr>
          <w:p w14:paraId="591BC539" w14:textId="41F42A8A" w:rsidR="00F37494" w:rsidRPr="00F37494" w:rsidRDefault="00F37494">
            <w:pPr>
              <w:rPr>
                <w:color w:val="1C6194" w:themeColor="accent2" w:themeShade="BF"/>
                <w:sz w:val="36"/>
                <w:szCs w:val="36"/>
              </w:rPr>
            </w:pPr>
            <w:r w:rsidRPr="00F37494">
              <w:rPr>
                <w:color w:val="1C6194" w:themeColor="accent2" w:themeShade="BF"/>
                <w:sz w:val="36"/>
                <w:szCs w:val="36"/>
              </w:rPr>
              <w:t>Sample Std. Dev.</w:t>
            </w:r>
          </w:p>
        </w:tc>
        <w:tc>
          <w:tcPr>
            <w:tcW w:w="2254" w:type="dxa"/>
          </w:tcPr>
          <w:p w14:paraId="196A0CB4" w14:textId="33899A33" w:rsidR="00F37494" w:rsidRPr="00F37494" w:rsidRDefault="00F37494">
            <w:pPr>
              <w:rPr>
                <w:color w:val="1C6194" w:themeColor="accent2" w:themeShade="BF"/>
                <w:sz w:val="36"/>
                <w:szCs w:val="36"/>
              </w:rPr>
            </w:pPr>
            <w:r w:rsidRPr="00F37494">
              <w:rPr>
                <w:color w:val="1C6194" w:themeColor="accent2" w:themeShade="BF"/>
                <w:sz w:val="36"/>
                <w:szCs w:val="36"/>
              </w:rPr>
              <w:t>1.804</w:t>
            </w:r>
          </w:p>
        </w:tc>
        <w:tc>
          <w:tcPr>
            <w:tcW w:w="2254" w:type="dxa"/>
          </w:tcPr>
          <w:p w14:paraId="14760593" w14:textId="2280A48D" w:rsidR="00F37494" w:rsidRPr="00F37494" w:rsidRDefault="00F37494">
            <w:pPr>
              <w:rPr>
                <w:color w:val="1C6194" w:themeColor="accent2" w:themeShade="BF"/>
                <w:sz w:val="36"/>
                <w:szCs w:val="36"/>
              </w:rPr>
            </w:pPr>
            <w:r w:rsidRPr="00F37494">
              <w:rPr>
                <w:color w:val="1C6194" w:themeColor="accent2" w:themeShade="BF"/>
                <w:sz w:val="36"/>
                <w:szCs w:val="36"/>
              </w:rPr>
              <w:t>3.344</w:t>
            </w:r>
          </w:p>
        </w:tc>
        <w:tc>
          <w:tcPr>
            <w:tcW w:w="2254" w:type="dxa"/>
          </w:tcPr>
          <w:p w14:paraId="0EC08404" w14:textId="401E7EC4" w:rsidR="00F37494" w:rsidRPr="00F37494" w:rsidRDefault="00F37494">
            <w:pPr>
              <w:rPr>
                <w:color w:val="1C6194" w:themeColor="accent2" w:themeShade="BF"/>
                <w:sz w:val="36"/>
                <w:szCs w:val="36"/>
              </w:rPr>
            </w:pPr>
            <w:r w:rsidRPr="00F37494">
              <w:rPr>
                <w:color w:val="1C6194" w:themeColor="accent2" w:themeShade="BF"/>
                <w:sz w:val="36"/>
                <w:szCs w:val="36"/>
              </w:rPr>
              <w:t>4.036</w:t>
            </w:r>
          </w:p>
        </w:tc>
      </w:tr>
    </w:tbl>
    <w:p w14:paraId="003CE57C" w14:textId="5567CD64" w:rsidR="00A51B32" w:rsidRPr="00B841AB" w:rsidRDefault="00A51B32" w:rsidP="00A51B32">
      <w:pPr>
        <w:ind w:firstLine="720"/>
        <w:jc w:val="center"/>
        <w:rPr>
          <w:rFonts w:ascii="CMCSC10" w:hAnsi="CMCSC10"/>
          <w:color w:val="000000" w:themeColor="text1"/>
          <w:sz w:val="36"/>
          <w:szCs w:val="36"/>
          <w:u w:val="single"/>
        </w:rPr>
      </w:pPr>
      <w:r w:rsidRPr="00B841AB">
        <w:rPr>
          <w:rFonts w:ascii="CMCSC10" w:hAnsi="CMCSC10"/>
          <w:color w:val="000000" w:themeColor="text1"/>
          <w:sz w:val="36"/>
          <w:szCs w:val="36"/>
          <w:u w:val="single"/>
        </w:rPr>
        <w:t xml:space="preserve">Table </w:t>
      </w:r>
      <w:r>
        <w:rPr>
          <w:rFonts w:ascii="CMCSC10" w:hAnsi="CMCSC10"/>
          <w:color w:val="000000" w:themeColor="text1"/>
          <w:sz w:val="36"/>
          <w:szCs w:val="36"/>
          <w:u w:val="single"/>
        </w:rPr>
        <w:t>2</w:t>
      </w:r>
      <w:r w:rsidRPr="00B841AB">
        <w:rPr>
          <w:rFonts w:ascii="CMCSC10" w:hAnsi="CMCSC10"/>
          <w:color w:val="000000" w:themeColor="text1"/>
          <w:sz w:val="36"/>
          <w:szCs w:val="36"/>
          <w:u w:val="single"/>
        </w:rPr>
        <w:t xml:space="preserve">: Comparison of Daily, Weekly and Monthly </w:t>
      </w:r>
      <w:r w:rsidRPr="00B841AB">
        <w:rPr>
          <w:rFonts w:ascii="CMCSC10" w:hAnsi="CMCSC10"/>
          <w:b/>
          <w:bCs/>
          <w:color w:val="000000" w:themeColor="text1"/>
          <w:sz w:val="36"/>
          <w:szCs w:val="36"/>
          <w:u w:val="single"/>
        </w:rPr>
        <w:t xml:space="preserve">Risk- </w:t>
      </w:r>
      <w:r>
        <w:rPr>
          <w:rFonts w:ascii="CMCSC10" w:hAnsi="CMCSC10"/>
          <w:b/>
          <w:bCs/>
          <w:color w:val="000000" w:themeColor="text1"/>
          <w:sz w:val="36"/>
          <w:szCs w:val="36"/>
          <w:u w:val="single"/>
        </w:rPr>
        <w:t>A</w:t>
      </w:r>
      <w:r w:rsidRPr="00B841AB">
        <w:rPr>
          <w:rFonts w:ascii="CMCSC10" w:hAnsi="CMCSC10"/>
          <w:b/>
          <w:bCs/>
          <w:color w:val="000000" w:themeColor="text1"/>
          <w:sz w:val="36"/>
          <w:szCs w:val="36"/>
          <w:u w:val="single"/>
        </w:rPr>
        <w:t xml:space="preserve">djusted </w:t>
      </w:r>
      <w:r w:rsidRPr="00B841AB">
        <w:rPr>
          <w:rFonts w:ascii="CMCSC10" w:hAnsi="CMCSC10"/>
          <w:color w:val="000000" w:themeColor="text1"/>
          <w:sz w:val="36"/>
          <w:szCs w:val="36"/>
          <w:u w:val="single"/>
        </w:rPr>
        <w:t>Returns (in %</w:t>
      </w:r>
      <w:r>
        <w:rPr>
          <w:rFonts w:ascii="CMCSC10" w:hAnsi="CMCSC10"/>
          <w:color w:val="000000" w:themeColor="text1"/>
          <w:sz w:val="36"/>
          <w:szCs w:val="36"/>
          <w:u w:val="single"/>
        </w:rPr>
        <w:t>, rounded off)</w:t>
      </w:r>
    </w:p>
    <w:p w14:paraId="3C9257C8" w14:textId="201C9E7A" w:rsidR="00393CE2" w:rsidRDefault="00393CE2">
      <w:pPr>
        <w:rPr>
          <w:color w:val="1481AB" w:themeColor="accent1" w:themeShade="BF"/>
          <w:sz w:val="36"/>
          <w:szCs w:val="36"/>
        </w:rPr>
      </w:pPr>
    </w:p>
    <w:p w14:paraId="04F86300" w14:textId="47FA9EB6" w:rsidR="009B0F52" w:rsidRDefault="009B0F52">
      <w:pPr>
        <w:rPr>
          <w:color w:val="1481AB" w:themeColor="accent1" w:themeShade="BF"/>
          <w:sz w:val="36"/>
          <w:szCs w:val="36"/>
        </w:rPr>
      </w:pPr>
    </w:p>
    <w:p w14:paraId="5B5787D4" w14:textId="1C675D26" w:rsidR="009B0F52" w:rsidRDefault="00372ED7" w:rsidP="009B0F52">
      <w:pPr>
        <w:rPr>
          <w:rFonts w:ascii="CMCSC10" w:hAnsi="CMCSC10"/>
          <w:sz w:val="40"/>
          <w:szCs w:val="40"/>
        </w:rPr>
      </w:pPr>
      <w:r>
        <w:rPr>
          <w:rFonts w:ascii="CMCSC10" w:hAnsi="CMCSC10"/>
          <w:b/>
          <w:bCs/>
          <w:color w:val="1481AB" w:themeColor="accent1" w:themeShade="BF"/>
          <w:sz w:val="40"/>
          <w:szCs w:val="40"/>
        </w:rPr>
        <w:lastRenderedPageBreak/>
        <w:t>4</w:t>
      </w:r>
      <w:r w:rsidR="009B0F52">
        <w:rPr>
          <w:rFonts w:ascii="CMCSC10" w:hAnsi="CMCSC10"/>
          <w:b/>
          <w:bCs/>
          <w:color w:val="1481AB" w:themeColor="accent1" w:themeShade="BF"/>
          <w:sz w:val="40"/>
          <w:szCs w:val="40"/>
        </w:rPr>
        <w:t xml:space="preserve"> Economic Interpretation of Risk-Unadjusted and Risk-Adjusted Returns</w:t>
      </w:r>
      <w:r w:rsidR="009B0F52" w:rsidRPr="008554BE">
        <w:rPr>
          <w:rFonts w:ascii="CMCSC10" w:hAnsi="CMCSC10"/>
          <w:b/>
          <w:bCs/>
          <w:color w:val="1481AB" w:themeColor="accent1" w:themeShade="BF"/>
          <w:sz w:val="40"/>
          <w:szCs w:val="40"/>
        </w:rPr>
        <w:t>:</w:t>
      </w:r>
      <w:r w:rsidR="009B0F52" w:rsidRPr="008554BE">
        <w:rPr>
          <w:rFonts w:ascii="CMCSC10" w:hAnsi="CMCSC10"/>
          <w:sz w:val="40"/>
          <w:szCs w:val="40"/>
        </w:rPr>
        <w:t xml:space="preserve"> </w:t>
      </w:r>
    </w:p>
    <w:p w14:paraId="00F2D1E6" w14:textId="0F1275DE" w:rsidR="000659BC" w:rsidRDefault="000659BC" w:rsidP="00E840E7">
      <w:pPr>
        <w:ind w:firstLine="720"/>
        <w:rPr>
          <w:rFonts w:ascii="CMCSC10" w:hAnsi="CMCSC10"/>
          <w:sz w:val="36"/>
          <w:szCs w:val="36"/>
        </w:rPr>
      </w:pPr>
      <w:r w:rsidRPr="000659BC">
        <w:rPr>
          <w:rFonts w:ascii="CMCSC10" w:hAnsi="CMCSC10"/>
          <w:sz w:val="36"/>
          <w:szCs w:val="36"/>
        </w:rPr>
        <w:t>Risk-adjusted return refines the return on an investment by calculating how much risk is involved in generating the gain while risk-unadjusted gain does not take the risk involved in obtaining the return into consideration.</w:t>
      </w:r>
      <w:r w:rsidR="00E840E7">
        <w:rPr>
          <w:rFonts w:ascii="CMCSC10" w:hAnsi="CMCSC10"/>
          <w:sz w:val="36"/>
          <w:szCs w:val="36"/>
        </w:rPr>
        <w:t xml:space="preserve"> </w:t>
      </w:r>
      <w:r w:rsidRPr="000659BC">
        <w:rPr>
          <w:rFonts w:ascii="CMCSC10" w:hAnsi="CMCSC10"/>
          <w:sz w:val="36"/>
          <w:szCs w:val="36"/>
        </w:rPr>
        <w:t>Therefore, it is often necessary for an investor to invest after looking at the risk adjusted returns. This ratio is also very critical for portfolio managers working with a variety of clients expecting a varied range of returns for a given amount of risk, or vice versa.</w:t>
      </w:r>
      <w:r>
        <w:rPr>
          <w:rFonts w:ascii="CMCSC10" w:hAnsi="CMCSC10"/>
          <w:sz w:val="36"/>
          <w:szCs w:val="36"/>
        </w:rPr>
        <w:t xml:space="preserve"> The following figures showcase both the risk-adjusted and unadjusted returns for daily, weekly and monthly frequencies:</w:t>
      </w:r>
    </w:p>
    <w:p w14:paraId="7BDA0B8E" w14:textId="76FA419D" w:rsidR="007F2199" w:rsidRDefault="007F2199" w:rsidP="00920BC2">
      <w:pPr>
        <w:rPr>
          <w:rFonts w:ascii="CMCSC10" w:hAnsi="CMCSC10"/>
          <w:sz w:val="36"/>
          <w:szCs w:val="36"/>
        </w:rPr>
      </w:pPr>
    </w:p>
    <w:p w14:paraId="79B42E20" w14:textId="77777777" w:rsidR="007F2199" w:rsidRDefault="007F2199" w:rsidP="00861631">
      <w:pPr>
        <w:ind w:firstLine="720"/>
        <w:rPr>
          <w:rFonts w:ascii="CMCSC10" w:hAnsi="CMCSC10"/>
          <w:sz w:val="36"/>
          <w:szCs w:val="36"/>
        </w:rPr>
      </w:pPr>
    </w:p>
    <w:p w14:paraId="6BF90E6D" w14:textId="78277A5E" w:rsidR="000659BC" w:rsidRDefault="005B2750" w:rsidP="00965E66">
      <w:pPr>
        <w:rPr>
          <w:rFonts w:ascii="CMCSC10" w:hAnsi="CMCSC10"/>
          <w:sz w:val="36"/>
          <w:szCs w:val="36"/>
        </w:rPr>
      </w:pPr>
      <w:r>
        <w:rPr>
          <w:rFonts w:ascii="CMCSC10" w:hAnsi="CMCSC10"/>
          <w:noProof/>
          <w:sz w:val="36"/>
          <w:szCs w:val="36"/>
        </w:rPr>
        <w:drawing>
          <wp:inline distT="0" distB="0" distL="0" distR="0" wp14:anchorId="1D8E5446" wp14:editId="61D3DBE2">
            <wp:extent cx="2754086" cy="1456681"/>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 Unadjusted Daily Return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1836" cy="1471358"/>
                    </a:xfrm>
                    <a:prstGeom prst="rect">
                      <a:avLst/>
                    </a:prstGeom>
                  </pic:spPr>
                </pic:pic>
              </a:graphicData>
            </a:graphic>
          </wp:inline>
        </w:drawing>
      </w:r>
      <w:r w:rsidR="00965E66">
        <w:rPr>
          <w:rFonts w:ascii="CMCSC10" w:hAnsi="CMCSC10"/>
          <w:noProof/>
          <w:sz w:val="36"/>
          <w:szCs w:val="36"/>
        </w:rPr>
        <w:drawing>
          <wp:inline distT="0" distB="0" distL="0" distR="0" wp14:anchorId="77532C4F" wp14:editId="42D75CA1">
            <wp:extent cx="2794000" cy="158940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5833" cy="1596136"/>
                    </a:xfrm>
                    <a:prstGeom prst="rect">
                      <a:avLst/>
                    </a:prstGeom>
                    <a:noFill/>
                    <a:ln>
                      <a:noFill/>
                    </a:ln>
                  </pic:spPr>
                </pic:pic>
              </a:graphicData>
            </a:graphic>
          </wp:inline>
        </w:drawing>
      </w:r>
    </w:p>
    <w:p w14:paraId="618FDE05" w14:textId="5DA70AD6" w:rsidR="00FE1794" w:rsidRPr="00B841AB" w:rsidRDefault="00FE1794" w:rsidP="00FE1794">
      <w:pPr>
        <w:ind w:firstLine="720"/>
        <w:jc w:val="center"/>
        <w:rPr>
          <w:rFonts w:ascii="CMCSC10" w:hAnsi="CMCSC10"/>
          <w:color w:val="000000" w:themeColor="text1"/>
          <w:sz w:val="36"/>
          <w:szCs w:val="36"/>
          <w:u w:val="single"/>
        </w:rPr>
      </w:pPr>
      <w:r w:rsidRPr="00B841AB">
        <w:rPr>
          <w:rFonts w:ascii="CMCSC10" w:hAnsi="CMCSC10"/>
          <w:color w:val="000000" w:themeColor="text1"/>
          <w:sz w:val="36"/>
          <w:szCs w:val="36"/>
          <w:u w:val="single"/>
        </w:rPr>
        <w:t xml:space="preserve"> Comparison of </w:t>
      </w:r>
      <w:r w:rsidRPr="00FE1794">
        <w:rPr>
          <w:rFonts w:ascii="CMCSC10" w:hAnsi="CMCSC10"/>
          <w:b/>
          <w:bCs/>
          <w:color w:val="000000" w:themeColor="text1"/>
          <w:sz w:val="36"/>
          <w:szCs w:val="36"/>
          <w:u w:val="single"/>
        </w:rPr>
        <w:t>Daily</w:t>
      </w:r>
      <w:r>
        <w:rPr>
          <w:rFonts w:ascii="CMCSC10" w:hAnsi="CMCSC10"/>
          <w:color w:val="000000" w:themeColor="text1"/>
          <w:sz w:val="36"/>
          <w:szCs w:val="36"/>
          <w:u w:val="single"/>
        </w:rPr>
        <w:t xml:space="preserve"> Risk-Unadjusted and</w:t>
      </w:r>
      <w:r w:rsidRPr="00B841AB">
        <w:rPr>
          <w:rFonts w:ascii="CMCSC10" w:hAnsi="CMCSC10"/>
          <w:color w:val="000000" w:themeColor="text1"/>
          <w:sz w:val="36"/>
          <w:szCs w:val="36"/>
          <w:u w:val="single"/>
        </w:rPr>
        <w:t xml:space="preserve"> </w:t>
      </w:r>
      <w:r w:rsidRPr="00FE1794">
        <w:rPr>
          <w:rFonts w:ascii="CMCSC10" w:hAnsi="CMCSC10"/>
          <w:color w:val="000000" w:themeColor="text1"/>
          <w:sz w:val="36"/>
          <w:szCs w:val="36"/>
          <w:u w:val="single"/>
        </w:rPr>
        <w:t>Risk- Adjusted</w:t>
      </w:r>
      <w:r w:rsidRPr="00B841AB">
        <w:rPr>
          <w:rFonts w:ascii="CMCSC10" w:hAnsi="CMCSC10"/>
          <w:b/>
          <w:bCs/>
          <w:color w:val="000000" w:themeColor="text1"/>
          <w:sz w:val="36"/>
          <w:szCs w:val="36"/>
          <w:u w:val="single"/>
        </w:rPr>
        <w:t xml:space="preserve"> </w:t>
      </w:r>
      <w:r w:rsidRPr="00B841AB">
        <w:rPr>
          <w:rFonts w:ascii="CMCSC10" w:hAnsi="CMCSC10"/>
          <w:color w:val="000000" w:themeColor="text1"/>
          <w:sz w:val="36"/>
          <w:szCs w:val="36"/>
          <w:u w:val="single"/>
        </w:rPr>
        <w:t xml:space="preserve">Returns </w:t>
      </w:r>
    </w:p>
    <w:p w14:paraId="623A63EE" w14:textId="2DAFD27F" w:rsidR="000659BC" w:rsidRDefault="000659BC" w:rsidP="000659BC">
      <w:pPr>
        <w:ind w:firstLine="720"/>
        <w:rPr>
          <w:rFonts w:ascii="CMCSC10" w:hAnsi="CMCSC10"/>
          <w:sz w:val="36"/>
          <w:szCs w:val="36"/>
        </w:rPr>
      </w:pPr>
    </w:p>
    <w:p w14:paraId="4CA5AC70" w14:textId="77777777" w:rsidR="000659BC" w:rsidRPr="00F37494" w:rsidRDefault="000659BC" w:rsidP="000659BC">
      <w:pPr>
        <w:ind w:firstLine="720"/>
        <w:rPr>
          <w:color w:val="1481AB" w:themeColor="accent1" w:themeShade="BF"/>
          <w:sz w:val="36"/>
          <w:szCs w:val="36"/>
        </w:rPr>
      </w:pPr>
    </w:p>
    <w:p w14:paraId="645C8609" w14:textId="25707D93" w:rsidR="00202CE5" w:rsidRDefault="00971992">
      <w:pPr>
        <w:rPr>
          <w:sz w:val="36"/>
          <w:szCs w:val="36"/>
        </w:rPr>
      </w:pPr>
      <w:r>
        <w:rPr>
          <w:noProof/>
          <w:sz w:val="36"/>
          <w:szCs w:val="36"/>
        </w:rPr>
        <w:lastRenderedPageBreak/>
        <w:drawing>
          <wp:inline distT="0" distB="0" distL="0" distR="0" wp14:anchorId="278A7851" wp14:editId="54AE5406">
            <wp:extent cx="2666712" cy="141187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666712" cy="1411870"/>
                    </a:xfrm>
                    <a:prstGeom prst="rect">
                      <a:avLst/>
                    </a:prstGeom>
                    <a:noFill/>
                    <a:ln>
                      <a:noFill/>
                    </a:ln>
                  </pic:spPr>
                </pic:pic>
              </a:graphicData>
            </a:graphic>
          </wp:inline>
        </w:drawing>
      </w:r>
      <w:r>
        <w:rPr>
          <w:sz w:val="36"/>
          <w:szCs w:val="36"/>
        </w:rPr>
        <w:t xml:space="preserve">      </w:t>
      </w:r>
      <w:r>
        <w:rPr>
          <w:noProof/>
          <w:sz w:val="36"/>
          <w:szCs w:val="36"/>
        </w:rPr>
        <w:drawing>
          <wp:inline distT="0" distB="0" distL="0" distR="0" wp14:anchorId="122BC905" wp14:editId="53B07A71">
            <wp:extent cx="2588683" cy="1383449"/>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01229" cy="1390154"/>
                    </a:xfrm>
                    <a:prstGeom prst="rect">
                      <a:avLst/>
                    </a:prstGeom>
                    <a:noFill/>
                    <a:ln>
                      <a:noFill/>
                    </a:ln>
                  </pic:spPr>
                </pic:pic>
              </a:graphicData>
            </a:graphic>
          </wp:inline>
        </w:drawing>
      </w:r>
    </w:p>
    <w:p w14:paraId="1079E0C7" w14:textId="5DFB1F1F" w:rsidR="00861631" w:rsidRDefault="00FE1794" w:rsidP="00FE1794">
      <w:pPr>
        <w:jc w:val="center"/>
        <w:rPr>
          <w:sz w:val="36"/>
          <w:szCs w:val="36"/>
        </w:rPr>
      </w:pPr>
      <w:r w:rsidRPr="00B841AB">
        <w:rPr>
          <w:rFonts w:ascii="CMCSC10" w:hAnsi="CMCSC10"/>
          <w:color w:val="000000" w:themeColor="text1"/>
          <w:sz w:val="36"/>
          <w:szCs w:val="36"/>
          <w:u w:val="single"/>
        </w:rPr>
        <w:t xml:space="preserve">Comparison of </w:t>
      </w:r>
      <w:r>
        <w:rPr>
          <w:rFonts w:ascii="CMCSC10" w:hAnsi="CMCSC10"/>
          <w:b/>
          <w:bCs/>
          <w:color w:val="000000" w:themeColor="text1"/>
          <w:sz w:val="36"/>
          <w:szCs w:val="36"/>
          <w:u w:val="single"/>
        </w:rPr>
        <w:t>Weekly</w:t>
      </w:r>
      <w:r>
        <w:rPr>
          <w:rFonts w:ascii="CMCSC10" w:hAnsi="CMCSC10"/>
          <w:color w:val="000000" w:themeColor="text1"/>
          <w:sz w:val="36"/>
          <w:szCs w:val="36"/>
          <w:u w:val="single"/>
        </w:rPr>
        <w:t xml:space="preserve"> Risk-Unadjusted and</w:t>
      </w:r>
      <w:r w:rsidRPr="00B841AB">
        <w:rPr>
          <w:rFonts w:ascii="CMCSC10" w:hAnsi="CMCSC10"/>
          <w:color w:val="000000" w:themeColor="text1"/>
          <w:sz w:val="36"/>
          <w:szCs w:val="36"/>
          <w:u w:val="single"/>
        </w:rPr>
        <w:t xml:space="preserve"> </w:t>
      </w:r>
      <w:r w:rsidRPr="00FE1794">
        <w:rPr>
          <w:rFonts w:ascii="CMCSC10" w:hAnsi="CMCSC10"/>
          <w:color w:val="000000" w:themeColor="text1"/>
          <w:sz w:val="36"/>
          <w:szCs w:val="36"/>
          <w:u w:val="single"/>
        </w:rPr>
        <w:t>Risk- Adjusted</w:t>
      </w:r>
      <w:r w:rsidRPr="00B841AB">
        <w:rPr>
          <w:rFonts w:ascii="CMCSC10" w:hAnsi="CMCSC10"/>
          <w:b/>
          <w:bCs/>
          <w:color w:val="000000" w:themeColor="text1"/>
          <w:sz w:val="36"/>
          <w:szCs w:val="36"/>
          <w:u w:val="single"/>
        </w:rPr>
        <w:t xml:space="preserve"> </w:t>
      </w:r>
      <w:r w:rsidRPr="00B841AB">
        <w:rPr>
          <w:rFonts w:ascii="CMCSC10" w:hAnsi="CMCSC10"/>
          <w:color w:val="000000" w:themeColor="text1"/>
          <w:sz w:val="36"/>
          <w:szCs w:val="36"/>
          <w:u w:val="single"/>
        </w:rPr>
        <w:t xml:space="preserve">Returns </w:t>
      </w:r>
    </w:p>
    <w:p w14:paraId="33588BE3" w14:textId="5A61BAE0" w:rsidR="00202CE5" w:rsidRDefault="00965E66">
      <w:pPr>
        <w:rPr>
          <w:sz w:val="36"/>
          <w:szCs w:val="36"/>
        </w:rPr>
      </w:pPr>
      <w:r>
        <w:rPr>
          <w:noProof/>
          <w:sz w:val="36"/>
          <w:szCs w:val="36"/>
        </w:rPr>
        <w:drawing>
          <wp:inline distT="0" distB="0" distL="0" distR="0" wp14:anchorId="2906E19C" wp14:editId="4D175C6B">
            <wp:extent cx="2778392" cy="1460863"/>
            <wp:effectExtent l="0" t="0" r="317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778392" cy="1460863"/>
                    </a:xfrm>
                    <a:prstGeom prst="rect">
                      <a:avLst/>
                    </a:prstGeom>
                    <a:noFill/>
                    <a:ln>
                      <a:noFill/>
                    </a:ln>
                  </pic:spPr>
                </pic:pic>
              </a:graphicData>
            </a:graphic>
          </wp:inline>
        </w:drawing>
      </w:r>
      <w:r w:rsidR="00861631">
        <w:rPr>
          <w:noProof/>
          <w:sz w:val="36"/>
          <w:szCs w:val="36"/>
        </w:rPr>
        <w:drawing>
          <wp:inline distT="0" distB="0" distL="0" distR="0" wp14:anchorId="724B1C28" wp14:editId="315A2DCD">
            <wp:extent cx="2779237" cy="1463733"/>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90767" cy="1469805"/>
                    </a:xfrm>
                    <a:prstGeom prst="rect">
                      <a:avLst/>
                    </a:prstGeom>
                    <a:noFill/>
                    <a:ln>
                      <a:noFill/>
                    </a:ln>
                  </pic:spPr>
                </pic:pic>
              </a:graphicData>
            </a:graphic>
          </wp:inline>
        </w:drawing>
      </w:r>
    </w:p>
    <w:p w14:paraId="3671C624" w14:textId="0A35C958" w:rsidR="00202CE5" w:rsidRDefault="00FE1794" w:rsidP="00A1750F">
      <w:pPr>
        <w:jc w:val="center"/>
        <w:rPr>
          <w:sz w:val="36"/>
          <w:szCs w:val="36"/>
        </w:rPr>
      </w:pPr>
      <w:r w:rsidRPr="00B841AB">
        <w:rPr>
          <w:rFonts w:ascii="CMCSC10" w:hAnsi="CMCSC10"/>
          <w:color w:val="000000" w:themeColor="text1"/>
          <w:sz w:val="36"/>
          <w:szCs w:val="36"/>
          <w:u w:val="single"/>
        </w:rPr>
        <w:t>Comparison of</w:t>
      </w:r>
      <w:r>
        <w:rPr>
          <w:rFonts w:ascii="CMCSC10" w:hAnsi="CMCSC10"/>
          <w:color w:val="000000" w:themeColor="text1"/>
          <w:sz w:val="36"/>
          <w:szCs w:val="36"/>
          <w:u w:val="single"/>
        </w:rPr>
        <w:t xml:space="preserve"> </w:t>
      </w:r>
      <w:r w:rsidRPr="00FE1794">
        <w:rPr>
          <w:rFonts w:ascii="CMCSC10" w:hAnsi="CMCSC10"/>
          <w:b/>
          <w:bCs/>
          <w:color w:val="000000" w:themeColor="text1"/>
          <w:sz w:val="36"/>
          <w:szCs w:val="36"/>
          <w:u w:val="single"/>
        </w:rPr>
        <w:t>Monthly</w:t>
      </w:r>
      <w:r>
        <w:rPr>
          <w:rFonts w:ascii="CMCSC10" w:hAnsi="CMCSC10"/>
          <w:color w:val="000000" w:themeColor="text1"/>
          <w:sz w:val="36"/>
          <w:szCs w:val="36"/>
          <w:u w:val="single"/>
        </w:rPr>
        <w:t xml:space="preserve"> Risk-Unadjusted and</w:t>
      </w:r>
      <w:r w:rsidRPr="00B841AB">
        <w:rPr>
          <w:rFonts w:ascii="CMCSC10" w:hAnsi="CMCSC10"/>
          <w:color w:val="000000" w:themeColor="text1"/>
          <w:sz w:val="36"/>
          <w:szCs w:val="36"/>
          <w:u w:val="single"/>
        </w:rPr>
        <w:t xml:space="preserve"> </w:t>
      </w:r>
      <w:r w:rsidRPr="00FE1794">
        <w:rPr>
          <w:rFonts w:ascii="CMCSC10" w:hAnsi="CMCSC10"/>
          <w:color w:val="000000" w:themeColor="text1"/>
          <w:sz w:val="36"/>
          <w:szCs w:val="36"/>
          <w:u w:val="single"/>
        </w:rPr>
        <w:t>Risk- Adjusted</w:t>
      </w:r>
      <w:r w:rsidRPr="00B841AB">
        <w:rPr>
          <w:rFonts w:ascii="CMCSC10" w:hAnsi="CMCSC10"/>
          <w:b/>
          <w:bCs/>
          <w:color w:val="000000" w:themeColor="text1"/>
          <w:sz w:val="36"/>
          <w:szCs w:val="36"/>
          <w:u w:val="single"/>
        </w:rPr>
        <w:t xml:space="preserve"> </w:t>
      </w:r>
      <w:r w:rsidRPr="00B841AB">
        <w:rPr>
          <w:rFonts w:ascii="CMCSC10" w:hAnsi="CMCSC10"/>
          <w:color w:val="000000" w:themeColor="text1"/>
          <w:sz w:val="36"/>
          <w:szCs w:val="36"/>
          <w:u w:val="single"/>
        </w:rPr>
        <w:t xml:space="preserve">Returns </w:t>
      </w:r>
    </w:p>
    <w:p w14:paraId="7401CBA9" w14:textId="77777777" w:rsidR="00005E73" w:rsidRDefault="00005E73" w:rsidP="00F5008D">
      <w:pPr>
        <w:ind w:firstLine="720"/>
        <w:rPr>
          <w:rFonts w:ascii="CMCSC10" w:hAnsi="CMCSC10"/>
          <w:sz w:val="36"/>
          <w:szCs w:val="36"/>
        </w:rPr>
      </w:pPr>
    </w:p>
    <w:p w14:paraId="0208D308" w14:textId="2C5A29B3" w:rsidR="00005E73" w:rsidRDefault="00F24F68" w:rsidP="00F5008D">
      <w:pPr>
        <w:ind w:firstLine="720"/>
        <w:rPr>
          <w:rFonts w:ascii="CMCSC10" w:hAnsi="CMCSC10"/>
          <w:sz w:val="36"/>
          <w:szCs w:val="36"/>
        </w:rPr>
      </w:pPr>
      <w:r w:rsidRPr="000919C8">
        <w:rPr>
          <w:rFonts w:ascii="CMCSC10" w:hAnsi="CMCSC10"/>
          <w:color w:val="1C6194" w:themeColor="accent2" w:themeShade="BF"/>
          <w:sz w:val="36"/>
          <w:szCs w:val="36"/>
        </w:rPr>
        <w:t xml:space="preserve">Sharpe Ratio </w:t>
      </w:r>
      <w:r w:rsidR="000919C8">
        <w:rPr>
          <w:rFonts w:ascii="CMCSC10" w:hAnsi="CMCSC10"/>
          <w:sz w:val="36"/>
          <w:szCs w:val="36"/>
        </w:rPr>
        <w:t xml:space="preserve">calculates the Reward/Risk Ratio by considering the mean and standard deviation. It assesses whether a certain risk is worth taking or not. In the following table, it is clear that the Sharpe Ratio is best for </w:t>
      </w:r>
      <w:r w:rsidR="000919C8" w:rsidRPr="000919C8">
        <w:rPr>
          <w:rFonts w:ascii="CMCSC10" w:hAnsi="CMCSC10"/>
          <w:color w:val="1C6194" w:themeColor="accent2" w:themeShade="BF"/>
          <w:sz w:val="36"/>
          <w:szCs w:val="36"/>
        </w:rPr>
        <w:t>Monthly</w:t>
      </w:r>
      <w:r w:rsidR="000919C8">
        <w:rPr>
          <w:rFonts w:ascii="CMCSC10" w:hAnsi="CMCSC10"/>
          <w:sz w:val="36"/>
          <w:szCs w:val="36"/>
        </w:rPr>
        <w:t xml:space="preserve"> frequency, followed by Weekly and then Daily. This means that the best returns for the same level of risk will be availed by investing on a monthly basis.</w:t>
      </w:r>
    </w:p>
    <w:tbl>
      <w:tblPr>
        <w:tblW w:w="9026" w:type="dxa"/>
        <w:jc w:val="center"/>
        <w:tblLook w:val="04A0" w:firstRow="1" w:lastRow="0" w:firstColumn="1" w:lastColumn="0" w:noHBand="0" w:noVBand="1"/>
      </w:tblPr>
      <w:tblGrid>
        <w:gridCol w:w="5011"/>
        <w:gridCol w:w="1293"/>
        <w:gridCol w:w="1293"/>
        <w:gridCol w:w="1429"/>
      </w:tblGrid>
      <w:tr w:rsidR="00F24F68" w:rsidRPr="00F24F68" w14:paraId="686A6778" w14:textId="77777777" w:rsidTr="00F24F68">
        <w:trPr>
          <w:trHeight w:val="508"/>
          <w:jc w:val="center"/>
        </w:trPr>
        <w:tc>
          <w:tcPr>
            <w:tcW w:w="5011" w:type="dxa"/>
            <w:tcBorders>
              <w:top w:val="single" w:sz="4" w:space="0" w:color="9BC2E6"/>
              <w:left w:val="single" w:sz="4" w:space="0" w:color="9BC2E6"/>
              <w:bottom w:val="single" w:sz="4" w:space="0" w:color="9BC2E6"/>
              <w:right w:val="nil"/>
            </w:tcBorders>
            <w:shd w:val="clear" w:color="5B9BD5" w:fill="5B9BD5"/>
            <w:noWrap/>
            <w:vAlign w:val="bottom"/>
            <w:hideMark/>
          </w:tcPr>
          <w:p w14:paraId="1CDCAAB8" w14:textId="77777777" w:rsidR="00F24F68" w:rsidRPr="00F24F68" w:rsidRDefault="00F24F68" w:rsidP="00F24F68">
            <w:pPr>
              <w:spacing w:after="0" w:line="240" w:lineRule="auto"/>
              <w:rPr>
                <w:rFonts w:ascii="Calibri" w:eastAsia="Times New Roman" w:hAnsi="Calibri" w:cs="Times New Roman"/>
                <w:b/>
                <w:bCs/>
                <w:color w:val="FFFFFF"/>
                <w:sz w:val="22"/>
                <w:szCs w:val="22"/>
                <w:lang w:eastAsia="en-IN"/>
              </w:rPr>
            </w:pPr>
            <w:r w:rsidRPr="00F24F68">
              <w:rPr>
                <w:rFonts w:ascii="Calibri" w:eastAsia="Times New Roman" w:hAnsi="Calibri" w:cs="Times New Roman"/>
                <w:b/>
                <w:bCs/>
                <w:color w:val="FFFFFF"/>
                <w:sz w:val="22"/>
                <w:szCs w:val="22"/>
                <w:lang w:eastAsia="en-IN"/>
              </w:rPr>
              <w:t>Underlying Assets</w:t>
            </w:r>
          </w:p>
        </w:tc>
        <w:tc>
          <w:tcPr>
            <w:tcW w:w="1293" w:type="dxa"/>
            <w:tcBorders>
              <w:top w:val="single" w:sz="4" w:space="0" w:color="9BC2E6"/>
              <w:left w:val="nil"/>
              <w:bottom w:val="single" w:sz="4" w:space="0" w:color="9BC2E6"/>
              <w:right w:val="nil"/>
            </w:tcBorders>
            <w:shd w:val="clear" w:color="5B9BD5" w:fill="5B9BD5"/>
            <w:noWrap/>
            <w:vAlign w:val="bottom"/>
            <w:hideMark/>
          </w:tcPr>
          <w:p w14:paraId="588E14FB" w14:textId="77777777" w:rsidR="00F24F68" w:rsidRPr="00F24F68" w:rsidRDefault="00F24F68" w:rsidP="00F24F68">
            <w:pPr>
              <w:spacing w:after="0" w:line="240" w:lineRule="auto"/>
              <w:rPr>
                <w:rFonts w:ascii="Calibri" w:eastAsia="Times New Roman" w:hAnsi="Calibri" w:cs="Times New Roman"/>
                <w:b/>
                <w:bCs/>
                <w:color w:val="FFFFFF"/>
                <w:sz w:val="22"/>
                <w:szCs w:val="22"/>
                <w:lang w:eastAsia="en-IN"/>
              </w:rPr>
            </w:pPr>
            <w:r w:rsidRPr="00F24F68">
              <w:rPr>
                <w:rFonts w:ascii="Calibri" w:eastAsia="Times New Roman" w:hAnsi="Calibri" w:cs="Times New Roman"/>
                <w:b/>
                <w:bCs/>
                <w:color w:val="FFFFFF"/>
                <w:sz w:val="22"/>
                <w:szCs w:val="22"/>
                <w:lang w:eastAsia="en-IN"/>
              </w:rPr>
              <w:t>Daily</w:t>
            </w:r>
          </w:p>
        </w:tc>
        <w:tc>
          <w:tcPr>
            <w:tcW w:w="1293" w:type="dxa"/>
            <w:tcBorders>
              <w:top w:val="single" w:sz="4" w:space="0" w:color="9BC2E6"/>
              <w:left w:val="nil"/>
              <w:bottom w:val="single" w:sz="4" w:space="0" w:color="9BC2E6"/>
              <w:right w:val="nil"/>
            </w:tcBorders>
            <w:shd w:val="clear" w:color="5B9BD5" w:fill="5B9BD5"/>
            <w:noWrap/>
            <w:vAlign w:val="bottom"/>
            <w:hideMark/>
          </w:tcPr>
          <w:p w14:paraId="5DC7CD9A" w14:textId="77777777" w:rsidR="00F24F68" w:rsidRPr="00F24F68" w:rsidRDefault="00F24F68" w:rsidP="00F24F68">
            <w:pPr>
              <w:spacing w:after="0" w:line="240" w:lineRule="auto"/>
              <w:rPr>
                <w:rFonts w:ascii="Calibri" w:eastAsia="Times New Roman" w:hAnsi="Calibri" w:cs="Times New Roman"/>
                <w:b/>
                <w:bCs/>
                <w:color w:val="FFFFFF"/>
                <w:sz w:val="22"/>
                <w:szCs w:val="22"/>
                <w:lang w:eastAsia="en-IN"/>
              </w:rPr>
            </w:pPr>
            <w:r w:rsidRPr="00F24F68">
              <w:rPr>
                <w:rFonts w:ascii="Calibri" w:eastAsia="Times New Roman" w:hAnsi="Calibri" w:cs="Times New Roman"/>
                <w:b/>
                <w:bCs/>
                <w:color w:val="FFFFFF"/>
                <w:sz w:val="22"/>
                <w:szCs w:val="22"/>
                <w:lang w:eastAsia="en-IN"/>
              </w:rPr>
              <w:t>Weekly</w:t>
            </w:r>
          </w:p>
        </w:tc>
        <w:tc>
          <w:tcPr>
            <w:tcW w:w="1429" w:type="dxa"/>
            <w:tcBorders>
              <w:top w:val="single" w:sz="4" w:space="0" w:color="9BC2E6"/>
              <w:left w:val="nil"/>
              <w:bottom w:val="single" w:sz="4" w:space="0" w:color="9BC2E6"/>
              <w:right w:val="single" w:sz="4" w:space="0" w:color="9BC2E6"/>
            </w:tcBorders>
            <w:shd w:val="clear" w:color="5B9BD5" w:fill="5B9BD5"/>
            <w:noWrap/>
            <w:vAlign w:val="bottom"/>
            <w:hideMark/>
          </w:tcPr>
          <w:p w14:paraId="552786C7" w14:textId="77777777" w:rsidR="00F24F68" w:rsidRPr="00F24F68" w:rsidRDefault="00F24F68" w:rsidP="00F24F68">
            <w:pPr>
              <w:spacing w:after="0" w:line="240" w:lineRule="auto"/>
              <w:rPr>
                <w:rFonts w:ascii="Calibri" w:eastAsia="Times New Roman" w:hAnsi="Calibri" w:cs="Times New Roman"/>
                <w:b/>
                <w:bCs/>
                <w:color w:val="FFFFFF"/>
                <w:sz w:val="22"/>
                <w:szCs w:val="22"/>
                <w:lang w:eastAsia="en-IN"/>
              </w:rPr>
            </w:pPr>
            <w:r w:rsidRPr="00F24F68">
              <w:rPr>
                <w:rFonts w:ascii="Calibri" w:eastAsia="Times New Roman" w:hAnsi="Calibri" w:cs="Times New Roman"/>
                <w:b/>
                <w:bCs/>
                <w:color w:val="FFFFFF"/>
                <w:sz w:val="22"/>
                <w:szCs w:val="22"/>
                <w:lang w:eastAsia="en-IN"/>
              </w:rPr>
              <w:t>Monthly</w:t>
            </w:r>
          </w:p>
        </w:tc>
      </w:tr>
      <w:tr w:rsidR="00F24F68" w:rsidRPr="00F24F68" w14:paraId="5E3EA391" w14:textId="77777777" w:rsidTr="00F24F68">
        <w:trPr>
          <w:trHeight w:val="508"/>
          <w:jc w:val="center"/>
        </w:trPr>
        <w:tc>
          <w:tcPr>
            <w:tcW w:w="5011" w:type="dxa"/>
            <w:tcBorders>
              <w:top w:val="single" w:sz="4" w:space="0" w:color="9BC2E6"/>
              <w:left w:val="single" w:sz="4" w:space="0" w:color="9BC2E6"/>
              <w:bottom w:val="single" w:sz="4" w:space="0" w:color="9BC2E6"/>
              <w:right w:val="nil"/>
            </w:tcBorders>
            <w:shd w:val="clear" w:color="DDEBF7" w:fill="DDEBF7"/>
            <w:noWrap/>
            <w:vAlign w:val="bottom"/>
            <w:hideMark/>
          </w:tcPr>
          <w:p w14:paraId="55104501" w14:textId="77777777" w:rsidR="00F24F68" w:rsidRPr="00F24F68" w:rsidRDefault="00F24F68" w:rsidP="00F24F68">
            <w:pPr>
              <w:spacing w:after="0" w:line="240" w:lineRule="auto"/>
              <w:rPr>
                <w:rFonts w:ascii="Calibri" w:eastAsia="Times New Roman" w:hAnsi="Calibri" w:cs="Times New Roman"/>
                <w:color w:val="000000"/>
                <w:sz w:val="22"/>
                <w:szCs w:val="22"/>
                <w:lang w:eastAsia="en-IN"/>
              </w:rPr>
            </w:pPr>
            <w:r w:rsidRPr="00F24F68">
              <w:rPr>
                <w:rFonts w:ascii="Calibri" w:eastAsia="Times New Roman" w:hAnsi="Calibri" w:cs="Times New Roman"/>
                <w:color w:val="000000"/>
                <w:sz w:val="22"/>
                <w:szCs w:val="22"/>
                <w:lang w:eastAsia="en-IN"/>
              </w:rPr>
              <w:t>Mean of Excess Return</w:t>
            </w:r>
          </w:p>
        </w:tc>
        <w:tc>
          <w:tcPr>
            <w:tcW w:w="1293" w:type="dxa"/>
            <w:tcBorders>
              <w:top w:val="single" w:sz="4" w:space="0" w:color="9BC2E6"/>
              <w:left w:val="nil"/>
              <w:bottom w:val="single" w:sz="4" w:space="0" w:color="9BC2E6"/>
              <w:right w:val="nil"/>
            </w:tcBorders>
            <w:shd w:val="clear" w:color="DDEBF7" w:fill="DDEBF7"/>
            <w:noWrap/>
            <w:vAlign w:val="bottom"/>
            <w:hideMark/>
          </w:tcPr>
          <w:p w14:paraId="6C340C1B" w14:textId="77777777" w:rsidR="00F24F68" w:rsidRPr="00F24F68" w:rsidRDefault="00F24F68" w:rsidP="00F24F68">
            <w:pPr>
              <w:spacing w:after="0" w:line="240" w:lineRule="auto"/>
              <w:jc w:val="right"/>
              <w:rPr>
                <w:rFonts w:ascii="Calibri" w:eastAsia="Times New Roman" w:hAnsi="Calibri" w:cs="Times New Roman"/>
                <w:color w:val="000000"/>
                <w:sz w:val="22"/>
                <w:szCs w:val="22"/>
                <w:lang w:eastAsia="en-IN"/>
              </w:rPr>
            </w:pPr>
            <w:r w:rsidRPr="00F24F68">
              <w:rPr>
                <w:rFonts w:ascii="Calibri" w:eastAsia="Times New Roman" w:hAnsi="Calibri" w:cs="Times New Roman"/>
                <w:color w:val="000000"/>
                <w:sz w:val="22"/>
                <w:szCs w:val="22"/>
                <w:lang w:eastAsia="en-IN"/>
              </w:rPr>
              <w:t>0.166</w:t>
            </w:r>
          </w:p>
        </w:tc>
        <w:tc>
          <w:tcPr>
            <w:tcW w:w="1293" w:type="dxa"/>
            <w:tcBorders>
              <w:top w:val="single" w:sz="4" w:space="0" w:color="9BC2E6"/>
              <w:left w:val="nil"/>
              <w:bottom w:val="single" w:sz="4" w:space="0" w:color="9BC2E6"/>
              <w:right w:val="nil"/>
            </w:tcBorders>
            <w:shd w:val="clear" w:color="DDEBF7" w:fill="DDEBF7"/>
            <w:noWrap/>
            <w:vAlign w:val="bottom"/>
            <w:hideMark/>
          </w:tcPr>
          <w:p w14:paraId="23C1525C" w14:textId="77777777" w:rsidR="00F24F68" w:rsidRPr="00F24F68" w:rsidRDefault="00F24F68" w:rsidP="00F24F68">
            <w:pPr>
              <w:spacing w:after="0" w:line="240" w:lineRule="auto"/>
              <w:jc w:val="right"/>
              <w:rPr>
                <w:rFonts w:ascii="Calibri" w:eastAsia="Times New Roman" w:hAnsi="Calibri" w:cs="Times New Roman"/>
                <w:color w:val="000000"/>
                <w:sz w:val="22"/>
                <w:szCs w:val="22"/>
                <w:lang w:eastAsia="en-IN"/>
              </w:rPr>
            </w:pPr>
            <w:r w:rsidRPr="00F24F68">
              <w:rPr>
                <w:rFonts w:ascii="Calibri" w:eastAsia="Times New Roman" w:hAnsi="Calibri" w:cs="Times New Roman"/>
                <w:color w:val="000000"/>
                <w:sz w:val="22"/>
                <w:szCs w:val="22"/>
                <w:lang w:eastAsia="en-IN"/>
              </w:rPr>
              <w:t>0.579</w:t>
            </w:r>
          </w:p>
        </w:tc>
        <w:tc>
          <w:tcPr>
            <w:tcW w:w="1429" w:type="dxa"/>
            <w:tcBorders>
              <w:top w:val="single" w:sz="4" w:space="0" w:color="9BC2E6"/>
              <w:left w:val="nil"/>
              <w:bottom w:val="single" w:sz="4" w:space="0" w:color="9BC2E6"/>
              <w:right w:val="single" w:sz="4" w:space="0" w:color="9BC2E6"/>
            </w:tcBorders>
            <w:shd w:val="clear" w:color="DDEBF7" w:fill="DDEBF7"/>
            <w:noWrap/>
            <w:vAlign w:val="bottom"/>
            <w:hideMark/>
          </w:tcPr>
          <w:p w14:paraId="4A815249" w14:textId="77777777" w:rsidR="00F24F68" w:rsidRPr="00F24F68" w:rsidRDefault="00F24F68" w:rsidP="00F24F68">
            <w:pPr>
              <w:spacing w:after="0" w:line="240" w:lineRule="auto"/>
              <w:jc w:val="right"/>
              <w:rPr>
                <w:rFonts w:ascii="Calibri" w:eastAsia="Times New Roman" w:hAnsi="Calibri" w:cs="Times New Roman"/>
                <w:color w:val="000000"/>
                <w:sz w:val="22"/>
                <w:szCs w:val="22"/>
                <w:lang w:eastAsia="en-IN"/>
              </w:rPr>
            </w:pPr>
            <w:r w:rsidRPr="00F24F68">
              <w:rPr>
                <w:rFonts w:ascii="Calibri" w:eastAsia="Times New Roman" w:hAnsi="Calibri" w:cs="Times New Roman"/>
                <w:color w:val="000000"/>
                <w:sz w:val="22"/>
                <w:szCs w:val="22"/>
                <w:lang w:eastAsia="en-IN"/>
              </w:rPr>
              <w:t>3.354</w:t>
            </w:r>
          </w:p>
        </w:tc>
      </w:tr>
      <w:tr w:rsidR="00F24F68" w:rsidRPr="00F24F68" w14:paraId="2DE0CC0E" w14:textId="77777777" w:rsidTr="00F24F68">
        <w:trPr>
          <w:trHeight w:val="508"/>
          <w:jc w:val="center"/>
        </w:trPr>
        <w:tc>
          <w:tcPr>
            <w:tcW w:w="5011" w:type="dxa"/>
            <w:tcBorders>
              <w:top w:val="single" w:sz="4" w:space="0" w:color="9BC2E6"/>
              <w:left w:val="single" w:sz="4" w:space="0" w:color="9BC2E6"/>
              <w:bottom w:val="single" w:sz="4" w:space="0" w:color="9BC2E6"/>
              <w:right w:val="nil"/>
            </w:tcBorders>
            <w:shd w:val="clear" w:color="auto" w:fill="auto"/>
            <w:noWrap/>
            <w:vAlign w:val="bottom"/>
            <w:hideMark/>
          </w:tcPr>
          <w:p w14:paraId="2415E4D8" w14:textId="77777777" w:rsidR="00F24F68" w:rsidRPr="00F24F68" w:rsidRDefault="00F24F68" w:rsidP="00F24F68">
            <w:pPr>
              <w:spacing w:after="0" w:line="240" w:lineRule="auto"/>
              <w:rPr>
                <w:rFonts w:ascii="Calibri" w:eastAsia="Times New Roman" w:hAnsi="Calibri" w:cs="Times New Roman"/>
                <w:color w:val="000000"/>
                <w:sz w:val="22"/>
                <w:szCs w:val="22"/>
                <w:lang w:eastAsia="en-IN"/>
              </w:rPr>
            </w:pPr>
            <w:r w:rsidRPr="00F24F68">
              <w:rPr>
                <w:rFonts w:ascii="Calibri" w:eastAsia="Times New Roman" w:hAnsi="Calibri" w:cs="Times New Roman"/>
                <w:color w:val="000000"/>
                <w:sz w:val="22"/>
                <w:szCs w:val="22"/>
                <w:lang w:eastAsia="en-IN"/>
              </w:rPr>
              <w:t>Standard Deviation of Unadjusted Returns</w:t>
            </w:r>
          </w:p>
        </w:tc>
        <w:tc>
          <w:tcPr>
            <w:tcW w:w="1293" w:type="dxa"/>
            <w:tcBorders>
              <w:top w:val="single" w:sz="4" w:space="0" w:color="9BC2E6"/>
              <w:left w:val="nil"/>
              <w:bottom w:val="single" w:sz="4" w:space="0" w:color="9BC2E6"/>
              <w:right w:val="nil"/>
            </w:tcBorders>
            <w:shd w:val="clear" w:color="auto" w:fill="auto"/>
            <w:noWrap/>
            <w:vAlign w:val="bottom"/>
            <w:hideMark/>
          </w:tcPr>
          <w:p w14:paraId="76F8ECE9" w14:textId="77777777" w:rsidR="00F24F68" w:rsidRPr="00F24F68" w:rsidRDefault="00F24F68" w:rsidP="00F24F68">
            <w:pPr>
              <w:spacing w:after="0" w:line="240" w:lineRule="auto"/>
              <w:jc w:val="right"/>
              <w:rPr>
                <w:rFonts w:ascii="Calibri" w:eastAsia="Times New Roman" w:hAnsi="Calibri" w:cs="Times New Roman"/>
                <w:color w:val="000000"/>
                <w:sz w:val="22"/>
                <w:szCs w:val="22"/>
                <w:lang w:eastAsia="en-IN"/>
              </w:rPr>
            </w:pPr>
            <w:r w:rsidRPr="00F24F68">
              <w:rPr>
                <w:rFonts w:ascii="Calibri" w:eastAsia="Times New Roman" w:hAnsi="Calibri" w:cs="Times New Roman"/>
                <w:color w:val="000000"/>
                <w:sz w:val="22"/>
                <w:szCs w:val="22"/>
                <w:lang w:eastAsia="en-IN"/>
              </w:rPr>
              <w:t>1.8</w:t>
            </w:r>
          </w:p>
        </w:tc>
        <w:tc>
          <w:tcPr>
            <w:tcW w:w="1293" w:type="dxa"/>
            <w:tcBorders>
              <w:top w:val="single" w:sz="4" w:space="0" w:color="9BC2E6"/>
              <w:left w:val="nil"/>
              <w:bottom w:val="single" w:sz="4" w:space="0" w:color="9BC2E6"/>
              <w:right w:val="nil"/>
            </w:tcBorders>
            <w:shd w:val="clear" w:color="auto" w:fill="auto"/>
            <w:noWrap/>
            <w:vAlign w:val="bottom"/>
            <w:hideMark/>
          </w:tcPr>
          <w:p w14:paraId="46A59A8F" w14:textId="77777777" w:rsidR="00F24F68" w:rsidRPr="00F24F68" w:rsidRDefault="00F24F68" w:rsidP="00F24F68">
            <w:pPr>
              <w:spacing w:after="0" w:line="240" w:lineRule="auto"/>
              <w:jc w:val="right"/>
              <w:rPr>
                <w:rFonts w:ascii="Calibri" w:eastAsia="Times New Roman" w:hAnsi="Calibri" w:cs="Times New Roman"/>
                <w:color w:val="000000"/>
                <w:sz w:val="22"/>
                <w:szCs w:val="22"/>
                <w:lang w:eastAsia="en-IN"/>
              </w:rPr>
            </w:pPr>
            <w:r w:rsidRPr="00F24F68">
              <w:rPr>
                <w:rFonts w:ascii="Calibri" w:eastAsia="Times New Roman" w:hAnsi="Calibri" w:cs="Times New Roman"/>
                <w:color w:val="000000"/>
                <w:sz w:val="22"/>
                <w:szCs w:val="22"/>
                <w:lang w:eastAsia="en-IN"/>
              </w:rPr>
              <w:t>3.459</w:t>
            </w:r>
          </w:p>
        </w:tc>
        <w:tc>
          <w:tcPr>
            <w:tcW w:w="1429" w:type="dxa"/>
            <w:tcBorders>
              <w:top w:val="single" w:sz="4" w:space="0" w:color="9BC2E6"/>
              <w:left w:val="nil"/>
              <w:bottom w:val="single" w:sz="4" w:space="0" w:color="9BC2E6"/>
              <w:right w:val="single" w:sz="4" w:space="0" w:color="9BC2E6"/>
            </w:tcBorders>
            <w:shd w:val="clear" w:color="auto" w:fill="auto"/>
            <w:noWrap/>
            <w:vAlign w:val="bottom"/>
            <w:hideMark/>
          </w:tcPr>
          <w:p w14:paraId="5A2739C9" w14:textId="77777777" w:rsidR="00F24F68" w:rsidRPr="00F24F68" w:rsidRDefault="00F24F68" w:rsidP="00F24F68">
            <w:pPr>
              <w:spacing w:after="0" w:line="240" w:lineRule="auto"/>
              <w:jc w:val="right"/>
              <w:rPr>
                <w:rFonts w:ascii="Calibri" w:eastAsia="Times New Roman" w:hAnsi="Calibri" w:cs="Times New Roman"/>
                <w:color w:val="000000"/>
                <w:sz w:val="22"/>
                <w:szCs w:val="22"/>
                <w:lang w:eastAsia="en-IN"/>
              </w:rPr>
            </w:pPr>
            <w:r w:rsidRPr="00F24F68">
              <w:rPr>
                <w:rFonts w:ascii="Calibri" w:eastAsia="Times New Roman" w:hAnsi="Calibri" w:cs="Times New Roman"/>
                <w:color w:val="000000"/>
                <w:sz w:val="22"/>
                <w:szCs w:val="22"/>
                <w:lang w:eastAsia="en-IN"/>
              </w:rPr>
              <w:t>4.041</w:t>
            </w:r>
          </w:p>
        </w:tc>
      </w:tr>
      <w:tr w:rsidR="00F24F68" w:rsidRPr="00F24F68" w14:paraId="568DCCF9" w14:textId="77777777" w:rsidTr="00F24F68">
        <w:trPr>
          <w:trHeight w:val="508"/>
          <w:jc w:val="center"/>
        </w:trPr>
        <w:tc>
          <w:tcPr>
            <w:tcW w:w="5011" w:type="dxa"/>
            <w:tcBorders>
              <w:top w:val="single" w:sz="4" w:space="0" w:color="9BC2E6"/>
              <w:left w:val="single" w:sz="4" w:space="0" w:color="9BC2E6"/>
              <w:bottom w:val="single" w:sz="4" w:space="0" w:color="9BC2E6"/>
              <w:right w:val="nil"/>
            </w:tcBorders>
            <w:shd w:val="clear" w:color="DDEBF7" w:fill="DDEBF7"/>
            <w:noWrap/>
            <w:vAlign w:val="bottom"/>
            <w:hideMark/>
          </w:tcPr>
          <w:p w14:paraId="24010E7A" w14:textId="77777777" w:rsidR="00F24F68" w:rsidRPr="00F24F68" w:rsidRDefault="00F24F68" w:rsidP="00F24F68">
            <w:pPr>
              <w:spacing w:after="0" w:line="240" w:lineRule="auto"/>
              <w:rPr>
                <w:rFonts w:ascii="Calibri" w:eastAsia="Times New Roman" w:hAnsi="Calibri" w:cs="Times New Roman"/>
                <w:color w:val="000000"/>
                <w:sz w:val="22"/>
                <w:szCs w:val="22"/>
                <w:lang w:eastAsia="en-IN"/>
              </w:rPr>
            </w:pPr>
            <w:r w:rsidRPr="00F24F68">
              <w:rPr>
                <w:rFonts w:ascii="Calibri" w:eastAsia="Times New Roman" w:hAnsi="Calibri" w:cs="Times New Roman"/>
                <w:color w:val="000000"/>
                <w:sz w:val="22"/>
                <w:szCs w:val="22"/>
                <w:lang w:eastAsia="en-IN"/>
              </w:rPr>
              <w:t>Sharpe Ratio</w:t>
            </w:r>
          </w:p>
        </w:tc>
        <w:tc>
          <w:tcPr>
            <w:tcW w:w="1293" w:type="dxa"/>
            <w:tcBorders>
              <w:top w:val="single" w:sz="4" w:space="0" w:color="9BC2E6"/>
              <w:left w:val="nil"/>
              <w:bottom w:val="single" w:sz="4" w:space="0" w:color="9BC2E6"/>
              <w:right w:val="nil"/>
            </w:tcBorders>
            <w:shd w:val="clear" w:color="DDEBF7" w:fill="F8696B"/>
            <w:noWrap/>
            <w:vAlign w:val="bottom"/>
            <w:hideMark/>
          </w:tcPr>
          <w:p w14:paraId="57952C8B" w14:textId="77777777" w:rsidR="00F24F68" w:rsidRPr="00F24F68" w:rsidRDefault="00F24F68" w:rsidP="00F24F68">
            <w:pPr>
              <w:spacing w:after="0" w:line="240" w:lineRule="auto"/>
              <w:jc w:val="right"/>
              <w:rPr>
                <w:rFonts w:ascii="Calibri" w:eastAsia="Times New Roman" w:hAnsi="Calibri" w:cs="Times New Roman"/>
                <w:color w:val="000000"/>
                <w:sz w:val="22"/>
                <w:szCs w:val="22"/>
                <w:lang w:eastAsia="en-IN"/>
              </w:rPr>
            </w:pPr>
            <w:r w:rsidRPr="00F24F68">
              <w:rPr>
                <w:rFonts w:ascii="Calibri" w:eastAsia="Times New Roman" w:hAnsi="Calibri" w:cs="Times New Roman"/>
                <w:color w:val="000000"/>
                <w:sz w:val="22"/>
                <w:szCs w:val="22"/>
                <w:lang w:eastAsia="en-IN"/>
              </w:rPr>
              <w:t>0.092222</w:t>
            </w:r>
          </w:p>
        </w:tc>
        <w:tc>
          <w:tcPr>
            <w:tcW w:w="1293" w:type="dxa"/>
            <w:tcBorders>
              <w:top w:val="single" w:sz="4" w:space="0" w:color="9BC2E6"/>
              <w:left w:val="nil"/>
              <w:bottom w:val="single" w:sz="4" w:space="0" w:color="9BC2E6"/>
              <w:right w:val="nil"/>
            </w:tcBorders>
            <w:shd w:val="clear" w:color="DDEBF7" w:fill="FCFCFF"/>
            <w:noWrap/>
            <w:vAlign w:val="bottom"/>
            <w:hideMark/>
          </w:tcPr>
          <w:p w14:paraId="10DAC29D" w14:textId="77777777" w:rsidR="00F24F68" w:rsidRPr="00F24F68" w:rsidRDefault="00F24F68" w:rsidP="00F24F68">
            <w:pPr>
              <w:spacing w:after="0" w:line="240" w:lineRule="auto"/>
              <w:jc w:val="right"/>
              <w:rPr>
                <w:rFonts w:ascii="Calibri" w:eastAsia="Times New Roman" w:hAnsi="Calibri" w:cs="Times New Roman"/>
                <w:color w:val="000000"/>
                <w:sz w:val="22"/>
                <w:szCs w:val="22"/>
                <w:lang w:eastAsia="en-IN"/>
              </w:rPr>
            </w:pPr>
            <w:r w:rsidRPr="00F24F68">
              <w:rPr>
                <w:rFonts w:ascii="Calibri" w:eastAsia="Times New Roman" w:hAnsi="Calibri" w:cs="Times New Roman"/>
                <w:color w:val="000000"/>
                <w:sz w:val="22"/>
                <w:szCs w:val="22"/>
                <w:lang w:eastAsia="en-IN"/>
              </w:rPr>
              <w:t>0.167389</w:t>
            </w:r>
          </w:p>
        </w:tc>
        <w:tc>
          <w:tcPr>
            <w:tcW w:w="1429" w:type="dxa"/>
            <w:tcBorders>
              <w:top w:val="single" w:sz="4" w:space="0" w:color="9BC2E6"/>
              <w:left w:val="nil"/>
              <w:bottom w:val="single" w:sz="4" w:space="0" w:color="9BC2E6"/>
              <w:right w:val="single" w:sz="4" w:space="0" w:color="9BC2E6"/>
            </w:tcBorders>
            <w:shd w:val="clear" w:color="DDEBF7" w:fill="63BE7B"/>
            <w:noWrap/>
            <w:vAlign w:val="bottom"/>
            <w:hideMark/>
          </w:tcPr>
          <w:p w14:paraId="3368CD03" w14:textId="77777777" w:rsidR="00F24F68" w:rsidRPr="00F24F68" w:rsidRDefault="00F24F68" w:rsidP="00F24F68">
            <w:pPr>
              <w:spacing w:after="0" w:line="240" w:lineRule="auto"/>
              <w:jc w:val="right"/>
              <w:rPr>
                <w:rFonts w:ascii="Calibri" w:eastAsia="Times New Roman" w:hAnsi="Calibri" w:cs="Times New Roman"/>
                <w:color w:val="000000"/>
                <w:sz w:val="22"/>
                <w:szCs w:val="22"/>
                <w:lang w:eastAsia="en-IN"/>
              </w:rPr>
            </w:pPr>
            <w:r w:rsidRPr="00F24F68">
              <w:rPr>
                <w:rFonts w:ascii="Calibri" w:eastAsia="Times New Roman" w:hAnsi="Calibri" w:cs="Times New Roman"/>
                <w:color w:val="000000"/>
                <w:sz w:val="22"/>
                <w:szCs w:val="22"/>
                <w:lang w:eastAsia="en-IN"/>
              </w:rPr>
              <w:t>0.8299926</w:t>
            </w:r>
          </w:p>
        </w:tc>
      </w:tr>
    </w:tbl>
    <w:p w14:paraId="0731EF1A" w14:textId="77777777" w:rsidR="00005E73" w:rsidRDefault="00005E73" w:rsidP="00F5008D">
      <w:pPr>
        <w:ind w:firstLine="720"/>
        <w:rPr>
          <w:rFonts w:ascii="CMCSC10" w:hAnsi="CMCSC10"/>
          <w:sz w:val="36"/>
          <w:szCs w:val="36"/>
        </w:rPr>
      </w:pPr>
    </w:p>
    <w:p w14:paraId="0F93055E" w14:textId="37BC878E" w:rsidR="00E840E7" w:rsidRDefault="00E840E7" w:rsidP="00F5008D">
      <w:pPr>
        <w:ind w:firstLine="720"/>
        <w:rPr>
          <w:rFonts w:ascii="CMCSC10" w:hAnsi="CMCSC10"/>
          <w:color w:val="141719" w:themeColor="background2" w:themeShade="1A"/>
          <w:sz w:val="36"/>
          <w:szCs w:val="36"/>
        </w:rPr>
      </w:pPr>
      <w:r>
        <w:rPr>
          <w:rFonts w:ascii="CMCSC10" w:hAnsi="CMCSC10"/>
          <w:sz w:val="36"/>
          <w:szCs w:val="36"/>
        </w:rPr>
        <w:lastRenderedPageBreak/>
        <w:t xml:space="preserve">The </w:t>
      </w:r>
      <w:r>
        <w:rPr>
          <w:rFonts w:ascii="CMCSC10" w:hAnsi="CMCSC10"/>
          <w:b/>
          <w:bCs/>
          <w:color w:val="1C6194" w:themeColor="accent2" w:themeShade="BF"/>
          <w:sz w:val="36"/>
          <w:szCs w:val="36"/>
        </w:rPr>
        <w:t>R</w:t>
      </w:r>
      <w:r w:rsidRPr="00E840E7">
        <w:rPr>
          <w:rFonts w:ascii="CMCSC10" w:hAnsi="CMCSC10"/>
          <w:b/>
          <w:bCs/>
          <w:color w:val="1C6194" w:themeColor="accent2" w:themeShade="BF"/>
          <w:sz w:val="36"/>
          <w:szCs w:val="36"/>
        </w:rPr>
        <w:t xml:space="preserve">eason </w:t>
      </w:r>
      <w:r>
        <w:rPr>
          <w:rFonts w:ascii="CMCSC10" w:hAnsi="CMCSC10"/>
          <w:sz w:val="36"/>
          <w:szCs w:val="36"/>
        </w:rPr>
        <w:t>behind th</w:t>
      </w:r>
      <w:r w:rsidR="001F0BA0">
        <w:rPr>
          <w:rFonts w:ascii="CMCSC10" w:hAnsi="CMCSC10"/>
          <w:sz w:val="36"/>
          <w:szCs w:val="36"/>
        </w:rPr>
        <w:t xml:space="preserve">ese observations is the </w:t>
      </w:r>
      <w:r w:rsidR="001F0BA0" w:rsidRPr="001F0BA0">
        <w:rPr>
          <w:rFonts w:ascii="CMCSC10" w:hAnsi="CMCSC10"/>
          <w:color w:val="1C6194" w:themeColor="accent2" w:themeShade="BF"/>
          <w:sz w:val="36"/>
          <w:szCs w:val="36"/>
        </w:rPr>
        <w:t>high volatil</w:t>
      </w:r>
      <w:r w:rsidR="001F0BA0">
        <w:rPr>
          <w:rFonts w:ascii="CMCSC10" w:hAnsi="CMCSC10"/>
          <w:color w:val="1C6194" w:themeColor="accent2" w:themeShade="BF"/>
          <w:sz w:val="36"/>
          <w:szCs w:val="36"/>
        </w:rPr>
        <w:t xml:space="preserve">ity </w:t>
      </w:r>
      <w:r w:rsidR="001F0BA0" w:rsidRPr="001F0BA0">
        <w:rPr>
          <w:rFonts w:ascii="CMCSC10" w:hAnsi="CMCSC10"/>
          <w:color w:val="141719" w:themeColor="background2" w:themeShade="1A"/>
          <w:sz w:val="36"/>
          <w:szCs w:val="36"/>
        </w:rPr>
        <w:t>of</w:t>
      </w:r>
      <w:r w:rsidR="001F0BA0">
        <w:rPr>
          <w:rFonts w:ascii="CMCSC10" w:hAnsi="CMCSC10"/>
          <w:color w:val="141719" w:themeColor="background2" w:themeShade="1A"/>
          <w:sz w:val="36"/>
          <w:szCs w:val="36"/>
        </w:rPr>
        <w:t xml:space="preserve"> Nestl</w:t>
      </w:r>
      <w:r w:rsidR="001F0BA0">
        <w:rPr>
          <w:rFonts w:ascii="CMCSC10" w:hAnsi="CMCSC10" w:hint="eastAsia"/>
          <w:color w:val="141719" w:themeColor="background2" w:themeShade="1A"/>
          <w:sz w:val="36"/>
          <w:szCs w:val="36"/>
        </w:rPr>
        <w:t>é</w:t>
      </w:r>
      <w:r w:rsidR="001F0BA0">
        <w:rPr>
          <w:rFonts w:ascii="CMCSC10" w:hAnsi="CMCSC10"/>
          <w:color w:val="141719" w:themeColor="background2" w:themeShade="1A"/>
          <w:sz w:val="36"/>
          <w:szCs w:val="36"/>
        </w:rPr>
        <w:t xml:space="preserve">’s Stock in the year 2019-20. </w:t>
      </w:r>
      <w:r w:rsidR="001F0BA0" w:rsidRPr="001F0BA0">
        <w:rPr>
          <w:rFonts w:ascii="CMCSC10" w:hAnsi="CMCSC10"/>
          <w:color w:val="141719" w:themeColor="background2" w:themeShade="1A"/>
          <w:sz w:val="36"/>
          <w:szCs w:val="36"/>
        </w:rPr>
        <w:t xml:space="preserve">Volatility is not </w:t>
      </w:r>
      <w:r w:rsidR="001F0BA0">
        <w:rPr>
          <w:rFonts w:ascii="CMCSC10" w:hAnsi="CMCSC10"/>
          <w:color w:val="141719" w:themeColor="background2" w:themeShade="1A"/>
          <w:sz w:val="36"/>
          <w:szCs w:val="36"/>
        </w:rPr>
        <w:t>bad</w:t>
      </w:r>
      <w:r w:rsidR="001F0BA0" w:rsidRPr="001F0BA0">
        <w:rPr>
          <w:rFonts w:ascii="CMCSC10" w:hAnsi="CMCSC10"/>
          <w:color w:val="141719" w:themeColor="background2" w:themeShade="1A"/>
          <w:sz w:val="36"/>
          <w:szCs w:val="36"/>
        </w:rPr>
        <w:t xml:space="preserve"> per se. A stock which develops over time is volatile. If there is no volatility there are no gains in the market as well.</w:t>
      </w:r>
      <w:r w:rsidR="001F0BA0">
        <w:rPr>
          <w:rFonts w:ascii="CMCSC10" w:hAnsi="CMCSC10"/>
          <w:color w:val="141719" w:themeColor="background2" w:themeShade="1A"/>
          <w:sz w:val="36"/>
          <w:szCs w:val="36"/>
        </w:rPr>
        <w:t xml:space="preserve"> Moreover, companies in the Food Processing Industry generally have such volatility.  </w:t>
      </w:r>
      <w:r w:rsidR="001F0BA0" w:rsidRPr="00C23DEB">
        <w:rPr>
          <w:rFonts w:ascii="CMCSC10" w:hAnsi="CMCSC10"/>
          <w:color w:val="1C6194" w:themeColor="accent2" w:themeShade="BF"/>
          <w:sz w:val="36"/>
          <w:szCs w:val="36"/>
        </w:rPr>
        <w:t>Although the profitability is evidently high, the</w:t>
      </w:r>
      <w:r w:rsidR="00EF2CC3">
        <w:rPr>
          <w:rFonts w:ascii="CMCSC10" w:hAnsi="CMCSC10"/>
          <w:color w:val="1C6194" w:themeColor="accent2" w:themeShade="BF"/>
          <w:sz w:val="36"/>
          <w:szCs w:val="36"/>
        </w:rPr>
        <w:t>ir</w:t>
      </w:r>
      <w:r w:rsidR="001F0BA0" w:rsidRPr="00C23DEB">
        <w:rPr>
          <w:rFonts w:ascii="CMCSC10" w:hAnsi="CMCSC10"/>
          <w:color w:val="1C6194" w:themeColor="accent2" w:themeShade="BF"/>
          <w:sz w:val="36"/>
          <w:szCs w:val="36"/>
        </w:rPr>
        <w:t xml:space="preserve"> lack of stability on a daily basis makes trading on a </w:t>
      </w:r>
      <w:r w:rsidR="00C23DEB">
        <w:rPr>
          <w:rFonts w:ascii="CMCSC10" w:hAnsi="CMCSC10"/>
          <w:color w:val="1C6194" w:themeColor="accent2" w:themeShade="BF"/>
          <w:sz w:val="36"/>
          <w:szCs w:val="36"/>
        </w:rPr>
        <w:t>M</w:t>
      </w:r>
      <w:r w:rsidR="001F0BA0" w:rsidRPr="00C23DEB">
        <w:rPr>
          <w:rFonts w:ascii="CMCSC10" w:hAnsi="CMCSC10"/>
          <w:color w:val="1C6194" w:themeColor="accent2" w:themeShade="BF"/>
          <w:sz w:val="36"/>
          <w:szCs w:val="36"/>
        </w:rPr>
        <w:t xml:space="preserve">onthly frequency the best option. </w:t>
      </w:r>
    </w:p>
    <w:p w14:paraId="129637FF" w14:textId="08CB87D5" w:rsidR="000462FF" w:rsidRDefault="000462FF" w:rsidP="00F5008D">
      <w:pPr>
        <w:ind w:firstLine="720"/>
        <w:rPr>
          <w:rFonts w:ascii="CMCSC10" w:hAnsi="CMCSC10"/>
          <w:b/>
          <w:bCs/>
          <w:color w:val="1481AB" w:themeColor="accent1" w:themeShade="BF"/>
          <w:sz w:val="40"/>
          <w:szCs w:val="40"/>
          <w:u w:val="single"/>
        </w:rPr>
      </w:pPr>
      <w:r>
        <w:rPr>
          <w:rFonts w:ascii="CMCSC10" w:hAnsi="CMCSC10"/>
          <w:color w:val="141719" w:themeColor="background2" w:themeShade="1A"/>
          <w:sz w:val="36"/>
          <w:szCs w:val="36"/>
        </w:rPr>
        <w:t xml:space="preserve">Another salient point that should be noted is the unusually high volatility </w:t>
      </w:r>
      <w:r w:rsidRPr="00C23DEB">
        <w:rPr>
          <w:rFonts w:ascii="CMCSC10" w:hAnsi="CMCSC10"/>
          <w:color w:val="1C6194" w:themeColor="accent2" w:themeShade="BF"/>
          <w:sz w:val="36"/>
          <w:szCs w:val="36"/>
        </w:rPr>
        <w:t>in the month of March</w:t>
      </w:r>
      <w:r>
        <w:rPr>
          <w:rFonts w:ascii="CMCSC10" w:hAnsi="CMCSC10"/>
          <w:color w:val="141719" w:themeColor="background2" w:themeShade="1A"/>
          <w:sz w:val="36"/>
          <w:szCs w:val="36"/>
        </w:rPr>
        <w:t xml:space="preserve">, which occurred due to the COVID-19 Outbreak, which </w:t>
      </w:r>
      <w:r w:rsidR="004A296F">
        <w:rPr>
          <w:rFonts w:ascii="CMCSC10" w:hAnsi="CMCSC10"/>
          <w:color w:val="141719" w:themeColor="background2" w:themeShade="1A"/>
          <w:sz w:val="36"/>
          <w:szCs w:val="36"/>
        </w:rPr>
        <w:t>was the reason behind</w:t>
      </w:r>
      <w:r>
        <w:rPr>
          <w:rFonts w:ascii="CMCSC10" w:hAnsi="CMCSC10"/>
          <w:color w:val="141719" w:themeColor="background2" w:themeShade="1A"/>
          <w:sz w:val="36"/>
          <w:szCs w:val="36"/>
        </w:rPr>
        <w:t xml:space="preserve"> stock prices crashing down around the world.</w:t>
      </w:r>
    </w:p>
    <w:p w14:paraId="7D75DB78" w14:textId="77777777" w:rsidR="007A294B" w:rsidRDefault="007A294B" w:rsidP="007A294B">
      <w:pPr>
        <w:rPr>
          <w:rFonts w:ascii="CMCSC10" w:hAnsi="CMCSC10"/>
          <w:b/>
          <w:bCs/>
          <w:color w:val="1481AB" w:themeColor="accent1" w:themeShade="BF"/>
          <w:sz w:val="40"/>
          <w:szCs w:val="40"/>
          <w:u w:val="single"/>
        </w:rPr>
      </w:pPr>
    </w:p>
    <w:p w14:paraId="1E486987" w14:textId="5C3B4AB0" w:rsidR="00285CEB" w:rsidRDefault="00B97376" w:rsidP="007A294B">
      <w:pPr>
        <w:ind w:left="2880" w:firstLine="720"/>
        <w:rPr>
          <w:rFonts w:ascii="CMCSC10" w:hAnsi="CMCSC10"/>
          <w:b/>
          <w:bCs/>
          <w:color w:val="1481AB" w:themeColor="accent1" w:themeShade="BF"/>
          <w:sz w:val="40"/>
          <w:szCs w:val="40"/>
          <w:u w:val="single"/>
        </w:rPr>
      </w:pPr>
      <w:r w:rsidRPr="0082070C">
        <w:rPr>
          <w:rFonts w:ascii="CMCSC10" w:hAnsi="CMCSC10"/>
          <w:b/>
          <w:bCs/>
          <w:color w:val="1481AB" w:themeColor="accent1" w:themeShade="BF"/>
          <w:sz w:val="40"/>
          <w:szCs w:val="40"/>
          <w:u w:val="single"/>
        </w:rPr>
        <w:t xml:space="preserve">Section </w:t>
      </w:r>
      <w:r>
        <w:rPr>
          <w:rFonts w:ascii="CMCSC10" w:hAnsi="CMCSC10"/>
          <w:b/>
          <w:bCs/>
          <w:color w:val="1481AB" w:themeColor="accent1" w:themeShade="BF"/>
          <w:sz w:val="40"/>
          <w:szCs w:val="40"/>
          <w:u w:val="single"/>
        </w:rPr>
        <w:t>2</w:t>
      </w:r>
    </w:p>
    <w:p w14:paraId="6F95240E" w14:textId="0AF7BB6F" w:rsidR="00A2632C" w:rsidRPr="00804875" w:rsidRDefault="00B97376" w:rsidP="00B97376">
      <w:pPr>
        <w:rPr>
          <w:sz w:val="36"/>
          <w:szCs w:val="36"/>
        </w:rPr>
      </w:pPr>
      <w:r>
        <w:rPr>
          <w:rFonts w:ascii="CMCSC10" w:hAnsi="CMCSC10"/>
          <w:b/>
          <w:bCs/>
          <w:color w:val="1481AB" w:themeColor="accent1" w:themeShade="BF"/>
          <w:sz w:val="40"/>
          <w:szCs w:val="40"/>
        </w:rPr>
        <w:t>5 Equity Futures</w:t>
      </w:r>
    </w:p>
    <w:p w14:paraId="6352D591" w14:textId="58988E3A" w:rsidR="00B97376" w:rsidRDefault="00B97376" w:rsidP="00B97376">
      <w:pPr>
        <w:rPr>
          <w:rFonts w:ascii="CMCSC10" w:hAnsi="CMCSC10"/>
          <w:color w:val="1481AB" w:themeColor="accent1" w:themeShade="BF"/>
          <w:sz w:val="36"/>
          <w:szCs w:val="32"/>
        </w:rPr>
      </w:pPr>
      <w:r>
        <w:rPr>
          <w:rFonts w:ascii="CMCSC10" w:hAnsi="CMCSC10"/>
          <w:color w:val="1481AB" w:themeColor="accent1" w:themeShade="BF"/>
          <w:sz w:val="36"/>
          <w:szCs w:val="32"/>
        </w:rPr>
        <w:t>5.1 Commencement of Equity Futures</w:t>
      </w:r>
    </w:p>
    <w:p w14:paraId="293AC625" w14:textId="1DD0182D" w:rsidR="009C169A" w:rsidRDefault="00DF73F1" w:rsidP="00B97376">
      <w:pPr>
        <w:rPr>
          <w:rFonts w:ascii="CMCSC10" w:hAnsi="CMCSC10"/>
          <w:color w:val="1481AB" w:themeColor="accent1" w:themeShade="BF"/>
          <w:sz w:val="36"/>
          <w:szCs w:val="32"/>
        </w:rPr>
      </w:pPr>
      <w:r>
        <w:rPr>
          <w:rFonts w:ascii="CMCSC10" w:hAnsi="CMCSC10"/>
          <w:color w:val="1481AB" w:themeColor="accent1" w:themeShade="BF"/>
          <w:sz w:val="36"/>
          <w:szCs w:val="32"/>
        </w:rPr>
        <w:tab/>
        <w:t xml:space="preserve"> </w:t>
      </w:r>
      <w:r w:rsidRPr="00DF73F1">
        <w:rPr>
          <w:rFonts w:ascii="CMCSC10" w:hAnsi="CMCSC10"/>
          <w:color w:val="000000" w:themeColor="text1"/>
          <w:sz w:val="36"/>
          <w:szCs w:val="32"/>
        </w:rPr>
        <w:t>Equity Futures of</w:t>
      </w:r>
      <w:r>
        <w:rPr>
          <w:rFonts w:ascii="CMCSC10" w:hAnsi="CMCSC10"/>
          <w:color w:val="1481AB" w:themeColor="accent1" w:themeShade="BF"/>
          <w:sz w:val="36"/>
          <w:szCs w:val="32"/>
        </w:rPr>
        <w:t xml:space="preserve"> </w:t>
      </w:r>
      <w:r>
        <w:rPr>
          <w:rFonts w:ascii="CMCSC10" w:hAnsi="CMCSC10"/>
          <w:color w:val="141719" w:themeColor="background2" w:themeShade="1A"/>
          <w:sz w:val="36"/>
          <w:szCs w:val="36"/>
        </w:rPr>
        <w:t>Nestl</w:t>
      </w:r>
      <w:r>
        <w:rPr>
          <w:rFonts w:ascii="CMCSC10" w:hAnsi="CMCSC10" w:hint="eastAsia"/>
          <w:color w:val="141719" w:themeColor="background2" w:themeShade="1A"/>
          <w:sz w:val="36"/>
          <w:szCs w:val="36"/>
        </w:rPr>
        <w:t>é</w:t>
      </w:r>
      <w:r>
        <w:rPr>
          <w:rFonts w:ascii="CMCSC10" w:hAnsi="CMCSC10"/>
          <w:color w:val="141719" w:themeColor="background2" w:themeShade="1A"/>
          <w:sz w:val="36"/>
          <w:szCs w:val="36"/>
        </w:rPr>
        <w:t xml:space="preserve"> India started trading </w:t>
      </w:r>
      <w:r w:rsidR="009C169A">
        <w:rPr>
          <w:rFonts w:ascii="CMCSC10" w:hAnsi="CMCSC10"/>
          <w:color w:val="141719" w:themeColor="background2" w:themeShade="1A"/>
          <w:sz w:val="36"/>
          <w:szCs w:val="36"/>
        </w:rPr>
        <w:t>on the NSE from</w:t>
      </w:r>
      <w:r>
        <w:rPr>
          <w:rFonts w:ascii="CMCSC10" w:hAnsi="CMCSC10"/>
          <w:color w:val="141719" w:themeColor="background2" w:themeShade="1A"/>
          <w:sz w:val="36"/>
          <w:szCs w:val="36"/>
        </w:rPr>
        <w:t xml:space="preserve"> 2</w:t>
      </w:r>
      <w:r w:rsidR="009C169A">
        <w:rPr>
          <w:rFonts w:ascii="CMCSC10" w:hAnsi="CMCSC10"/>
          <w:color w:val="141719" w:themeColor="background2" w:themeShade="1A"/>
          <w:sz w:val="36"/>
          <w:szCs w:val="36"/>
        </w:rPr>
        <w:t>8</w:t>
      </w:r>
      <w:r w:rsidRPr="00DF73F1">
        <w:rPr>
          <w:rFonts w:ascii="CMCSC10" w:hAnsi="CMCSC10"/>
          <w:color w:val="141719" w:themeColor="background2" w:themeShade="1A"/>
          <w:sz w:val="36"/>
          <w:szCs w:val="36"/>
          <w:vertAlign w:val="superscript"/>
        </w:rPr>
        <w:t>th</w:t>
      </w:r>
      <w:r>
        <w:rPr>
          <w:rFonts w:ascii="CMCSC10" w:hAnsi="CMCSC10"/>
          <w:color w:val="141719" w:themeColor="background2" w:themeShade="1A"/>
          <w:sz w:val="36"/>
          <w:szCs w:val="36"/>
        </w:rPr>
        <w:t xml:space="preserve"> April, 2017</w:t>
      </w:r>
      <w:r w:rsidR="009C169A">
        <w:rPr>
          <w:rFonts w:ascii="CMCSC10" w:hAnsi="CMCSC10"/>
          <w:color w:val="141719" w:themeColor="background2" w:themeShade="1A"/>
          <w:sz w:val="36"/>
          <w:szCs w:val="36"/>
        </w:rPr>
        <w:t xml:space="preserve"> with 371 contracts for Near Month and none for Next and Far Month. The Open Interest Rate for the Near Month Contract was 24,400 at that time.</w:t>
      </w:r>
    </w:p>
    <w:p w14:paraId="77E19EDC" w14:textId="77777777" w:rsidR="00684C3D" w:rsidRDefault="00B97376" w:rsidP="00684C3D">
      <w:pPr>
        <w:rPr>
          <w:rFonts w:ascii="CMCSC10" w:hAnsi="CMCSC10"/>
          <w:color w:val="1481AB" w:themeColor="accent1" w:themeShade="BF"/>
          <w:sz w:val="36"/>
          <w:szCs w:val="32"/>
        </w:rPr>
      </w:pPr>
      <w:r>
        <w:rPr>
          <w:rFonts w:ascii="CMCSC10" w:hAnsi="CMCSC10"/>
          <w:color w:val="1481AB" w:themeColor="accent1" w:themeShade="BF"/>
          <w:sz w:val="36"/>
          <w:szCs w:val="32"/>
        </w:rPr>
        <w:t>5.2 Lot Size &amp; Contract Specifications</w:t>
      </w:r>
    </w:p>
    <w:p w14:paraId="6E0BD4CB" w14:textId="25984939" w:rsidR="00BC1350" w:rsidRDefault="00BC1350" w:rsidP="00B97376">
      <w:pPr>
        <w:rPr>
          <w:rFonts w:ascii="CMCSC10" w:hAnsi="CMCSC10"/>
          <w:color w:val="1481AB" w:themeColor="accent1" w:themeShade="BF"/>
          <w:sz w:val="36"/>
          <w:szCs w:val="32"/>
        </w:rPr>
      </w:pPr>
      <w:r>
        <w:rPr>
          <w:rFonts w:ascii="CMCSC10" w:hAnsi="CMCSC10"/>
          <w:color w:val="141719" w:themeColor="background2" w:themeShade="1A"/>
          <w:sz w:val="36"/>
          <w:szCs w:val="36"/>
        </w:rPr>
        <w:t>Nestl</w:t>
      </w:r>
      <w:r>
        <w:rPr>
          <w:rFonts w:ascii="CMCSC10" w:hAnsi="CMCSC10" w:hint="eastAsia"/>
          <w:color w:val="141719" w:themeColor="background2" w:themeShade="1A"/>
          <w:sz w:val="36"/>
          <w:szCs w:val="36"/>
        </w:rPr>
        <w:t>é</w:t>
      </w:r>
      <w:r>
        <w:rPr>
          <w:rFonts w:ascii="CMCSC10" w:hAnsi="CMCSC10"/>
          <w:color w:val="141719" w:themeColor="background2" w:themeShade="1A"/>
          <w:sz w:val="36"/>
          <w:szCs w:val="36"/>
        </w:rPr>
        <w:t xml:space="preserve"> India is currently trading in the Futures 7 Options Market of the NSE with a Lot Size of </w:t>
      </w:r>
      <w:r w:rsidRPr="00BC1350">
        <w:rPr>
          <w:rFonts w:ascii="CMCSC10" w:hAnsi="CMCSC10"/>
          <w:color w:val="1C6194" w:themeColor="accent2" w:themeShade="BF"/>
          <w:sz w:val="36"/>
          <w:szCs w:val="36"/>
        </w:rPr>
        <w:t>50</w:t>
      </w:r>
      <w:r>
        <w:rPr>
          <w:rFonts w:ascii="CMCSC10" w:hAnsi="CMCSC10"/>
          <w:color w:val="1C6194" w:themeColor="accent2" w:themeShade="BF"/>
          <w:sz w:val="36"/>
          <w:szCs w:val="36"/>
        </w:rPr>
        <w:t xml:space="preserve"> </w:t>
      </w:r>
      <w:r w:rsidRPr="00BC1350">
        <w:rPr>
          <w:rFonts w:ascii="CMCSC10" w:hAnsi="CMCSC10"/>
          <w:color w:val="000000" w:themeColor="text1"/>
          <w:sz w:val="36"/>
          <w:szCs w:val="36"/>
        </w:rPr>
        <w:t>and a total of around</w:t>
      </w:r>
      <w:r w:rsidRPr="002A2D63">
        <w:rPr>
          <w:rFonts w:ascii="CMCSC10" w:hAnsi="CMCSC10"/>
          <w:color w:val="1C6194" w:themeColor="accent2" w:themeShade="BF"/>
          <w:sz w:val="36"/>
          <w:szCs w:val="36"/>
        </w:rPr>
        <w:t xml:space="preserve"> </w:t>
      </w:r>
      <w:r w:rsidR="00C81143" w:rsidRPr="002A2D63">
        <w:rPr>
          <w:rFonts w:ascii="CMCSC10" w:hAnsi="CMCSC10"/>
          <w:color w:val="1C6194" w:themeColor="accent2" w:themeShade="BF"/>
          <w:sz w:val="36"/>
          <w:szCs w:val="36"/>
        </w:rPr>
        <w:t xml:space="preserve">2425 </w:t>
      </w:r>
      <w:r w:rsidR="00C81143">
        <w:rPr>
          <w:rFonts w:ascii="CMCSC10" w:hAnsi="CMCSC10"/>
          <w:color w:val="000000" w:themeColor="text1"/>
          <w:sz w:val="36"/>
          <w:szCs w:val="36"/>
        </w:rPr>
        <w:t>futures contracts</w:t>
      </w:r>
      <w:r>
        <w:rPr>
          <w:rFonts w:ascii="CMCSC10" w:hAnsi="CMCSC10"/>
          <w:color w:val="000000" w:themeColor="text1"/>
          <w:sz w:val="36"/>
          <w:szCs w:val="36"/>
        </w:rPr>
        <w:t>.</w:t>
      </w:r>
      <w:r w:rsidR="002E2F59" w:rsidRPr="002E2F59">
        <w:t xml:space="preserve"> </w:t>
      </w:r>
    </w:p>
    <w:p w14:paraId="50A5573B" w14:textId="05B0876F" w:rsidR="00B97376" w:rsidRDefault="00B97376" w:rsidP="00B97376">
      <w:pPr>
        <w:rPr>
          <w:rFonts w:ascii="CMCSC10" w:hAnsi="CMCSC10"/>
          <w:color w:val="1481AB" w:themeColor="accent1" w:themeShade="BF"/>
          <w:sz w:val="36"/>
          <w:szCs w:val="32"/>
        </w:rPr>
      </w:pPr>
      <w:r>
        <w:rPr>
          <w:rFonts w:ascii="CMCSC10" w:hAnsi="CMCSC10"/>
          <w:color w:val="1481AB" w:themeColor="accent1" w:themeShade="BF"/>
          <w:sz w:val="36"/>
          <w:szCs w:val="32"/>
        </w:rPr>
        <w:lastRenderedPageBreak/>
        <w:t>5.3</w:t>
      </w:r>
      <w:r w:rsidR="00D17EE5">
        <w:rPr>
          <w:rFonts w:ascii="CMCSC10" w:hAnsi="CMCSC10"/>
          <w:color w:val="1481AB" w:themeColor="accent1" w:themeShade="BF"/>
          <w:sz w:val="36"/>
          <w:szCs w:val="32"/>
        </w:rPr>
        <w:t xml:space="preserve"> Overall</w:t>
      </w:r>
      <w:r>
        <w:rPr>
          <w:rFonts w:ascii="CMCSC10" w:hAnsi="CMCSC10"/>
          <w:color w:val="1481AB" w:themeColor="accent1" w:themeShade="BF"/>
          <w:sz w:val="36"/>
          <w:szCs w:val="32"/>
        </w:rPr>
        <w:t xml:space="preserve"> Greatness of Equity Futures</w:t>
      </w:r>
    </w:p>
    <w:p w14:paraId="381467BA" w14:textId="4576BFAA" w:rsidR="002E2F59" w:rsidRPr="00B97376" w:rsidRDefault="002E2F59" w:rsidP="002E2F59">
      <w:pPr>
        <w:ind w:firstLine="720"/>
        <w:rPr>
          <w:rFonts w:ascii="CMCSC10" w:hAnsi="CMCSC10"/>
          <w:color w:val="1481AB" w:themeColor="accent1" w:themeShade="BF"/>
          <w:sz w:val="36"/>
          <w:szCs w:val="32"/>
        </w:rPr>
      </w:pPr>
      <w:r w:rsidRPr="002E2F59">
        <w:rPr>
          <w:rFonts w:ascii="CMCSC10" w:hAnsi="CMCSC10"/>
          <w:color w:val="000000" w:themeColor="text1"/>
          <w:sz w:val="36"/>
          <w:szCs w:val="36"/>
        </w:rPr>
        <w:t xml:space="preserve">Owing to their similar movements with the underlying market values, </w:t>
      </w:r>
      <w:r>
        <w:rPr>
          <w:rFonts w:ascii="CMCSC10" w:hAnsi="CMCSC10"/>
          <w:color w:val="000000" w:themeColor="text1"/>
          <w:sz w:val="36"/>
          <w:szCs w:val="36"/>
        </w:rPr>
        <w:t>Nestl</w:t>
      </w:r>
      <w:r>
        <w:rPr>
          <w:rFonts w:ascii="CMCSC10" w:hAnsi="CMCSC10" w:hint="eastAsia"/>
          <w:color w:val="000000" w:themeColor="text1"/>
          <w:sz w:val="36"/>
          <w:szCs w:val="36"/>
        </w:rPr>
        <w:t>é</w:t>
      </w:r>
      <w:r>
        <w:rPr>
          <w:rFonts w:ascii="CMCSC10" w:hAnsi="CMCSC10"/>
          <w:color w:val="000000" w:themeColor="text1"/>
          <w:sz w:val="36"/>
          <w:szCs w:val="36"/>
        </w:rPr>
        <w:t xml:space="preserve"> India </w:t>
      </w:r>
      <w:r w:rsidRPr="002E2F59">
        <w:rPr>
          <w:rFonts w:ascii="CMCSC10" w:hAnsi="CMCSC10"/>
          <w:color w:val="000000" w:themeColor="text1"/>
          <w:sz w:val="36"/>
          <w:szCs w:val="36"/>
        </w:rPr>
        <w:t xml:space="preserve">futures have gained </w:t>
      </w:r>
      <w:r w:rsidR="002F02A1">
        <w:rPr>
          <w:rFonts w:ascii="CMCSC10" w:hAnsi="CMCSC10"/>
          <w:color w:val="000000" w:themeColor="text1"/>
          <w:sz w:val="36"/>
          <w:szCs w:val="36"/>
        </w:rPr>
        <w:t>a lot of</w:t>
      </w:r>
      <w:r w:rsidRPr="002E2F59">
        <w:rPr>
          <w:rFonts w:ascii="CMCSC10" w:hAnsi="CMCSC10"/>
          <w:color w:val="000000" w:themeColor="text1"/>
          <w:sz w:val="36"/>
          <w:szCs w:val="36"/>
        </w:rPr>
        <w:t xml:space="preserve"> significance. </w:t>
      </w:r>
      <w:r w:rsidR="002F02A1">
        <w:rPr>
          <w:rFonts w:ascii="CMCSC10" w:hAnsi="CMCSC10"/>
          <w:color w:val="000000" w:themeColor="text1"/>
          <w:sz w:val="36"/>
          <w:szCs w:val="36"/>
        </w:rPr>
        <w:t>This is primarily because these futures</w:t>
      </w:r>
      <w:r w:rsidRPr="002E2F59">
        <w:rPr>
          <w:rFonts w:ascii="CMCSC10" w:hAnsi="CMCSC10"/>
          <w:color w:val="000000" w:themeColor="text1"/>
          <w:sz w:val="36"/>
          <w:szCs w:val="36"/>
        </w:rPr>
        <w:t xml:space="preserve"> </w:t>
      </w:r>
      <w:r w:rsidRPr="002B5BA2">
        <w:rPr>
          <w:rFonts w:ascii="CMCSC10" w:hAnsi="CMCSC10"/>
          <w:color w:val="1C6194" w:themeColor="accent2" w:themeShade="BF"/>
          <w:sz w:val="36"/>
          <w:szCs w:val="36"/>
        </w:rPr>
        <w:t>allow an investor to lock the future asset price and help him / her mitigate the risk</w:t>
      </w:r>
      <w:r w:rsidR="003B03E0" w:rsidRPr="002B5BA2">
        <w:rPr>
          <w:rFonts w:ascii="CMCSC10" w:hAnsi="CMCSC10"/>
          <w:color w:val="1C6194" w:themeColor="accent2" w:themeShade="BF"/>
          <w:sz w:val="36"/>
          <w:szCs w:val="36"/>
        </w:rPr>
        <w:t xml:space="preserve"> to a large extent</w:t>
      </w:r>
      <w:r w:rsidR="003B03E0">
        <w:rPr>
          <w:rFonts w:ascii="CMCSC10" w:hAnsi="CMCSC10"/>
          <w:color w:val="000000" w:themeColor="text1"/>
          <w:sz w:val="36"/>
          <w:szCs w:val="36"/>
        </w:rPr>
        <w:t xml:space="preserve">. </w:t>
      </w:r>
      <w:r w:rsidR="00DE783C">
        <w:rPr>
          <w:rFonts w:ascii="CMCSC10" w:hAnsi="CMCSC10"/>
          <w:color w:val="000000" w:themeColor="text1"/>
          <w:sz w:val="36"/>
          <w:szCs w:val="36"/>
        </w:rPr>
        <w:t>This is the main reason why their futures contracts are so attractive.</w:t>
      </w:r>
    </w:p>
    <w:p w14:paraId="1FB4E9FA" w14:textId="7A80CCAC" w:rsidR="00202CE5" w:rsidRDefault="00202CE5">
      <w:pPr>
        <w:rPr>
          <w:sz w:val="36"/>
          <w:szCs w:val="36"/>
        </w:rPr>
      </w:pPr>
    </w:p>
    <w:p w14:paraId="63773B57" w14:textId="7C3B4DFF" w:rsidR="0051055F" w:rsidRDefault="0051055F" w:rsidP="0051055F">
      <w:pPr>
        <w:rPr>
          <w:rFonts w:ascii="CMCSC10" w:hAnsi="CMCSC10"/>
          <w:b/>
          <w:bCs/>
          <w:color w:val="1481AB" w:themeColor="accent1" w:themeShade="BF"/>
          <w:sz w:val="40"/>
          <w:szCs w:val="40"/>
        </w:rPr>
      </w:pPr>
      <w:r>
        <w:rPr>
          <w:rFonts w:ascii="CMCSC10" w:hAnsi="CMCSC10"/>
          <w:b/>
          <w:bCs/>
          <w:color w:val="1481AB" w:themeColor="accent1" w:themeShade="BF"/>
          <w:sz w:val="40"/>
          <w:szCs w:val="40"/>
        </w:rPr>
        <w:t xml:space="preserve">6 </w:t>
      </w:r>
      <w:r w:rsidR="00613DA6">
        <w:rPr>
          <w:rFonts w:ascii="CMCSC10" w:hAnsi="CMCSC10"/>
          <w:b/>
          <w:bCs/>
          <w:color w:val="1481AB" w:themeColor="accent1" w:themeShade="BF"/>
          <w:sz w:val="40"/>
          <w:szCs w:val="40"/>
        </w:rPr>
        <w:t xml:space="preserve">Risk- Unadjusted </w:t>
      </w:r>
      <w:r>
        <w:rPr>
          <w:rFonts w:ascii="CMCSC10" w:hAnsi="CMCSC10"/>
          <w:b/>
          <w:bCs/>
          <w:color w:val="1481AB" w:themeColor="accent1" w:themeShade="BF"/>
          <w:sz w:val="40"/>
          <w:szCs w:val="40"/>
        </w:rPr>
        <w:t>Daily, Weekly and Monthly Returns on Near, Next and Far Months</w:t>
      </w:r>
    </w:p>
    <w:p w14:paraId="18F57938" w14:textId="41098206" w:rsidR="00F325FE" w:rsidRDefault="00F325FE" w:rsidP="00F325FE">
      <w:pPr>
        <w:rPr>
          <w:rFonts w:ascii="CMCSC10" w:hAnsi="CMCSC10"/>
          <w:color w:val="1481AB" w:themeColor="accent1" w:themeShade="BF"/>
          <w:sz w:val="36"/>
          <w:szCs w:val="32"/>
        </w:rPr>
      </w:pPr>
      <w:r>
        <w:rPr>
          <w:rFonts w:ascii="CMCSC10" w:hAnsi="CMCSC10"/>
          <w:color w:val="1481AB" w:themeColor="accent1" w:themeShade="BF"/>
          <w:sz w:val="36"/>
          <w:szCs w:val="32"/>
        </w:rPr>
        <w:t>6.1 Near Month Returns</w:t>
      </w:r>
    </w:p>
    <w:p w14:paraId="11F22E9E" w14:textId="6C803D10" w:rsidR="0051055F" w:rsidRDefault="0051055F" w:rsidP="00D127DC">
      <w:pPr>
        <w:rPr>
          <w:sz w:val="36"/>
          <w:szCs w:val="36"/>
        </w:rPr>
      </w:pPr>
      <w:r>
        <w:rPr>
          <w:sz w:val="36"/>
          <w:szCs w:val="36"/>
        </w:rPr>
        <w:tab/>
      </w:r>
      <w:r>
        <w:rPr>
          <w:rFonts w:ascii="CMCSC10" w:hAnsi="CMCSC10"/>
          <w:color w:val="141719" w:themeColor="background2" w:themeShade="1A"/>
          <w:sz w:val="36"/>
          <w:szCs w:val="36"/>
        </w:rPr>
        <w:t>Ne</w:t>
      </w:r>
      <w:r w:rsidR="00F325FE">
        <w:rPr>
          <w:rFonts w:ascii="CMCSC10" w:hAnsi="CMCSC10"/>
          <w:color w:val="141719" w:themeColor="background2" w:themeShade="1A"/>
          <w:sz w:val="36"/>
          <w:szCs w:val="36"/>
        </w:rPr>
        <w:t>ar month refers to the current month of trading. It is clear from the following table that</w:t>
      </w:r>
      <w:r w:rsidR="00D127DC">
        <w:rPr>
          <w:rFonts w:ascii="CMCSC10" w:hAnsi="CMCSC10"/>
          <w:color w:val="141719" w:themeColor="background2" w:themeShade="1A"/>
          <w:sz w:val="36"/>
          <w:szCs w:val="36"/>
        </w:rPr>
        <w:t xml:space="preserve"> when compared on a per annum basis, Daily Returns are 7</w:t>
      </w:r>
      <w:r w:rsidR="004C4723">
        <w:rPr>
          <w:rFonts w:ascii="CMCSC10" w:hAnsi="CMCSC10"/>
          <w:color w:val="141719" w:themeColor="background2" w:themeShade="1A"/>
          <w:sz w:val="36"/>
          <w:szCs w:val="36"/>
        </w:rPr>
        <w:t>3.</w:t>
      </w:r>
      <w:r w:rsidR="00D127DC">
        <w:rPr>
          <w:rFonts w:ascii="CMCSC10" w:hAnsi="CMCSC10"/>
          <w:color w:val="141719" w:themeColor="background2" w:themeShade="1A"/>
          <w:sz w:val="36"/>
          <w:szCs w:val="36"/>
        </w:rPr>
        <w:t>3</w:t>
      </w:r>
      <w:r w:rsidR="004C4723">
        <w:rPr>
          <w:rFonts w:ascii="CMCSC10" w:hAnsi="CMCSC10"/>
          <w:color w:val="141719" w:themeColor="background2" w:themeShade="1A"/>
          <w:sz w:val="36"/>
          <w:szCs w:val="36"/>
        </w:rPr>
        <w:t>2</w:t>
      </w:r>
      <w:r w:rsidR="00D127DC">
        <w:rPr>
          <w:rFonts w:ascii="CMCSC10" w:hAnsi="CMCSC10"/>
          <w:color w:val="141719" w:themeColor="background2" w:themeShade="1A"/>
          <w:sz w:val="36"/>
          <w:szCs w:val="36"/>
        </w:rPr>
        <w:t>%, Weekly returns are 47</w:t>
      </w:r>
      <w:r w:rsidR="004C4723">
        <w:rPr>
          <w:rFonts w:ascii="CMCSC10" w:hAnsi="CMCSC10"/>
          <w:color w:val="141719" w:themeColor="background2" w:themeShade="1A"/>
          <w:sz w:val="36"/>
          <w:szCs w:val="36"/>
        </w:rPr>
        <w:t>.1%</w:t>
      </w:r>
      <w:r w:rsidR="00D127DC">
        <w:rPr>
          <w:rFonts w:ascii="CMCSC10" w:hAnsi="CMCSC10"/>
          <w:color w:val="141719" w:themeColor="background2" w:themeShade="1A"/>
          <w:sz w:val="36"/>
          <w:szCs w:val="36"/>
        </w:rPr>
        <w:t xml:space="preserve"> and Monthly Returns are 48</w:t>
      </w:r>
      <w:r w:rsidR="004C4723">
        <w:rPr>
          <w:rFonts w:ascii="CMCSC10" w:hAnsi="CMCSC10"/>
          <w:color w:val="141719" w:themeColor="background2" w:themeShade="1A"/>
          <w:sz w:val="36"/>
          <w:szCs w:val="36"/>
        </w:rPr>
        <w:t>.23</w:t>
      </w:r>
      <w:r w:rsidR="00D127DC">
        <w:rPr>
          <w:rFonts w:ascii="CMCSC10" w:hAnsi="CMCSC10"/>
          <w:color w:val="141719" w:themeColor="background2" w:themeShade="1A"/>
          <w:sz w:val="36"/>
          <w:szCs w:val="36"/>
        </w:rPr>
        <w:t xml:space="preserve">%. The </w:t>
      </w:r>
      <w:r w:rsidR="00D127DC" w:rsidRPr="00491069">
        <w:rPr>
          <w:rFonts w:ascii="CMCSC10" w:hAnsi="CMCSC10"/>
          <w:color w:val="1C6194" w:themeColor="accent2" w:themeShade="BF"/>
          <w:sz w:val="36"/>
          <w:szCs w:val="36"/>
        </w:rPr>
        <w:t xml:space="preserve">highest reward/risk ratio is present in Daily Near Month Returns </w:t>
      </w:r>
      <w:r w:rsidR="00D127DC">
        <w:rPr>
          <w:rFonts w:ascii="CMCSC10" w:hAnsi="CMCSC10"/>
          <w:color w:val="141719" w:themeColor="background2" w:themeShade="1A"/>
          <w:sz w:val="36"/>
          <w:szCs w:val="36"/>
        </w:rPr>
        <w:t>only (36</w:t>
      </w:r>
      <w:r w:rsidR="002E0817">
        <w:rPr>
          <w:rFonts w:ascii="CMCSC10" w:hAnsi="CMCSC10"/>
          <w:color w:val="141719" w:themeColor="background2" w:themeShade="1A"/>
          <w:sz w:val="36"/>
          <w:szCs w:val="36"/>
        </w:rPr>
        <w:t>.73)</w:t>
      </w:r>
      <w:r w:rsidR="004C4723">
        <w:rPr>
          <w:rFonts w:ascii="CMCSC10" w:hAnsi="CMCSC10"/>
          <w:color w:val="141719" w:themeColor="background2" w:themeShade="1A"/>
          <w:sz w:val="36"/>
          <w:szCs w:val="36"/>
        </w:rPr>
        <w:t>, followed by Weekly (13.20) and Monthly (12.32) frequencies</w:t>
      </w:r>
      <w:r w:rsidR="00741F58">
        <w:rPr>
          <w:rFonts w:ascii="CMCSC10" w:hAnsi="CMCSC10"/>
          <w:color w:val="141719" w:themeColor="background2" w:themeShade="1A"/>
          <w:sz w:val="36"/>
          <w:szCs w:val="36"/>
        </w:rPr>
        <w:t>.</w:t>
      </w:r>
    </w:p>
    <w:p w14:paraId="47C3E925" w14:textId="77777777" w:rsidR="001728CF" w:rsidRDefault="001728CF">
      <w:pPr>
        <w:rPr>
          <w:sz w:val="36"/>
          <w:szCs w:val="36"/>
        </w:rPr>
      </w:pPr>
    </w:p>
    <w:tbl>
      <w:tblPr>
        <w:tblStyle w:val="TableGrid"/>
        <w:tblW w:w="0" w:type="auto"/>
        <w:tblInd w:w="-431" w:type="dxa"/>
        <w:tblLook w:val="04A0" w:firstRow="1" w:lastRow="0" w:firstColumn="1" w:lastColumn="0" w:noHBand="0" w:noVBand="1"/>
      </w:tblPr>
      <w:tblGrid>
        <w:gridCol w:w="2685"/>
        <w:gridCol w:w="2254"/>
        <w:gridCol w:w="2254"/>
        <w:gridCol w:w="2254"/>
      </w:tblGrid>
      <w:tr w:rsidR="001728CF" w:rsidRPr="00F37494" w14:paraId="3235025F" w14:textId="77777777" w:rsidTr="0036393F">
        <w:tc>
          <w:tcPr>
            <w:tcW w:w="2685" w:type="dxa"/>
          </w:tcPr>
          <w:p w14:paraId="6CCF9042" w14:textId="77777777" w:rsidR="001728CF" w:rsidRPr="00F37494" w:rsidRDefault="001728CF" w:rsidP="0036393F">
            <w:pPr>
              <w:rPr>
                <w:color w:val="1C6194" w:themeColor="accent2" w:themeShade="BF"/>
                <w:sz w:val="36"/>
                <w:szCs w:val="36"/>
              </w:rPr>
            </w:pPr>
          </w:p>
        </w:tc>
        <w:tc>
          <w:tcPr>
            <w:tcW w:w="2254" w:type="dxa"/>
          </w:tcPr>
          <w:p w14:paraId="71DE1F7F" w14:textId="77777777" w:rsidR="001728CF" w:rsidRPr="00F37494" w:rsidRDefault="001728CF" w:rsidP="0036393F">
            <w:pPr>
              <w:rPr>
                <w:color w:val="1C6194" w:themeColor="accent2" w:themeShade="BF"/>
                <w:sz w:val="36"/>
                <w:szCs w:val="36"/>
              </w:rPr>
            </w:pPr>
            <w:r w:rsidRPr="00F37494">
              <w:rPr>
                <w:color w:val="1C6194" w:themeColor="accent2" w:themeShade="BF"/>
                <w:sz w:val="36"/>
                <w:szCs w:val="36"/>
              </w:rPr>
              <w:t>Daily</w:t>
            </w:r>
          </w:p>
        </w:tc>
        <w:tc>
          <w:tcPr>
            <w:tcW w:w="2254" w:type="dxa"/>
          </w:tcPr>
          <w:p w14:paraId="716B3E26" w14:textId="77777777" w:rsidR="001728CF" w:rsidRPr="00F37494" w:rsidRDefault="001728CF" w:rsidP="0036393F">
            <w:pPr>
              <w:rPr>
                <w:color w:val="1C6194" w:themeColor="accent2" w:themeShade="BF"/>
                <w:sz w:val="36"/>
                <w:szCs w:val="36"/>
              </w:rPr>
            </w:pPr>
            <w:r w:rsidRPr="00F37494">
              <w:rPr>
                <w:color w:val="1C6194" w:themeColor="accent2" w:themeShade="BF"/>
                <w:sz w:val="36"/>
                <w:szCs w:val="36"/>
              </w:rPr>
              <w:t>Weekly</w:t>
            </w:r>
          </w:p>
        </w:tc>
        <w:tc>
          <w:tcPr>
            <w:tcW w:w="2254" w:type="dxa"/>
          </w:tcPr>
          <w:p w14:paraId="3A3C311D" w14:textId="77777777" w:rsidR="001728CF" w:rsidRPr="00F37494" w:rsidRDefault="001728CF" w:rsidP="0036393F">
            <w:pPr>
              <w:rPr>
                <w:color w:val="1C6194" w:themeColor="accent2" w:themeShade="BF"/>
                <w:sz w:val="36"/>
                <w:szCs w:val="36"/>
              </w:rPr>
            </w:pPr>
            <w:r w:rsidRPr="00F37494">
              <w:rPr>
                <w:color w:val="1C6194" w:themeColor="accent2" w:themeShade="BF"/>
                <w:sz w:val="36"/>
                <w:szCs w:val="36"/>
              </w:rPr>
              <w:t>Monthly</w:t>
            </w:r>
          </w:p>
        </w:tc>
      </w:tr>
      <w:tr w:rsidR="001728CF" w:rsidRPr="00F37494" w14:paraId="07315524" w14:textId="77777777" w:rsidTr="0036393F">
        <w:tc>
          <w:tcPr>
            <w:tcW w:w="2685" w:type="dxa"/>
          </w:tcPr>
          <w:p w14:paraId="36A8D260" w14:textId="77777777" w:rsidR="001728CF" w:rsidRPr="00F37494" w:rsidRDefault="001728CF" w:rsidP="0036393F">
            <w:pPr>
              <w:rPr>
                <w:color w:val="1C6194" w:themeColor="accent2" w:themeShade="BF"/>
                <w:sz w:val="36"/>
                <w:szCs w:val="36"/>
              </w:rPr>
            </w:pPr>
            <w:r w:rsidRPr="00F37494">
              <w:rPr>
                <w:color w:val="1C6194" w:themeColor="accent2" w:themeShade="BF"/>
                <w:sz w:val="36"/>
                <w:szCs w:val="36"/>
              </w:rPr>
              <w:t>Maximum</w:t>
            </w:r>
          </w:p>
        </w:tc>
        <w:tc>
          <w:tcPr>
            <w:tcW w:w="2254" w:type="dxa"/>
          </w:tcPr>
          <w:p w14:paraId="059B7AE1" w14:textId="6F14A354" w:rsidR="001728CF" w:rsidRPr="00F37494" w:rsidRDefault="004E53C0" w:rsidP="0036393F">
            <w:pPr>
              <w:rPr>
                <w:color w:val="1C6194" w:themeColor="accent2" w:themeShade="BF"/>
                <w:sz w:val="36"/>
                <w:szCs w:val="36"/>
              </w:rPr>
            </w:pPr>
            <w:r w:rsidRPr="004E53C0">
              <w:rPr>
                <w:color w:val="1C6194" w:themeColor="accent2" w:themeShade="BF"/>
                <w:sz w:val="36"/>
                <w:szCs w:val="36"/>
              </w:rPr>
              <w:t>12.867</w:t>
            </w:r>
          </w:p>
        </w:tc>
        <w:tc>
          <w:tcPr>
            <w:tcW w:w="2254" w:type="dxa"/>
          </w:tcPr>
          <w:p w14:paraId="38C5C096" w14:textId="72B32212" w:rsidR="001728CF" w:rsidRPr="00F37494" w:rsidRDefault="00774B32" w:rsidP="0036393F">
            <w:pPr>
              <w:rPr>
                <w:color w:val="1C6194" w:themeColor="accent2" w:themeShade="BF"/>
                <w:sz w:val="36"/>
                <w:szCs w:val="36"/>
              </w:rPr>
            </w:pPr>
            <w:r w:rsidRPr="00774B32">
              <w:rPr>
                <w:color w:val="1C6194" w:themeColor="accent2" w:themeShade="BF"/>
                <w:sz w:val="36"/>
                <w:szCs w:val="36"/>
              </w:rPr>
              <w:t>11.056</w:t>
            </w:r>
          </w:p>
        </w:tc>
        <w:tc>
          <w:tcPr>
            <w:tcW w:w="2254" w:type="dxa"/>
          </w:tcPr>
          <w:p w14:paraId="157A12D6" w14:textId="36BCAEF0" w:rsidR="001728CF" w:rsidRPr="00F37494" w:rsidRDefault="00774B32" w:rsidP="0036393F">
            <w:pPr>
              <w:rPr>
                <w:color w:val="1C6194" w:themeColor="accent2" w:themeShade="BF"/>
                <w:sz w:val="36"/>
                <w:szCs w:val="36"/>
              </w:rPr>
            </w:pPr>
            <w:r w:rsidRPr="00774B32">
              <w:rPr>
                <w:color w:val="1C6194" w:themeColor="accent2" w:themeShade="BF"/>
                <w:sz w:val="36"/>
                <w:szCs w:val="36"/>
              </w:rPr>
              <w:t>10.094</w:t>
            </w:r>
          </w:p>
        </w:tc>
      </w:tr>
      <w:tr w:rsidR="001728CF" w:rsidRPr="00F37494" w14:paraId="23CE119C" w14:textId="77777777" w:rsidTr="0036393F">
        <w:tc>
          <w:tcPr>
            <w:tcW w:w="2685" w:type="dxa"/>
          </w:tcPr>
          <w:p w14:paraId="0A9BFECD" w14:textId="77777777" w:rsidR="001728CF" w:rsidRPr="00F37494" w:rsidRDefault="001728CF" w:rsidP="0036393F">
            <w:pPr>
              <w:rPr>
                <w:color w:val="1C6194" w:themeColor="accent2" w:themeShade="BF"/>
                <w:sz w:val="36"/>
                <w:szCs w:val="36"/>
              </w:rPr>
            </w:pPr>
            <w:r w:rsidRPr="00F37494">
              <w:rPr>
                <w:color w:val="1C6194" w:themeColor="accent2" w:themeShade="BF"/>
                <w:sz w:val="36"/>
                <w:szCs w:val="36"/>
              </w:rPr>
              <w:t>Minimum</w:t>
            </w:r>
          </w:p>
        </w:tc>
        <w:tc>
          <w:tcPr>
            <w:tcW w:w="2254" w:type="dxa"/>
          </w:tcPr>
          <w:p w14:paraId="1D8AC535" w14:textId="31A1E538" w:rsidR="001728CF" w:rsidRPr="00F37494" w:rsidRDefault="004E53C0" w:rsidP="0036393F">
            <w:pPr>
              <w:rPr>
                <w:color w:val="1C6194" w:themeColor="accent2" w:themeShade="BF"/>
                <w:sz w:val="36"/>
                <w:szCs w:val="36"/>
              </w:rPr>
            </w:pPr>
            <w:r w:rsidRPr="004E53C0">
              <w:rPr>
                <w:color w:val="1C6194" w:themeColor="accent2" w:themeShade="BF"/>
                <w:sz w:val="36"/>
                <w:szCs w:val="36"/>
              </w:rPr>
              <w:t>-8.908</w:t>
            </w:r>
          </w:p>
        </w:tc>
        <w:tc>
          <w:tcPr>
            <w:tcW w:w="2254" w:type="dxa"/>
          </w:tcPr>
          <w:p w14:paraId="6FBC47B6" w14:textId="2EBEC000" w:rsidR="001728CF" w:rsidRPr="00F37494" w:rsidRDefault="000A6B36" w:rsidP="0036393F">
            <w:pPr>
              <w:rPr>
                <w:color w:val="1C6194" w:themeColor="accent2" w:themeShade="BF"/>
                <w:sz w:val="36"/>
                <w:szCs w:val="36"/>
              </w:rPr>
            </w:pPr>
            <w:r w:rsidRPr="000A6B36">
              <w:rPr>
                <w:color w:val="1C6194" w:themeColor="accent2" w:themeShade="BF"/>
                <w:sz w:val="36"/>
                <w:szCs w:val="36"/>
              </w:rPr>
              <w:t>-</w:t>
            </w:r>
            <w:r w:rsidR="00774B32" w:rsidRPr="00774B32">
              <w:rPr>
                <w:color w:val="1C6194" w:themeColor="accent2" w:themeShade="BF"/>
                <w:sz w:val="36"/>
                <w:szCs w:val="36"/>
              </w:rPr>
              <w:t>8.859</w:t>
            </w:r>
          </w:p>
        </w:tc>
        <w:tc>
          <w:tcPr>
            <w:tcW w:w="2254" w:type="dxa"/>
          </w:tcPr>
          <w:p w14:paraId="2517F992" w14:textId="5CCDDDB4" w:rsidR="001728CF" w:rsidRPr="00F37494" w:rsidRDefault="00774B32" w:rsidP="0036393F">
            <w:pPr>
              <w:rPr>
                <w:color w:val="1C6194" w:themeColor="accent2" w:themeShade="BF"/>
                <w:sz w:val="36"/>
                <w:szCs w:val="36"/>
              </w:rPr>
            </w:pPr>
            <w:r w:rsidRPr="00774B32">
              <w:rPr>
                <w:color w:val="1C6194" w:themeColor="accent2" w:themeShade="BF"/>
                <w:sz w:val="36"/>
                <w:szCs w:val="36"/>
              </w:rPr>
              <w:t>-3.181</w:t>
            </w:r>
          </w:p>
        </w:tc>
      </w:tr>
      <w:tr w:rsidR="001728CF" w:rsidRPr="00F37494" w14:paraId="58F3EE2D" w14:textId="77777777" w:rsidTr="0036393F">
        <w:tc>
          <w:tcPr>
            <w:tcW w:w="2685" w:type="dxa"/>
          </w:tcPr>
          <w:p w14:paraId="338650A9" w14:textId="77777777" w:rsidR="001728CF" w:rsidRPr="00F37494" w:rsidRDefault="001728CF" w:rsidP="0036393F">
            <w:pPr>
              <w:rPr>
                <w:color w:val="1C6194" w:themeColor="accent2" w:themeShade="BF"/>
                <w:sz w:val="36"/>
                <w:szCs w:val="36"/>
              </w:rPr>
            </w:pPr>
            <w:r w:rsidRPr="00F37494">
              <w:rPr>
                <w:color w:val="1C6194" w:themeColor="accent2" w:themeShade="BF"/>
                <w:sz w:val="36"/>
                <w:szCs w:val="36"/>
              </w:rPr>
              <w:t>Mean</w:t>
            </w:r>
          </w:p>
        </w:tc>
        <w:tc>
          <w:tcPr>
            <w:tcW w:w="2254" w:type="dxa"/>
          </w:tcPr>
          <w:p w14:paraId="42D125B5" w14:textId="2EAB5FA7" w:rsidR="001728CF" w:rsidRPr="00F37494" w:rsidRDefault="004E53C0" w:rsidP="0036393F">
            <w:pPr>
              <w:rPr>
                <w:color w:val="1C6194" w:themeColor="accent2" w:themeShade="BF"/>
                <w:sz w:val="36"/>
                <w:szCs w:val="36"/>
              </w:rPr>
            </w:pPr>
            <w:r w:rsidRPr="004E53C0">
              <w:rPr>
                <w:color w:val="1C6194" w:themeColor="accent2" w:themeShade="BF"/>
                <w:sz w:val="36"/>
                <w:szCs w:val="36"/>
              </w:rPr>
              <w:t>0.2009</w:t>
            </w:r>
          </w:p>
        </w:tc>
        <w:tc>
          <w:tcPr>
            <w:tcW w:w="2254" w:type="dxa"/>
          </w:tcPr>
          <w:p w14:paraId="6CA06113" w14:textId="02E1A6F6" w:rsidR="001728CF" w:rsidRPr="00F37494" w:rsidRDefault="00774B32" w:rsidP="0036393F">
            <w:pPr>
              <w:rPr>
                <w:color w:val="1C6194" w:themeColor="accent2" w:themeShade="BF"/>
                <w:sz w:val="36"/>
                <w:szCs w:val="36"/>
              </w:rPr>
            </w:pPr>
            <w:r w:rsidRPr="00774B32">
              <w:rPr>
                <w:color w:val="1C6194" w:themeColor="accent2" w:themeShade="BF"/>
                <w:sz w:val="36"/>
                <w:szCs w:val="36"/>
              </w:rPr>
              <w:t>0.9059</w:t>
            </w:r>
          </w:p>
        </w:tc>
        <w:tc>
          <w:tcPr>
            <w:tcW w:w="2254" w:type="dxa"/>
          </w:tcPr>
          <w:p w14:paraId="5FB90B50" w14:textId="5D134D53" w:rsidR="001728CF" w:rsidRPr="00F37494" w:rsidRDefault="00774B32" w:rsidP="0036393F">
            <w:pPr>
              <w:rPr>
                <w:color w:val="1C6194" w:themeColor="accent2" w:themeShade="BF"/>
                <w:sz w:val="36"/>
                <w:szCs w:val="36"/>
              </w:rPr>
            </w:pPr>
            <w:r w:rsidRPr="00774B32">
              <w:rPr>
                <w:color w:val="1C6194" w:themeColor="accent2" w:themeShade="BF"/>
                <w:sz w:val="36"/>
                <w:szCs w:val="36"/>
              </w:rPr>
              <w:t>4.0194</w:t>
            </w:r>
          </w:p>
        </w:tc>
      </w:tr>
      <w:tr w:rsidR="001728CF" w:rsidRPr="00F37494" w14:paraId="739D4D8B" w14:textId="77777777" w:rsidTr="0036393F">
        <w:tc>
          <w:tcPr>
            <w:tcW w:w="2685" w:type="dxa"/>
          </w:tcPr>
          <w:p w14:paraId="210526B1" w14:textId="77777777" w:rsidR="001728CF" w:rsidRPr="00F37494" w:rsidRDefault="001728CF" w:rsidP="0036393F">
            <w:pPr>
              <w:rPr>
                <w:color w:val="1C6194" w:themeColor="accent2" w:themeShade="BF"/>
                <w:sz w:val="36"/>
                <w:szCs w:val="36"/>
              </w:rPr>
            </w:pPr>
            <w:r w:rsidRPr="00F37494">
              <w:rPr>
                <w:color w:val="1C6194" w:themeColor="accent2" w:themeShade="BF"/>
                <w:sz w:val="36"/>
                <w:szCs w:val="36"/>
              </w:rPr>
              <w:t>Sample Std. Dev.</w:t>
            </w:r>
          </w:p>
        </w:tc>
        <w:tc>
          <w:tcPr>
            <w:tcW w:w="2254" w:type="dxa"/>
          </w:tcPr>
          <w:p w14:paraId="5DAA0ED1" w14:textId="3615A895" w:rsidR="001728CF" w:rsidRPr="00F37494" w:rsidRDefault="004E53C0" w:rsidP="0036393F">
            <w:pPr>
              <w:rPr>
                <w:color w:val="1C6194" w:themeColor="accent2" w:themeShade="BF"/>
                <w:sz w:val="36"/>
                <w:szCs w:val="36"/>
              </w:rPr>
            </w:pPr>
            <w:r w:rsidRPr="004E53C0">
              <w:rPr>
                <w:color w:val="1C6194" w:themeColor="accent2" w:themeShade="BF"/>
                <w:sz w:val="36"/>
                <w:szCs w:val="36"/>
              </w:rPr>
              <w:t>1.9961</w:t>
            </w:r>
          </w:p>
        </w:tc>
        <w:tc>
          <w:tcPr>
            <w:tcW w:w="2254" w:type="dxa"/>
          </w:tcPr>
          <w:p w14:paraId="600762CE" w14:textId="117397CC" w:rsidR="001728CF" w:rsidRPr="00F37494" w:rsidRDefault="00774B32" w:rsidP="0036393F">
            <w:pPr>
              <w:rPr>
                <w:color w:val="1C6194" w:themeColor="accent2" w:themeShade="BF"/>
                <w:sz w:val="36"/>
                <w:szCs w:val="36"/>
              </w:rPr>
            </w:pPr>
            <w:r w:rsidRPr="00774B32">
              <w:rPr>
                <w:color w:val="1C6194" w:themeColor="accent2" w:themeShade="BF"/>
                <w:sz w:val="36"/>
                <w:szCs w:val="36"/>
              </w:rPr>
              <w:t>3.5689</w:t>
            </w:r>
          </w:p>
        </w:tc>
        <w:tc>
          <w:tcPr>
            <w:tcW w:w="2254" w:type="dxa"/>
          </w:tcPr>
          <w:p w14:paraId="166674D8" w14:textId="019F948F" w:rsidR="001728CF" w:rsidRPr="00F37494" w:rsidRDefault="00774B32" w:rsidP="0036393F">
            <w:pPr>
              <w:rPr>
                <w:color w:val="1C6194" w:themeColor="accent2" w:themeShade="BF"/>
                <w:sz w:val="36"/>
                <w:szCs w:val="36"/>
              </w:rPr>
            </w:pPr>
            <w:r w:rsidRPr="00774B32">
              <w:rPr>
                <w:color w:val="1C6194" w:themeColor="accent2" w:themeShade="BF"/>
                <w:sz w:val="36"/>
                <w:szCs w:val="36"/>
              </w:rPr>
              <w:t>3.9147</w:t>
            </w:r>
          </w:p>
        </w:tc>
      </w:tr>
    </w:tbl>
    <w:p w14:paraId="7363614E" w14:textId="77777777" w:rsidR="00054FD7" w:rsidRDefault="001728CF" w:rsidP="001728CF">
      <w:pPr>
        <w:ind w:firstLine="720"/>
        <w:jc w:val="center"/>
        <w:rPr>
          <w:rFonts w:ascii="CMCSC10" w:hAnsi="CMCSC10"/>
          <w:b/>
          <w:bCs/>
          <w:color w:val="000000" w:themeColor="text1"/>
          <w:sz w:val="36"/>
          <w:szCs w:val="36"/>
          <w:u w:val="single"/>
        </w:rPr>
      </w:pPr>
      <w:r w:rsidRPr="00B841AB">
        <w:rPr>
          <w:rFonts w:ascii="CMCSC10" w:hAnsi="CMCSC10"/>
          <w:color w:val="000000" w:themeColor="text1"/>
          <w:sz w:val="36"/>
          <w:szCs w:val="36"/>
          <w:u w:val="single"/>
        </w:rPr>
        <w:t xml:space="preserve">Table </w:t>
      </w:r>
      <w:r>
        <w:rPr>
          <w:rFonts w:ascii="CMCSC10" w:hAnsi="CMCSC10"/>
          <w:color w:val="000000" w:themeColor="text1"/>
          <w:sz w:val="36"/>
          <w:szCs w:val="36"/>
          <w:u w:val="single"/>
        </w:rPr>
        <w:t>3</w:t>
      </w:r>
      <w:r w:rsidRPr="00B841AB">
        <w:rPr>
          <w:rFonts w:ascii="CMCSC10" w:hAnsi="CMCSC10"/>
          <w:color w:val="000000" w:themeColor="text1"/>
          <w:sz w:val="36"/>
          <w:szCs w:val="36"/>
          <w:u w:val="single"/>
        </w:rPr>
        <w:t xml:space="preserve">: Comparison of Daily, Weekly and </w:t>
      </w:r>
    </w:p>
    <w:p w14:paraId="430A37F3" w14:textId="4C580930" w:rsidR="00656D86" w:rsidRDefault="001728CF" w:rsidP="00F325FE">
      <w:pPr>
        <w:ind w:firstLine="720"/>
        <w:jc w:val="center"/>
        <w:rPr>
          <w:rFonts w:ascii="CMCSC10" w:hAnsi="CMCSC10"/>
          <w:color w:val="000000" w:themeColor="text1"/>
          <w:sz w:val="36"/>
          <w:szCs w:val="36"/>
          <w:u w:val="single"/>
        </w:rPr>
      </w:pPr>
      <w:r>
        <w:rPr>
          <w:rFonts w:ascii="CMCSC10" w:hAnsi="CMCSC10"/>
          <w:b/>
          <w:bCs/>
          <w:color w:val="000000" w:themeColor="text1"/>
          <w:sz w:val="36"/>
          <w:szCs w:val="36"/>
          <w:u w:val="single"/>
        </w:rPr>
        <w:t xml:space="preserve">Near Month </w:t>
      </w:r>
      <w:r w:rsidRPr="00B841AB">
        <w:rPr>
          <w:rFonts w:ascii="CMCSC10" w:hAnsi="CMCSC10"/>
          <w:color w:val="000000" w:themeColor="text1"/>
          <w:sz w:val="36"/>
          <w:szCs w:val="36"/>
          <w:u w:val="single"/>
        </w:rPr>
        <w:t>Returns (in %</w:t>
      </w:r>
      <w:r>
        <w:rPr>
          <w:rFonts w:ascii="CMCSC10" w:hAnsi="CMCSC10"/>
          <w:color w:val="000000" w:themeColor="text1"/>
          <w:sz w:val="36"/>
          <w:szCs w:val="36"/>
          <w:u w:val="single"/>
        </w:rPr>
        <w:t>, rounded off)</w:t>
      </w:r>
    </w:p>
    <w:p w14:paraId="07023EC7" w14:textId="6BA632E8" w:rsidR="003622E6" w:rsidRDefault="003622E6" w:rsidP="00691374">
      <w:pPr>
        <w:rPr>
          <w:rFonts w:ascii="CMCSC10" w:hAnsi="CMCSC10"/>
          <w:color w:val="000000" w:themeColor="text1"/>
          <w:sz w:val="36"/>
          <w:szCs w:val="36"/>
          <w:u w:val="single"/>
        </w:rPr>
      </w:pPr>
    </w:p>
    <w:p w14:paraId="361C97AD" w14:textId="01F3946E" w:rsidR="0029435E" w:rsidRDefault="00F325FE" w:rsidP="00F325FE">
      <w:pPr>
        <w:rPr>
          <w:rFonts w:ascii="CMCSC10" w:hAnsi="CMCSC10"/>
          <w:color w:val="1481AB" w:themeColor="accent1" w:themeShade="BF"/>
          <w:sz w:val="36"/>
          <w:szCs w:val="32"/>
        </w:rPr>
      </w:pPr>
      <w:r>
        <w:rPr>
          <w:rFonts w:ascii="CMCSC10" w:hAnsi="CMCSC10"/>
          <w:color w:val="1481AB" w:themeColor="accent1" w:themeShade="BF"/>
          <w:sz w:val="36"/>
          <w:szCs w:val="32"/>
        </w:rPr>
        <w:lastRenderedPageBreak/>
        <w:t>6.2 Next Month Returns</w:t>
      </w:r>
    </w:p>
    <w:p w14:paraId="56DCF887" w14:textId="0C3D4630" w:rsidR="00197AA7" w:rsidRPr="00652AD3" w:rsidRDefault="00197AA7" w:rsidP="00652AD3">
      <w:pPr>
        <w:rPr>
          <w:rFonts w:ascii="CMCSC10" w:hAnsi="CMCSC10"/>
          <w:color w:val="1481AB" w:themeColor="accent1" w:themeShade="BF"/>
          <w:sz w:val="36"/>
          <w:szCs w:val="32"/>
        </w:rPr>
      </w:pPr>
      <w:r>
        <w:rPr>
          <w:rFonts w:ascii="CMCSC10" w:hAnsi="CMCSC10"/>
          <w:color w:val="1481AB" w:themeColor="accent1" w:themeShade="BF"/>
          <w:sz w:val="36"/>
          <w:szCs w:val="32"/>
        </w:rPr>
        <w:tab/>
      </w:r>
      <w:r w:rsidR="0029435E" w:rsidRPr="0029435E">
        <w:rPr>
          <w:rFonts w:ascii="CMCSC10" w:hAnsi="CMCSC10"/>
          <w:color w:val="000000" w:themeColor="text1"/>
          <w:sz w:val="36"/>
          <w:szCs w:val="32"/>
        </w:rPr>
        <w:t xml:space="preserve">The </w:t>
      </w:r>
      <w:r w:rsidR="0029435E">
        <w:rPr>
          <w:rFonts w:ascii="CMCSC10" w:hAnsi="CMCSC10"/>
          <w:color w:val="000000" w:themeColor="text1"/>
          <w:sz w:val="36"/>
          <w:szCs w:val="32"/>
        </w:rPr>
        <w:t>per annum returns are 72.89% for Daily, 47.13% for Weekly and 48% for Monthly.</w:t>
      </w:r>
      <w:r w:rsidR="00652AD3">
        <w:rPr>
          <w:rFonts w:ascii="CMCSC10" w:hAnsi="CMCSC10"/>
          <w:color w:val="1481AB" w:themeColor="accent1" w:themeShade="BF"/>
          <w:sz w:val="36"/>
          <w:szCs w:val="32"/>
        </w:rPr>
        <w:t xml:space="preserve"> </w:t>
      </w:r>
      <w:r>
        <w:rPr>
          <w:rFonts w:ascii="CMCSC10" w:hAnsi="CMCSC10"/>
          <w:color w:val="141719" w:themeColor="background2" w:themeShade="1A"/>
          <w:sz w:val="36"/>
          <w:szCs w:val="36"/>
        </w:rPr>
        <w:t xml:space="preserve">Again, the </w:t>
      </w:r>
      <w:r w:rsidRPr="00491069">
        <w:rPr>
          <w:rFonts w:ascii="CMCSC10" w:hAnsi="CMCSC10"/>
          <w:color w:val="1C6194" w:themeColor="accent2" w:themeShade="BF"/>
          <w:sz w:val="36"/>
          <w:szCs w:val="36"/>
        </w:rPr>
        <w:t>highest reward/risk ratio is present in Daily Ne</w:t>
      </w:r>
      <w:r>
        <w:rPr>
          <w:rFonts w:ascii="CMCSC10" w:hAnsi="CMCSC10"/>
          <w:color w:val="1C6194" w:themeColor="accent2" w:themeShade="BF"/>
          <w:sz w:val="36"/>
          <w:szCs w:val="36"/>
        </w:rPr>
        <w:t>xt</w:t>
      </w:r>
      <w:r w:rsidRPr="00491069">
        <w:rPr>
          <w:rFonts w:ascii="CMCSC10" w:hAnsi="CMCSC10"/>
          <w:color w:val="1C6194" w:themeColor="accent2" w:themeShade="BF"/>
          <w:sz w:val="36"/>
          <w:szCs w:val="36"/>
        </w:rPr>
        <w:t xml:space="preserve"> Month Returns</w:t>
      </w:r>
      <w:r>
        <w:rPr>
          <w:rFonts w:ascii="CMCSC10" w:hAnsi="CMCSC10"/>
          <w:color w:val="141719" w:themeColor="background2" w:themeShade="1A"/>
          <w:sz w:val="36"/>
          <w:szCs w:val="36"/>
        </w:rPr>
        <w:t xml:space="preserve"> (36</w:t>
      </w:r>
      <w:r w:rsidR="0029435E">
        <w:rPr>
          <w:rFonts w:ascii="CMCSC10" w:hAnsi="CMCSC10"/>
          <w:color w:val="141719" w:themeColor="background2" w:themeShade="1A"/>
          <w:sz w:val="36"/>
          <w:szCs w:val="36"/>
        </w:rPr>
        <w:t>.</w:t>
      </w:r>
      <w:r>
        <w:rPr>
          <w:rFonts w:ascii="CMCSC10" w:hAnsi="CMCSC10"/>
          <w:color w:val="141719" w:themeColor="background2" w:themeShade="1A"/>
          <w:sz w:val="36"/>
          <w:szCs w:val="36"/>
        </w:rPr>
        <w:t xml:space="preserve">5). So, investing on a daily basis on these next month contract will ensure that the investor is taking lesser risk for the same returns. </w:t>
      </w:r>
      <w:r w:rsidR="000A4FE9">
        <w:rPr>
          <w:rFonts w:ascii="CMCSC10" w:hAnsi="CMCSC10"/>
          <w:color w:val="141719" w:themeColor="background2" w:themeShade="1A"/>
          <w:sz w:val="36"/>
          <w:szCs w:val="36"/>
        </w:rPr>
        <w:t xml:space="preserve"> </w:t>
      </w:r>
      <w:r w:rsidR="00652AD3">
        <w:rPr>
          <w:rFonts w:ascii="CMCSC10" w:hAnsi="CMCSC10"/>
          <w:color w:val="141719" w:themeColor="background2" w:themeShade="1A"/>
          <w:sz w:val="36"/>
          <w:szCs w:val="36"/>
        </w:rPr>
        <w:t>The ratios for Weekly and Monthly are 13.13 &amp; 11.95 respectively.</w:t>
      </w:r>
    </w:p>
    <w:p w14:paraId="047DFEC1" w14:textId="77777777" w:rsidR="00656D86" w:rsidRPr="00B841AB" w:rsidRDefault="00656D86" w:rsidP="001728CF">
      <w:pPr>
        <w:ind w:firstLine="720"/>
        <w:jc w:val="center"/>
        <w:rPr>
          <w:rFonts w:ascii="CMCSC10" w:hAnsi="CMCSC10"/>
          <w:color w:val="000000" w:themeColor="text1"/>
          <w:sz w:val="36"/>
          <w:szCs w:val="36"/>
          <w:u w:val="single"/>
        </w:rPr>
      </w:pPr>
    </w:p>
    <w:tbl>
      <w:tblPr>
        <w:tblStyle w:val="TableGrid"/>
        <w:tblW w:w="0" w:type="auto"/>
        <w:tblInd w:w="-431" w:type="dxa"/>
        <w:tblLook w:val="04A0" w:firstRow="1" w:lastRow="0" w:firstColumn="1" w:lastColumn="0" w:noHBand="0" w:noVBand="1"/>
      </w:tblPr>
      <w:tblGrid>
        <w:gridCol w:w="2685"/>
        <w:gridCol w:w="2254"/>
        <w:gridCol w:w="2254"/>
        <w:gridCol w:w="2254"/>
      </w:tblGrid>
      <w:tr w:rsidR="00656D86" w:rsidRPr="00F37494" w14:paraId="44335959" w14:textId="77777777" w:rsidTr="00185627">
        <w:trPr>
          <w:trHeight w:val="392"/>
        </w:trPr>
        <w:tc>
          <w:tcPr>
            <w:tcW w:w="2685" w:type="dxa"/>
          </w:tcPr>
          <w:p w14:paraId="4C07A3AD" w14:textId="77777777" w:rsidR="00656D86" w:rsidRPr="00F37494" w:rsidRDefault="00656D86" w:rsidP="0036393F">
            <w:pPr>
              <w:rPr>
                <w:color w:val="1C6194" w:themeColor="accent2" w:themeShade="BF"/>
                <w:sz w:val="36"/>
                <w:szCs w:val="36"/>
              </w:rPr>
            </w:pPr>
          </w:p>
        </w:tc>
        <w:tc>
          <w:tcPr>
            <w:tcW w:w="2254" w:type="dxa"/>
          </w:tcPr>
          <w:p w14:paraId="5C1EFB36" w14:textId="77777777" w:rsidR="00656D86" w:rsidRPr="00F37494" w:rsidRDefault="00656D86" w:rsidP="0036393F">
            <w:pPr>
              <w:rPr>
                <w:color w:val="1C6194" w:themeColor="accent2" w:themeShade="BF"/>
                <w:sz w:val="36"/>
                <w:szCs w:val="36"/>
              </w:rPr>
            </w:pPr>
            <w:r w:rsidRPr="00F37494">
              <w:rPr>
                <w:color w:val="1C6194" w:themeColor="accent2" w:themeShade="BF"/>
                <w:sz w:val="36"/>
                <w:szCs w:val="36"/>
              </w:rPr>
              <w:t>Daily</w:t>
            </w:r>
          </w:p>
        </w:tc>
        <w:tc>
          <w:tcPr>
            <w:tcW w:w="2254" w:type="dxa"/>
          </w:tcPr>
          <w:p w14:paraId="2B983EE1" w14:textId="77777777" w:rsidR="00656D86" w:rsidRPr="00F37494" w:rsidRDefault="00656D86" w:rsidP="0036393F">
            <w:pPr>
              <w:rPr>
                <w:color w:val="1C6194" w:themeColor="accent2" w:themeShade="BF"/>
                <w:sz w:val="36"/>
                <w:szCs w:val="36"/>
              </w:rPr>
            </w:pPr>
            <w:r w:rsidRPr="00F37494">
              <w:rPr>
                <w:color w:val="1C6194" w:themeColor="accent2" w:themeShade="BF"/>
                <w:sz w:val="36"/>
                <w:szCs w:val="36"/>
              </w:rPr>
              <w:t>Weekly</w:t>
            </w:r>
          </w:p>
        </w:tc>
        <w:tc>
          <w:tcPr>
            <w:tcW w:w="2254" w:type="dxa"/>
          </w:tcPr>
          <w:p w14:paraId="0AB105AC" w14:textId="77777777" w:rsidR="00656D86" w:rsidRPr="00F37494" w:rsidRDefault="00656D86" w:rsidP="0036393F">
            <w:pPr>
              <w:rPr>
                <w:color w:val="1C6194" w:themeColor="accent2" w:themeShade="BF"/>
                <w:sz w:val="36"/>
                <w:szCs w:val="36"/>
              </w:rPr>
            </w:pPr>
            <w:r w:rsidRPr="00F37494">
              <w:rPr>
                <w:color w:val="1C6194" w:themeColor="accent2" w:themeShade="BF"/>
                <w:sz w:val="36"/>
                <w:szCs w:val="36"/>
              </w:rPr>
              <w:t>Monthly</w:t>
            </w:r>
          </w:p>
        </w:tc>
      </w:tr>
      <w:tr w:rsidR="00656D86" w:rsidRPr="00F37494" w14:paraId="63846CEE" w14:textId="77777777" w:rsidTr="00185627">
        <w:trPr>
          <w:trHeight w:val="392"/>
        </w:trPr>
        <w:tc>
          <w:tcPr>
            <w:tcW w:w="2685" w:type="dxa"/>
          </w:tcPr>
          <w:p w14:paraId="00F77836" w14:textId="77777777" w:rsidR="00656D86" w:rsidRPr="00F37494" w:rsidRDefault="00656D86" w:rsidP="0036393F">
            <w:pPr>
              <w:rPr>
                <w:color w:val="1C6194" w:themeColor="accent2" w:themeShade="BF"/>
                <w:sz w:val="36"/>
                <w:szCs w:val="36"/>
              </w:rPr>
            </w:pPr>
            <w:r w:rsidRPr="00F37494">
              <w:rPr>
                <w:color w:val="1C6194" w:themeColor="accent2" w:themeShade="BF"/>
                <w:sz w:val="36"/>
                <w:szCs w:val="36"/>
              </w:rPr>
              <w:t>Maximum</w:t>
            </w:r>
          </w:p>
        </w:tc>
        <w:tc>
          <w:tcPr>
            <w:tcW w:w="2254" w:type="dxa"/>
          </w:tcPr>
          <w:p w14:paraId="30CB7108" w14:textId="68A86A5A" w:rsidR="00656D86" w:rsidRPr="00F37494" w:rsidRDefault="00DB5C6F" w:rsidP="0036393F">
            <w:pPr>
              <w:rPr>
                <w:color w:val="1C6194" w:themeColor="accent2" w:themeShade="BF"/>
                <w:sz w:val="36"/>
                <w:szCs w:val="36"/>
              </w:rPr>
            </w:pPr>
            <w:r w:rsidRPr="00DB5C6F">
              <w:rPr>
                <w:color w:val="1C6194" w:themeColor="accent2" w:themeShade="BF"/>
                <w:sz w:val="36"/>
                <w:szCs w:val="36"/>
              </w:rPr>
              <w:t>12.741</w:t>
            </w:r>
          </w:p>
        </w:tc>
        <w:tc>
          <w:tcPr>
            <w:tcW w:w="2254" w:type="dxa"/>
          </w:tcPr>
          <w:p w14:paraId="07BC0957" w14:textId="646EFD3C" w:rsidR="00656D86" w:rsidRPr="00F37494" w:rsidRDefault="00DB5C6F" w:rsidP="0036393F">
            <w:pPr>
              <w:rPr>
                <w:color w:val="1C6194" w:themeColor="accent2" w:themeShade="BF"/>
                <w:sz w:val="36"/>
                <w:szCs w:val="36"/>
              </w:rPr>
            </w:pPr>
            <w:r w:rsidRPr="00DB5C6F">
              <w:rPr>
                <w:color w:val="1C6194" w:themeColor="accent2" w:themeShade="BF"/>
                <w:sz w:val="36"/>
                <w:szCs w:val="36"/>
              </w:rPr>
              <w:t>11.053</w:t>
            </w:r>
          </w:p>
        </w:tc>
        <w:tc>
          <w:tcPr>
            <w:tcW w:w="2254" w:type="dxa"/>
          </w:tcPr>
          <w:p w14:paraId="53BF0DE2" w14:textId="4310428F" w:rsidR="00656D86" w:rsidRPr="00F37494" w:rsidRDefault="00DB5C6F" w:rsidP="0036393F">
            <w:pPr>
              <w:rPr>
                <w:color w:val="1C6194" w:themeColor="accent2" w:themeShade="BF"/>
                <w:sz w:val="36"/>
                <w:szCs w:val="36"/>
              </w:rPr>
            </w:pPr>
            <w:r w:rsidRPr="00DB5C6F">
              <w:rPr>
                <w:color w:val="1C6194" w:themeColor="accent2" w:themeShade="BF"/>
                <w:sz w:val="36"/>
                <w:szCs w:val="36"/>
              </w:rPr>
              <w:t>10.379</w:t>
            </w:r>
          </w:p>
        </w:tc>
      </w:tr>
      <w:tr w:rsidR="00656D86" w:rsidRPr="00F37494" w14:paraId="12081904" w14:textId="77777777" w:rsidTr="00185627">
        <w:trPr>
          <w:trHeight w:val="392"/>
        </w:trPr>
        <w:tc>
          <w:tcPr>
            <w:tcW w:w="2685" w:type="dxa"/>
          </w:tcPr>
          <w:p w14:paraId="6A53D61A" w14:textId="77777777" w:rsidR="00656D86" w:rsidRPr="00F37494" w:rsidRDefault="00656D86" w:rsidP="0036393F">
            <w:pPr>
              <w:rPr>
                <w:color w:val="1C6194" w:themeColor="accent2" w:themeShade="BF"/>
                <w:sz w:val="36"/>
                <w:szCs w:val="36"/>
              </w:rPr>
            </w:pPr>
            <w:r w:rsidRPr="00F37494">
              <w:rPr>
                <w:color w:val="1C6194" w:themeColor="accent2" w:themeShade="BF"/>
                <w:sz w:val="36"/>
                <w:szCs w:val="36"/>
              </w:rPr>
              <w:t>Minimum</w:t>
            </w:r>
          </w:p>
        </w:tc>
        <w:tc>
          <w:tcPr>
            <w:tcW w:w="2254" w:type="dxa"/>
          </w:tcPr>
          <w:p w14:paraId="2D499603" w14:textId="13127CC5" w:rsidR="00656D86" w:rsidRPr="00F37494" w:rsidRDefault="00DB5C6F" w:rsidP="0036393F">
            <w:pPr>
              <w:rPr>
                <w:color w:val="1C6194" w:themeColor="accent2" w:themeShade="BF"/>
                <w:sz w:val="36"/>
                <w:szCs w:val="36"/>
              </w:rPr>
            </w:pPr>
            <w:r w:rsidRPr="00DB5C6F">
              <w:rPr>
                <w:color w:val="1C6194" w:themeColor="accent2" w:themeShade="BF"/>
                <w:sz w:val="36"/>
                <w:szCs w:val="36"/>
              </w:rPr>
              <w:t>-9.029</w:t>
            </w:r>
          </w:p>
        </w:tc>
        <w:tc>
          <w:tcPr>
            <w:tcW w:w="2254" w:type="dxa"/>
          </w:tcPr>
          <w:p w14:paraId="7B0CC083" w14:textId="2E7E9EFD" w:rsidR="00656D86" w:rsidRPr="00F37494" w:rsidRDefault="00DB5C6F" w:rsidP="0036393F">
            <w:pPr>
              <w:rPr>
                <w:color w:val="1C6194" w:themeColor="accent2" w:themeShade="BF"/>
                <w:sz w:val="36"/>
                <w:szCs w:val="36"/>
              </w:rPr>
            </w:pPr>
            <w:r w:rsidRPr="00DB5C6F">
              <w:rPr>
                <w:color w:val="1C6194" w:themeColor="accent2" w:themeShade="BF"/>
                <w:sz w:val="36"/>
                <w:szCs w:val="36"/>
              </w:rPr>
              <w:t>-8.904</w:t>
            </w:r>
          </w:p>
        </w:tc>
        <w:tc>
          <w:tcPr>
            <w:tcW w:w="2254" w:type="dxa"/>
          </w:tcPr>
          <w:p w14:paraId="3342501C" w14:textId="5E254527" w:rsidR="00656D86" w:rsidRPr="00F37494" w:rsidRDefault="00DB5C6F" w:rsidP="0036393F">
            <w:pPr>
              <w:rPr>
                <w:color w:val="1C6194" w:themeColor="accent2" w:themeShade="BF"/>
                <w:sz w:val="36"/>
                <w:szCs w:val="36"/>
              </w:rPr>
            </w:pPr>
            <w:r w:rsidRPr="00DB5C6F">
              <w:rPr>
                <w:color w:val="1C6194" w:themeColor="accent2" w:themeShade="BF"/>
                <w:sz w:val="36"/>
                <w:szCs w:val="36"/>
              </w:rPr>
              <w:t>-3.236</w:t>
            </w:r>
          </w:p>
        </w:tc>
      </w:tr>
      <w:tr w:rsidR="00656D86" w:rsidRPr="00F37494" w14:paraId="007FA387" w14:textId="77777777" w:rsidTr="00185627">
        <w:trPr>
          <w:trHeight w:val="392"/>
        </w:trPr>
        <w:tc>
          <w:tcPr>
            <w:tcW w:w="2685" w:type="dxa"/>
          </w:tcPr>
          <w:p w14:paraId="5BB475EF" w14:textId="77777777" w:rsidR="00656D86" w:rsidRPr="00F37494" w:rsidRDefault="00656D86" w:rsidP="0036393F">
            <w:pPr>
              <w:rPr>
                <w:color w:val="1C6194" w:themeColor="accent2" w:themeShade="BF"/>
                <w:sz w:val="36"/>
                <w:szCs w:val="36"/>
              </w:rPr>
            </w:pPr>
            <w:r w:rsidRPr="00F37494">
              <w:rPr>
                <w:color w:val="1C6194" w:themeColor="accent2" w:themeShade="BF"/>
                <w:sz w:val="36"/>
                <w:szCs w:val="36"/>
              </w:rPr>
              <w:t>Mean</w:t>
            </w:r>
          </w:p>
        </w:tc>
        <w:tc>
          <w:tcPr>
            <w:tcW w:w="2254" w:type="dxa"/>
          </w:tcPr>
          <w:p w14:paraId="351D369B" w14:textId="3078617B" w:rsidR="00656D86" w:rsidRPr="00F37494" w:rsidRDefault="00DB5C6F" w:rsidP="0036393F">
            <w:pPr>
              <w:rPr>
                <w:color w:val="1C6194" w:themeColor="accent2" w:themeShade="BF"/>
                <w:sz w:val="36"/>
                <w:szCs w:val="36"/>
              </w:rPr>
            </w:pPr>
            <w:r w:rsidRPr="00DB5C6F">
              <w:rPr>
                <w:color w:val="1C6194" w:themeColor="accent2" w:themeShade="BF"/>
                <w:sz w:val="36"/>
                <w:szCs w:val="36"/>
              </w:rPr>
              <w:t>0.1997</w:t>
            </w:r>
          </w:p>
        </w:tc>
        <w:tc>
          <w:tcPr>
            <w:tcW w:w="2254" w:type="dxa"/>
          </w:tcPr>
          <w:p w14:paraId="3CC4978C" w14:textId="0CAE1D55" w:rsidR="00656D86" w:rsidRPr="00F37494" w:rsidRDefault="00DB5C6F" w:rsidP="0036393F">
            <w:pPr>
              <w:rPr>
                <w:color w:val="1C6194" w:themeColor="accent2" w:themeShade="BF"/>
                <w:sz w:val="36"/>
                <w:szCs w:val="36"/>
              </w:rPr>
            </w:pPr>
            <w:r w:rsidRPr="00DB5C6F">
              <w:rPr>
                <w:color w:val="1C6194" w:themeColor="accent2" w:themeShade="BF"/>
                <w:sz w:val="36"/>
                <w:szCs w:val="36"/>
              </w:rPr>
              <w:t>0.9063</w:t>
            </w:r>
          </w:p>
        </w:tc>
        <w:tc>
          <w:tcPr>
            <w:tcW w:w="2254" w:type="dxa"/>
          </w:tcPr>
          <w:p w14:paraId="5CF6BB63" w14:textId="1EFFEFBF" w:rsidR="00656D86" w:rsidRPr="00F37494" w:rsidRDefault="00DB5C6F" w:rsidP="0036393F">
            <w:pPr>
              <w:rPr>
                <w:color w:val="1C6194" w:themeColor="accent2" w:themeShade="BF"/>
                <w:sz w:val="36"/>
                <w:szCs w:val="36"/>
              </w:rPr>
            </w:pPr>
            <w:r w:rsidRPr="00DB5C6F">
              <w:rPr>
                <w:color w:val="1C6194" w:themeColor="accent2" w:themeShade="BF"/>
                <w:sz w:val="36"/>
                <w:szCs w:val="36"/>
              </w:rPr>
              <w:t>4.0</w:t>
            </w:r>
          </w:p>
        </w:tc>
      </w:tr>
      <w:tr w:rsidR="00656D86" w:rsidRPr="00F37494" w14:paraId="03650219" w14:textId="77777777" w:rsidTr="00185627">
        <w:trPr>
          <w:trHeight w:val="392"/>
        </w:trPr>
        <w:tc>
          <w:tcPr>
            <w:tcW w:w="2685" w:type="dxa"/>
          </w:tcPr>
          <w:p w14:paraId="3BB12E5C" w14:textId="77777777" w:rsidR="00656D86" w:rsidRPr="00F37494" w:rsidRDefault="00656D86" w:rsidP="0036393F">
            <w:pPr>
              <w:rPr>
                <w:color w:val="1C6194" w:themeColor="accent2" w:themeShade="BF"/>
                <w:sz w:val="36"/>
                <w:szCs w:val="36"/>
              </w:rPr>
            </w:pPr>
            <w:r w:rsidRPr="00F37494">
              <w:rPr>
                <w:color w:val="1C6194" w:themeColor="accent2" w:themeShade="BF"/>
                <w:sz w:val="36"/>
                <w:szCs w:val="36"/>
              </w:rPr>
              <w:t>Sample Std. Dev.</w:t>
            </w:r>
          </w:p>
        </w:tc>
        <w:tc>
          <w:tcPr>
            <w:tcW w:w="2254" w:type="dxa"/>
          </w:tcPr>
          <w:p w14:paraId="174C61BB" w14:textId="5629C58A" w:rsidR="00656D86" w:rsidRPr="00F37494" w:rsidRDefault="00DB5C6F" w:rsidP="0036393F">
            <w:pPr>
              <w:rPr>
                <w:color w:val="1C6194" w:themeColor="accent2" w:themeShade="BF"/>
                <w:sz w:val="36"/>
                <w:szCs w:val="36"/>
              </w:rPr>
            </w:pPr>
            <w:r w:rsidRPr="00DB5C6F">
              <w:rPr>
                <w:color w:val="1C6194" w:themeColor="accent2" w:themeShade="BF"/>
                <w:sz w:val="36"/>
                <w:szCs w:val="36"/>
              </w:rPr>
              <w:t>2.024</w:t>
            </w:r>
          </w:p>
        </w:tc>
        <w:tc>
          <w:tcPr>
            <w:tcW w:w="2254" w:type="dxa"/>
          </w:tcPr>
          <w:p w14:paraId="684E0DDC" w14:textId="041580ED" w:rsidR="00656D86" w:rsidRPr="00F37494" w:rsidRDefault="00DB5C6F" w:rsidP="0036393F">
            <w:pPr>
              <w:rPr>
                <w:color w:val="1C6194" w:themeColor="accent2" w:themeShade="BF"/>
                <w:sz w:val="36"/>
                <w:szCs w:val="36"/>
              </w:rPr>
            </w:pPr>
            <w:r w:rsidRPr="00DB5C6F">
              <w:rPr>
                <w:color w:val="1C6194" w:themeColor="accent2" w:themeShade="BF"/>
                <w:sz w:val="36"/>
                <w:szCs w:val="36"/>
              </w:rPr>
              <w:t>3.5913</w:t>
            </w:r>
          </w:p>
        </w:tc>
        <w:tc>
          <w:tcPr>
            <w:tcW w:w="2254" w:type="dxa"/>
          </w:tcPr>
          <w:p w14:paraId="1576A357" w14:textId="7744677F" w:rsidR="00656D86" w:rsidRPr="00F37494" w:rsidRDefault="00DB5C6F" w:rsidP="0036393F">
            <w:pPr>
              <w:rPr>
                <w:color w:val="1C6194" w:themeColor="accent2" w:themeShade="BF"/>
                <w:sz w:val="36"/>
                <w:szCs w:val="36"/>
              </w:rPr>
            </w:pPr>
            <w:r w:rsidRPr="00DB5C6F">
              <w:rPr>
                <w:color w:val="1C6194" w:themeColor="accent2" w:themeShade="BF"/>
                <w:sz w:val="36"/>
                <w:szCs w:val="36"/>
              </w:rPr>
              <w:t>4.0166</w:t>
            </w:r>
          </w:p>
        </w:tc>
      </w:tr>
    </w:tbl>
    <w:p w14:paraId="0B6CE552" w14:textId="17DEB225" w:rsidR="00E76CB2" w:rsidRPr="00B841AB" w:rsidRDefault="00656D86" w:rsidP="00E226A4">
      <w:pPr>
        <w:ind w:firstLine="720"/>
        <w:jc w:val="center"/>
        <w:rPr>
          <w:rFonts w:ascii="CMCSC10" w:hAnsi="CMCSC10"/>
          <w:color w:val="000000" w:themeColor="text1"/>
          <w:sz w:val="36"/>
          <w:szCs w:val="36"/>
          <w:u w:val="single"/>
        </w:rPr>
      </w:pPr>
      <w:r w:rsidRPr="00B841AB">
        <w:rPr>
          <w:rFonts w:ascii="CMCSC10" w:hAnsi="CMCSC10"/>
          <w:color w:val="000000" w:themeColor="text1"/>
          <w:sz w:val="36"/>
          <w:szCs w:val="36"/>
          <w:u w:val="single"/>
        </w:rPr>
        <w:t xml:space="preserve">Table </w:t>
      </w:r>
      <w:r w:rsidR="00D53787">
        <w:rPr>
          <w:rFonts w:ascii="CMCSC10" w:hAnsi="CMCSC10"/>
          <w:color w:val="000000" w:themeColor="text1"/>
          <w:sz w:val="36"/>
          <w:szCs w:val="36"/>
          <w:u w:val="single"/>
        </w:rPr>
        <w:t>4</w:t>
      </w:r>
      <w:r w:rsidRPr="00B841AB">
        <w:rPr>
          <w:rFonts w:ascii="CMCSC10" w:hAnsi="CMCSC10"/>
          <w:color w:val="000000" w:themeColor="text1"/>
          <w:sz w:val="36"/>
          <w:szCs w:val="36"/>
          <w:u w:val="single"/>
        </w:rPr>
        <w:t xml:space="preserve">: Comparison of Daily, Weekly and Monthly </w:t>
      </w:r>
      <w:r>
        <w:rPr>
          <w:rFonts w:ascii="CMCSC10" w:hAnsi="CMCSC10"/>
          <w:b/>
          <w:bCs/>
          <w:color w:val="000000" w:themeColor="text1"/>
          <w:sz w:val="36"/>
          <w:szCs w:val="36"/>
          <w:u w:val="single"/>
        </w:rPr>
        <w:t>Ne</w:t>
      </w:r>
      <w:r w:rsidR="001051AA">
        <w:rPr>
          <w:rFonts w:ascii="CMCSC10" w:hAnsi="CMCSC10"/>
          <w:b/>
          <w:bCs/>
          <w:color w:val="000000" w:themeColor="text1"/>
          <w:sz w:val="36"/>
          <w:szCs w:val="36"/>
          <w:u w:val="single"/>
        </w:rPr>
        <w:t>xt</w:t>
      </w:r>
      <w:r>
        <w:rPr>
          <w:rFonts w:ascii="CMCSC10" w:hAnsi="CMCSC10"/>
          <w:b/>
          <w:bCs/>
          <w:color w:val="000000" w:themeColor="text1"/>
          <w:sz w:val="36"/>
          <w:szCs w:val="36"/>
          <w:u w:val="single"/>
        </w:rPr>
        <w:t xml:space="preserve"> Month </w:t>
      </w:r>
      <w:r w:rsidRPr="00B841AB">
        <w:rPr>
          <w:rFonts w:ascii="CMCSC10" w:hAnsi="CMCSC10"/>
          <w:color w:val="000000" w:themeColor="text1"/>
          <w:sz w:val="36"/>
          <w:szCs w:val="36"/>
          <w:u w:val="single"/>
        </w:rPr>
        <w:t>Returns (in %</w:t>
      </w:r>
      <w:r>
        <w:rPr>
          <w:rFonts w:ascii="CMCSC10" w:hAnsi="CMCSC10"/>
          <w:color w:val="000000" w:themeColor="text1"/>
          <w:sz w:val="36"/>
          <w:szCs w:val="36"/>
          <w:u w:val="single"/>
        </w:rPr>
        <w:t>, rounded off)</w:t>
      </w:r>
    </w:p>
    <w:p w14:paraId="60553CC7" w14:textId="77777777" w:rsidR="00055F0C" w:rsidRDefault="00055F0C" w:rsidP="00F325FE">
      <w:pPr>
        <w:rPr>
          <w:rFonts w:ascii="CMCSC10" w:hAnsi="CMCSC10"/>
          <w:color w:val="1481AB" w:themeColor="accent1" w:themeShade="BF"/>
          <w:sz w:val="36"/>
          <w:szCs w:val="32"/>
        </w:rPr>
      </w:pPr>
    </w:p>
    <w:p w14:paraId="0CBF24DF" w14:textId="2B1BB0AA" w:rsidR="00F325FE" w:rsidRDefault="00F325FE" w:rsidP="00F325FE">
      <w:pPr>
        <w:rPr>
          <w:rFonts w:ascii="CMCSC10" w:hAnsi="CMCSC10"/>
          <w:color w:val="1481AB" w:themeColor="accent1" w:themeShade="BF"/>
          <w:sz w:val="36"/>
          <w:szCs w:val="32"/>
        </w:rPr>
      </w:pPr>
      <w:r>
        <w:rPr>
          <w:rFonts w:ascii="CMCSC10" w:hAnsi="CMCSC10"/>
          <w:color w:val="1481AB" w:themeColor="accent1" w:themeShade="BF"/>
          <w:sz w:val="36"/>
          <w:szCs w:val="32"/>
        </w:rPr>
        <w:t>6.3 Far Month Returns</w:t>
      </w:r>
    </w:p>
    <w:p w14:paraId="54DC90DB" w14:textId="34BB9F77" w:rsidR="00202CE5" w:rsidRPr="00101CB9" w:rsidRDefault="00101CB9">
      <w:pPr>
        <w:rPr>
          <w:rFonts w:ascii="CMCSC10" w:hAnsi="CMCSC10"/>
          <w:sz w:val="36"/>
          <w:szCs w:val="36"/>
        </w:rPr>
      </w:pPr>
      <w:r>
        <w:rPr>
          <w:sz w:val="36"/>
          <w:szCs w:val="36"/>
        </w:rPr>
        <w:tab/>
      </w:r>
      <w:r w:rsidRPr="00101CB9">
        <w:rPr>
          <w:rFonts w:ascii="CMCSC10" w:hAnsi="CMCSC10"/>
          <w:sz w:val="36"/>
          <w:szCs w:val="36"/>
        </w:rPr>
        <w:t>Daily, Weekly and</w:t>
      </w:r>
      <w:r w:rsidR="0053712B" w:rsidRPr="00101CB9">
        <w:rPr>
          <w:rFonts w:ascii="CMCSC10" w:hAnsi="CMCSC10"/>
          <w:sz w:val="36"/>
          <w:szCs w:val="36"/>
        </w:rPr>
        <w:tab/>
      </w:r>
      <w:r>
        <w:rPr>
          <w:rFonts w:ascii="CMCSC10" w:hAnsi="CMCSC10"/>
          <w:sz w:val="36"/>
          <w:szCs w:val="36"/>
        </w:rPr>
        <w:t>Monthly per annum returns are 72.01%, 46.65% and 47% respectively.</w:t>
      </w:r>
      <w:r w:rsidRPr="00B92497">
        <w:rPr>
          <w:rFonts w:ascii="CMCSC10" w:hAnsi="CMCSC10"/>
          <w:b/>
          <w:bCs/>
          <w:color w:val="1C6194" w:themeColor="accent2" w:themeShade="BF"/>
          <w:sz w:val="36"/>
          <w:szCs w:val="36"/>
        </w:rPr>
        <w:t xml:space="preserve"> </w:t>
      </w:r>
      <w:r w:rsidR="0053712B" w:rsidRPr="00B92497">
        <w:rPr>
          <w:rFonts w:ascii="CMCSC10" w:hAnsi="CMCSC10"/>
          <w:b/>
          <w:bCs/>
          <w:color w:val="1C6194" w:themeColor="accent2" w:themeShade="BF"/>
          <w:sz w:val="36"/>
          <w:szCs w:val="36"/>
        </w:rPr>
        <w:t>Daily</w:t>
      </w:r>
      <w:r w:rsidR="0053712B" w:rsidRPr="00B92497">
        <w:rPr>
          <w:rFonts w:ascii="CMCSC10" w:hAnsi="CMCSC10"/>
          <w:color w:val="1C6194" w:themeColor="accent2" w:themeShade="BF"/>
          <w:sz w:val="36"/>
          <w:szCs w:val="36"/>
        </w:rPr>
        <w:t xml:space="preserve"> </w:t>
      </w:r>
      <w:r w:rsidR="0053712B">
        <w:rPr>
          <w:rFonts w:ascii="CMCSC10" w:hAnsi="CMCSC10"/>
          <w:color w:val="141719" w:themeColor="background2" w:themeShade="1A"/>
          <w:sz w:val="36"/>
          <w:szCs w:val="36"/>
        </w:rPr>
        <w:t>investment is again recommended as it ensures greater safety/ lesser risk for the same amount of returns.</w:t>
      </w:r>
      <w:r>
        <w:rPr>
          <w:rFonts w:ascii="CMCSC10" w:hAnsi="CMCSC10"/>
          <w:color w:val="141719" w:themeColor="background2" w:themeShade="1A"/>
          <w:sz w:val="36"/>
          <w:szCs w:val="36"/>
        </w:rPr>
        <w:t xml:space="preserve"> This is because it ensures the highest Reward/Risk ratio of 35.80 compared to </w:t>
      </w:r>
      <w:r w:rsidR="003622D2">
        <w:rPr>
          <w:rFonts w:ascii="CMCSC10" w:hAnsi="CMCSC10"/>
          <w:color w:val="141719" w:themeColor="background2" w:themeShade="1A"/>
          <w:sz w:val="36"/>
          <w:szCs w:val="36"/>
        </w:rPr>
        <w:t>13.03</w:t>
      </w:r>
      <w:r w:rsidR="00EA1DA1">
        <w:rPr>
          <w:rFonts w:ascii="CMCSC10" w:hAnsi="CMCSC10"/>
          <w:color w:val="141719" w:themeColor="background2" w:themeShade="1A"/>
          <w:sz w:val="36"/>
          <w:szCs w:val="36"/>
        </w:rPr>
        <w:t xml:space="preserve"> </w:t>
      </w:r>
      <w:r>
        <w:rPr>
          <w:rFonts w:ascii="CMCSC10" w:hAnsi="CMCSC10"/>
          <w:color w:val="141719" w:themeColor="background2" w:themeShade="1A"/>
          <w:sz w:val="36"/>
          <w:szCs w:val="36"/>
        </w:rPr>
        <w:t>of</w:t>
      </w:r>
      <w:r w:rsidR="003622D2">
        <w:rPr>
          <w:rFonts w:ascii="CMCSC10" w:hAnsi="CMCSC10"/>
          <w:color w:val="141719" w:themeColor="background2" w:themeShade="1A"/>
          <w:sz w:val="36"/>
          <w:szCs w:val="36"/>
        </w:rPr>
        <w:t xml:space="preserve"> </w:t>
      </w:r>
      <w:r>
        <w:rPr>
          <w:rFonts w:ascii="CMCSC10" w:hAnsi="CMCSC10"/>
          <w:color w:val="141719" w:themeColor="background2" w:themeShade="1A"/>
          <w:sz w:val="36"/>
          <w:szCs w:val="36"/>
        </w:rPr>
        <w:t xml:space="preserve">Weekly and </w:t>
      </w:r>
      <w:r w:rsidR="00EA1DA1">
        <w:rPr>
          <w:rFonts w:ascii="CMCSC10" w:hAnsi="CMCSC10"/>
          <w:color w:val="141719" w:themeColor="background2" w:themeShade="1A"/>
          <w:sz w:val="36"/>
          <w:szCs w:val="36"/>
        </w:rPr>
        <w:t xml:space="preserve">12.52 </w:t>
      </w:r>
      <w:r>
        <w:rPr>
          <w:rFonts w:ascii="CMCSC10" w:hAnsi="CMCSC10"/>
          <w:color w:val="141719" w:themeColor="background2" w:themeShade="1A"/>
          <w:sz w:val="36"/>
          <w:szCs w:val="36"/>
        </w:rPr>
        <w:t>of Monthly.</w:t>
      </w:r>
    </w:p>
    <w:p w14:paraId="2DD0D8D8" w14:textId="096FD2E2" w:rsidR="00202CE5" w:rsidRDefault="00202CE5">
      <w:pPr>
        <w:rPr>
          <w:sz w:val="36"/>
          <w:szCs w:val="36"/>
        </w:rPr>
      </w:pPr>
    </w:p>
    <w:tbl>
      <w:tblPr>
        <w:tblStyle w:val="TableGrid"/>
        <w:tblW w:w="0" w:type="auto"/>
        <w:tblInd w:w="-431" w:type="dxa"/>
        <w:tblLook w:val="04A0" w:firstRow="1" w:lastRow="0" w:firstColumn="1" w:lastColumn="0" w:noHBand="0" w:noVBand="1"/>
      </w:tblPr>
      <w:tblGrid>
        <w:gridCol w:w="2685"/>
        <w:gridCol w:w="2254"/>
        <w:gridCol w:w="2254"/>
        <w:gridCol w:w="2254"/>
      </w:tblGrid>
      <w:tr w:rsidR="00656D86" w:rsidRPr="00F37494" w14:paraId="1F6CA9A6" w14:textId="77777777" w:rsidTr="0036393F">
        <w:tc>
          <w:tcPr>
            <w:tcW w:w="2685" w:type="dxa"/>
          </w:tcPr>
          <w:p w14:paraId="0B6097CF" w14:textId="77777777" w:rsidR="00656D86" w:rsidRPr="00F37494" w:rsidRDefault="00656D86" w:rsidP="0036393F">
            <w:pPr>
              <w:rPr>
                <w:color w:val="1C6194" w:themeColor="accent2" w:themeShade="BF"/>
                <w:sz w:val="36"/>
                <w:szCs w:val="36"/>
              </w:rPr>
            </w:pPr>
          </w:p>
        </w:tc>
        <w:tc>
          <w:tcPr>
            <w:tcW w:w="2254" w:type="dxa"/>
          </w:tcPr>
          <w:p w14:paraId="13AC9AF2" w14:textId="77777777" w:rsidR="00656D86" w:rsidRPr="00F37494" w:rsidRDefault="00656D86" w:rsidP="0036393F">
            <w:pPr>
              <w:rPr>
                <w:color w:val="1C6194" w:themeColor="accent2" w:themeShade="BF"/>
                <w:sz w:val="36"/>
                <w:szCs w:val="36"/>
              </w:rPr>
            </w:pPr>
            <w:r w:rsidRPr="00F37494">
              <w:rPr>
                <w:color w:val="1C6194" w:themeColor="accent2" w:themeShade="BF"/>
                <w:sz w:val="36"/>
                <w:szCs w:val="36"/>
              </w:rPr>
              <w:t>Daily</w:t>
            </w:r>
          </w:p>
        </w:tc>
        <w:tc>
          <w:tcPr>
            <w:tcW w:w="2254" w:type="dxa"/>
          </w:tcPr>
          <w:p w14:paraId="5FC0F8F9" w14:textId="77777777" w:rsidR="00656D86" w:rsidRPr="00F37494" w:rsidRDefault="00656D86" w:rsidP="0036393F">
            <w:pPr>
              <w:rPr>
                <w:color w:val="1C6194" w:themeColor="accent2" w:themeShade="BF"/>
                <w:sz w:val="36"/>
                <w:szCs w:val="36"/>
              </w:rPr>
            </w:pPr>
            <w:r w:rsidRPr="00F37494">
              <w:rPr>
                <w:color w:val="1C6194" w:themeColor="accent2" w:themeShade="BF"/>
                <w:sz w:val="36"/>
                <w:szCs w:val="36"/>
              </w:rPr>
              <w:t>Weekly</w:t>
            </w:r>
          </w:p>
        </w:tc>
        <w:tc>
          <w:tcPr>
            <w:tcW w:w="2254" w:type="dxa"/>
          </w:tcPr>
          <w:p w14:paraId="091C581B" w14:textId="77777777" w:rsidR="00656D86" w:rsidRPr="00F37494" w:rsidRDefault="00656D86" w:rsidP="0036393F">
            <w:pPr>
              <w:rPr>
                <w:color w:val="1C6194" w:themeColor="accent2" w:themeShade="BF"/>
                <w:sz w:val="36"/>
                <w:szCs w:val="36"/>
              </w:rPr>
            </w:pPr>
            <w:r w:rsidRPr="00F37494">
              <w:rPr>
                <w:color w:val="1C6194" w:themeColor="accent2" w:themeShade="BF"/>
                <w:sz w:val="36"/>
                <w:szCs w:val="36"/>
              </w:rPr>
              <w:t>Monthly</w:t>
            </w:r>
          </w:p>
        </w:tc>
      </w:tr>
      <w:tr w:rsidR="00656D86" w:rsidRPr="00F37494" w14:paraId="6F85AE9D" w14:textId="77777777" w:rsidTr="0036393F">
        <w:tc>
          <w:tcPr>
            <w:tcW w:w="2685" w:type="dxa"/>
          </w:tcPr>
          <w:p w14:paraId="26B514BB" w14:textId="77777777" w:rsidR="00656D86" w:rsidRPr="00F37494" w:rsidRDefault="00656D86" w:rsidP="0036393F">
            <w:pPr>
              <w:rPr>
                <w:color w:val="1C6194" w:themeColor="accent2" w:themeShade="BF"/>
                <w:sz w:val="36"/>
                <w:szCs w:val="36"/>
              </w:rPr>
            </w:pPr>
            <w:r w:rsidRPr="00F37494">
              <w:rPr>
                <w:color w:val="1C6194" w:themeColor="accent2" w:themeShade="BF"/>
                <w:sz w:val="36"/>
                <w:szCs w:val="36"/>
              </w:rPr>
              <w:t>Maximum</w:t>
            </w:r>
          </w:p>
        </w:tc>
        <w:tc>
          <w:tcPr>
            <w:tcW w:w="2254" w:type="dxa"/>
          </w:tcPr>
          <w:p w14:paraId="0BE91218" w14:textId="6ED39C11" w:rsidR="00656D86" w:rsidRPr="00F37494" w:rsidRDefault="00800601" w:rsidP="0036393F">
            <w:pPr>
              <w:rPr>
                <w:color w:val="1C6194" w:themeColor="accent2" w:themeShade="BF"/>
                <w:sz w:val="36"/>
                <w:szCs w:val="36"/>
              </w:rPr>
            </w:pPr>
            <w:r w:rsidRPr="00800601">
              <w:rPr>
                <w:color w:val="1C6194" w:themeColor="accent2" w:themeShade="BF"/>
                <w:sz w:val="36"/>
                <w:szCs w:val="36"/>
              </w:rPr>
              <w:t>12.726</w:t>
            </w:r>
          </w:p>
        </w:tc>
        <w:tc>
          <w:tcPr>
            <w:tcW w:w="2254" w:type="dxa"/>
          </w:tcPr>
          <w:p w14:paraId="0767D320" w14:textId="2D9BDD3A" w:rsidR="00656D86" w:rsidRPr="00F37494" w:rsidRDefault="00800601" w:rsidP="0036393F">
            <w:pPr>
              <w:rPr>
                <w:color w:val="1C6194" w:themeColor="accent2" w:themeShade="BF"/>
                <w:sz w:val="36"/>
                <w:szCs w:val="36"/>
              </w:rPr>
            </w:pPr>
            <w:r w:rsidRPr="00800601">
              <w:rPr>
                <w:color w:val="1C6194" w:themeColor="accent2" w:themeShade="BF"/>
                <w:sz w:val="36"/>
                <w:szCs w:val="36"/>
              </w:rPr>
              <w:t>11.385</w:t>
            </w:r>
          </w:p>
        </w:tc>
        <w:tc>
          <w:tcPr>
            <w:tcW w:w="2254" w:type="dxa"/>
          </w:tcPr>
          <w:p w14:paraId="351B3324" w14:textId="3448A9B5" w:rsidR="00656D86" w:rsidRPr="00F37494" w:rsidRDefault="00800601" w:rsidP="0036393F">
            <w:pPr>
              <w:rPr>
                <w:color w:val="1C6194" w:themeColor="accent2" w:themeShade="BF"/>
                <w:sz w:val="36"/>
                <w:szCs w:val="36"/>
              </w:rPr>
            </w:pPr>
            <w:r w:rsidRPr="00800601">
              <w:rPr>
                <w:color w:val="1C6194" w:themeColor="accent2" w:themeShade="BF"/>
                <w:sz w:val="36"/>
                <w:szCs w:val="36"/>
              </w:rPr>
              <w:t>10.12</w:t>
            </w:r>
          </w:p>
        </w:tc>
      </w:tr>
      <w:tr w:rsidR="00656D86" w:rsidRPr="00F37494" w14:paraId="07A115A1" w14:textId="77777777" w:rsidTr="0036393F">
        <w:tc>
          <w:tcPr>
            <w:tcW w:w="2685" w:type="dxa"/>
          </w:tcPr>
          <w:p w14:paraId="7688A243" w14:textId="77777777" w:rsidR="00656D86" w:rsidRPr="00F37494" w:rsidRDefault="00656D86" w:rsidP="0036393F">
            <w:pPr>
              <w:rPr>
                <w:color w:val="1C6194" w:themeColor="accent2" w:themeShade="BF"/>
                <w:sz w:val="36"/>
                <w:szCs w:val="36"/>
              </w:rPr>
            </w:pPr>
            <w:r w:rsidRPr="00F37494">
              <w:rPr>
                <w:color w:val="1C6194" w:themeColor="accent2" w:themeShade="BF"/>
                <w:sz w:val="36"/>
                <w:szCs w:val="36"/>
              </w:rPr>
              <w:t>Minimum</w:t>
            </w:r>
          </w:p>
        </w:tc>
        <w:tc>
          <w:tcPr>
            <w:tcW w:w="2254" w:type="dxa"/>
          </w:tcPr>
          <w:p w14:paraId="72C5CD76" w14:textId="7A7CD370" w:rsidR="00656D86" w:rsidRPr="00F37494" w:rsidRDefault="00800601" w:rsidP="0036393F">
            <w:pPr>
              <w:rPr>
                <w:color w:val="1C6194" w:themeColor="accent2" w:themeShade="BF"/>
                <w:sz w:val="36"/>
                <w:szCs w:val="36"/>
              </w:rPr>
            </w:pPr>
            <w:r w:rsidRPr="00800601">
              <w:rPr>
                <w:color w:val="1C6194" w:themeColor="accent2" w:themeShade="BF"/>
                <w:sz w:val="36"/>
                <w:szCs w:val="36"/>
              </w:rPr>
              <w:t>-8.536</w:t>
            </w:r>
          </w:p>
        </w:tc>
        <w:tc>
          <w:tcPr>
            <w:tcW w:w="2254" w:type="dxa"/>
          </w:tcPr>
          <w:p w14:paraId="29682214" w14:textId="7C66B4DD" w:rsidR="00656D86" w:rsidRPr="00F37494" w:rsidRDefault="00800601" w:rsidP="0036393F">
            <w:pPr>
              <w:rPr>
                <w:color w:val="1C6194" w:themeColor="accent2" w:themeShade="BF"/>
                <w:sz w:val="36"/>
                <w:szCs w:val="36"/>
              </w:rPr>
            </w:pPr>
            <w:r w:rsidRPr="00800601">
              <w:rPr>
                <w:color w:val="1C6194" w:themeColor="accent2" w:themeShade="BF"/>
                <w:sz w:val="36"/>
                <w:szCs w:val="36"/>
              </w:rPr>
              <w:t>-8.834</w:t>
            </w:r>
          </w:p>
        </w:tc>
        <w:tc>
          <w:tcPr>
            <w:tcW w:w="2254" w:type="dxa"/>
          </w:tcPr>
          <w:p w14:paraId="1AF016A2" w14:textId="5343A313" w:rsidR="00656D86" w:rsidRPr="00F37494" w:rsidRDefault="00800601" w:rsidP="0036393F">
            <w:pPr>
              <w:rPr>
                <w:color w:val="1C6194" w:themeColor="accent2" w:themeShade="BF"/>
                <w:sz w:val="36"/>
                <w:szCs w:val="36"/>
              </w:rPr>
            </w:pPr>
            <w:r w:rsidRPr="00800601">
              <w:rPr>
                <w:color w:val="1C6194" w:themeColor="accent2" w:themeShade="BF"/>
                <w:sz w:val="36"/>
                <w:szCs w:val="36"/>
              </w:rPr>
              <w:t>-2.799</w:t>
            </w:r>
          </w:p>
        </w:tc>
      </w:tr>
      <w:tr w:rsidR="00656D86" w:rsidRPr="00F37494" w14:paraId="5507D231" w14:textId="77777777" w:rsidTr="0036393F">
        <w:tc>
          <w:tcPr>
            <w:tcW w:w="2685" w:type="dxa"/>
          </w:tcPr>
          <w:p w14:paraId="49C76D9F" w14:textId="77777777" w:rsidR="00656D86" w:rsidRPr="00F37494" w:rsidRDefault="00656D86" w:rsidP="0036393F">
            <w:pPr>
              <w:rPr>
                <w:color w:val="1C6194" w:themeColor="accent2" w:themeShade="BF"/>
                <w:sz w:val="36"/>
                <w:szCs w:val="36"/>
              </w:rPr>
            </w:pPr>
            <w:r w:rsidRPr="00F37494">
              <w:rPr>
                <w:color w:val="1C6194" w:themeColor="accent2" w:themeShade="BF"/>
                <w:sz w:val="36"/>
                <w:szCs w:val="36"/>
              </w:rPr>
              <w:t>Mean</w:t>
            </w:r>
          </w:p>
        </w:tc>
        <w:tc>
          <w:tcPr>
            <w:tcW w:w="2254" w:type="dxa"/>
          </w:tcPr>
          <w:p w14:paraId="02C54615" w14:textId="1C0B9073" w:rsidR="00656D86" w:rsidRPr="00F37494" w:rsidRDefault="00800601" w:rsidP="0036393F">
            <w:pPr>
              <w:rPr>
                <w:color w:val="1C6194" w:themeColor="accent2" w:themeShade="BF"/>
                <w:sz w:val="36"/>
                <w:szCs w:val="36"/>
              </w:rPr>
            </w:pPr>
            <w:r w:rsidRPr="00800601">
              <w:rPr>
                <w:color w:val="1C6194" w:themeColor="accent2" w:themeShade="BF"/>
                <w:sz w:val="36"/>
                <w:szCs w:val="36"/>
              </w:rPr>
              <w:t>0.1973</w:t>
            </w:r>
          </w:p>
        </w:tc>
        <w:tc>
          <w:tcPr>
            <w:tcW w:w="2254" w:type="dxa"/>
          </w:tcPr>
          <w:p w14:paraId="651E3485" w14:textId="3BA75B7B" w:rsidR="00656D86" w:rsidRPr="00F37494" w:rsidRDefault="00800601" w:rsidP="0036393F">
            <w:pPr>
              <w:rPr>
                <w:color w:val="1C6194" w:themeColor="accent2" w:themeShade="BF"/>
                <w:sz w:val="36"/>
                <w:szCs w:val="36"/>
              </w:rPr>
            </w:pPr>
            <w:r w:rsidRPr="00800601">
              <w:rPr>
                <w:color w:val="1C6194" w:themeColor="accent2" w:themeShade="BF"/>
                <w:sz w:val="36"/>
                <w:szCs w:val="36"/>
              </w:rPr>
              <w:t>0.8973</w:t>
            </w:r>
          </w:p>
        </w:tc>
        <w:tc>
          <w:tcPr>
            <w:tcW w:w="2254" w:type="dxa"/>
          </w:tcPr>
          <w:p w14:paraId="52D1C88E" w14:textId="4AC0A9B6" w:rsidR="00656D86" w:rsidRPr="00F37494" w:rsidRDefault="00800601" w:rsidP="0036393F">
            <w:pPr>
              <w:rPr>
                <w:color w:val="1C6194" w:themeColor="accent2" w:themeShade="BF"/>
                <w:sz w:val="36"/>
                <w:szCs w:val="36"/>
              </w:rPr>
            </w:pPr>
            <w:r w:rsidRPr="00800601">
              <w:rPr>
                <w:color w:val="1C6194" w:themeColor="accent2" w:themeShade="BF"/>
                <w:sz w:val="36"/>
                <w:szCs w:val="36"/>
              </w:rPr>
              <w:t>3.9266</w:t>
            </w:r>
          </w:p>
        </w:tc>
      </w:tr>
      <w:tr w:rsidR="00656D86" w:rsidRPr="00F37494" w14:paraId="79500EF7" w14:textId="77777777" w:rsidTr="0036393F">
        <w:tc>
          <w:tcPr>
            <w:tcW w:w="2685" w:type="dxa"/>
          </w:tcPr>
          <w:p w14:paraId="28177D24" w14:textId="77777777" w:rsidR="00656D86" w:rsidRPr="00F37494" w:rsidRDefault="00656D86" w:rsidP="0036393F">
            <w:pPr>
              <w:rPr>
                <w:color w:val="1C6194" w:themeColor="accent2" w:themeShade="BF"/>
                <w:sz w:val="36"/>
                <w:szCs w:val="36"/>
              </w:rPr>
            </w:pPr>
            <w:r w:rsidRPr="00F37494">
              <w:rPr>
                <w:color w:val="1C6194" w:themeColor="accent2" w:themeShade="BF"/>
                <w:sz w:val="36"/>
                <w:szCs w:val="36"/>
              </w:rPr>
              <w:lastRenderedPageBreak/>
              <w:t>Sample Std. Dev.</w:t>
            </w:r>
          </w:p>
        </w:tc>
        <w:tc>
          <w:tcPr>
            <w:tcW w:w="2254" w:type="dxa"/>
          </w:tcPr>
          <w:p w14:paraId="282891AA" w14:textId="23F7F81C" w:rsidR="00656D86" w:rsidRPr="00F37494" w:rsidRDefault="00800601" w:rsidP="0036393F">
            <w:pPr>
              <w:rPr>
                <w:color w:val="1C6194" w:themeColor="accent2" w:themeShade="BF"/>
                <w:sz w:val="36"/>
                <w:szCs w:val="36"/>
              </w:rPr>
            </w:pPr>
            <w:r w:rsidRPr="00800601">
              <w:rPr>
                <w:color w:val="1C6194" w:themeColor="accent2" w:themeShade="BF"/>
                <w:sz w:val="36"/>
                <w:szCs w:val="36"/>
              </w:rPr>
              <w:t>2.0115</w:t>
            </w:r>
          </w:p>
        </w:tc>
        <w:tc>
          <w:tcPr>
            <w:tcW w:w="2254" w:type="dxa"/>
          </w:tcPr>
          <w:p w14:paraId="3768FA74" w14:textId="38512880" w:rsidR="00656D86" w:rsidRPr="00F37494" w:rsidRDefault="00800601" w:rsidP="0036393F">
            <w:pPr>
              <w:rPr>
                <w:color w:val="1C6194" w:themeColor="accent2" w:themeShade="BF"/>
                <w:sz w:val="36"/>
                <w:szCs w:val="36"/>
              </w:rPr>
            </w:pPr>
            <w:r w:rsidRPr="00800601">
              <w:rPr>
                <w:color w:val="1C6194" w:themeColor="accent2" w:themeShade="BF"/>
                <w:sz w:val="36"/>
                <w:szCs w:val="36"/>
              </w:rPr>
              <w:t>3.5876</w:t>
            </w:r>
          </w:p>
        </w:tc>
        <w:tc>
          <w:tcPr>
            <w:tcW w:w="2254" w:type="dxa"/>
          </w:tcPr>
          <w:p w14:paraId="515D09DC" w14:textId="5554EDFE" w:rsidR="00656D86" w:rsidRPr="00F37494" w:rsidRDefault="00800601" w:rsidP="0036393F">
            <w:pPr>
              <w:rPr>
                <w:color w:val="1C6194" w:themeColor="accent2" w:themeShade="BF"/>
                <w:sz w:val="36"/>
                <w:szCs w:val="36"/>
              </w:rPr>
            </w:pPr>
            <w:r w:rsidRPr="00800601">
              <w:rPr>
                <w:color w:val="1C6194" w:themeColor="accent2" w:themeShade="BF"/>
                <w:sz w:val="36"/>
                <w:szCs w:val="36"/>
              </w:rPr>
              <w:t>3.7633</w:t>
            </w:r>
          </w:p>
        </w:tc>
      </w:tr>
    </w:tbl>
    <w:p w14:paraId="0F5B15F7" w14:textId="38EB2F0B" w:rsidR="00656D86" w:rsidRPr="00B841AB" w:rsidRDefault="00656D86" w:rsidP="00656D86">
      <w:pPr>
        <w:ind w:firstLine="720"/>
        <w:jc w:val="center"/>
        <w:rPr>
          <w:rFonts w:ascii="CMCSC10" w:hAnsi="CMCSC10"/>
          <w:color w:val="000000" w:themeColor="text1"/>
          <w:sz w:val="36"/>
          <w:szCs w:val="36"/>
          <w:u w:val="single"/>
        </w:rPr>
      </w:pPr>
      <w:r w:rsidRPr="00B841AB">
        <w:rPr>
          <w:rFonts w:ascii="CMCSC10" w:hAnsi="CMCSC10"/>
          <w:color w:val="000000" w:themeColor="text1"/>
          <w:sz w:val="36"/>
          <w:szCs w:val="36"/>
          <w:u w:val="single"/>
        </w:rPr>
        <w:t xml:space="preserve">Table </w:t>
      </w:r>
      <w:r w:rsidR="00D53787">
        <w:rPr>
          <w:rFonts w:ascii="CMCSC10" w:hAnsi="CMCSC10"/>
          <w:color w:val="000000" w:themeColor="text1"/>
          <w:sz w:val="36"/>
          <w:szCs w:val="36"/>
          <w:u w:val="single"/>
        </w:rPr>
        <w:t>5</w:t>
      </w:r>
      <w:r w:rsidRPr="00B841AB">
        <w:rPr>
          <w:rFonts w:ascii="CMCSC10" w:hAnsi="CMCSC10"/>
          <w:color w:val="000000" w:themeColor="text1"/>
          <w:sz w:val="36"/>
          <w:szCs w:val="36"/>
          <w:u w:val="single"/>
        </w:rPr>
        <w:t xml:space="preserve">: Comparison of Daily, Weekly and </w:t>
      </w:r>
      <w:proofErr w:type="gramStart"/>
      <w:r w:rsidRPr="00B841AB">
        <w:rPr>
          <w:rFonts w:ascii="CMCSC10" w:hAnsi="CMCSC10"/>
          <w:color w:val="000000" w:themeColor="text1"/>
          <w:sz w:val="36"/>
          <w:szCs w:val="36"/>
          <w:u w:val="single"/>
        </w:rPr>
        <w:t xml:space="preserve">Monthly </w:t>
      </w:r>
      <w:r w:rsidRPr="00B841AB">
        <w:rPr>
          <w:rFonts w:ascii="CMCSC10" w:hAnsi="CMCSC10"/>
          <w:b/>
          <w:bCs/>
          <w:color w:val="000000" w:themeColor="text1"/>
          <w:sz w:val="36"/>
          <w:szCs w:val="36"/>
          <w:u w:val="single"/>
        </w:rPr>
        <w:t xml:space="preserve"> </w:t>
      </w:r>
      <w:r w:rsidR="001051AA">
        <w:rPr>
          <w:rFonts w:ascii="CMCSC10" w:hAnsi="CMCSC10"/>
          <w:b/>
          <w:bCs/>
          <w:color w:val="000000" w:themeColor="text1"/>
          <w:sz w:val="36"/>
          <w:szCs w:val="36"/>
          <w:u w:val="single"/>
        </w:rPr>
        <w:t>Far</w:t>
      </w:r>
      <w:proofErr w:type="gramEnd"/>
      <w:r>
        <w:rPr>
          <w:rFonts w:ascii="CMCSC10" w:hAnsi="CMCSC10"/>
          <w:b/>
          <w:bCs/>
          <w:color w:val="000000" w:themeColor="text1"/>
          <w:sz w:val="36"/>
          <w:szCs w:val="36"/>
          <w:u w:val="single"/>
        </w:rPr>
        <w:t xml:space="preserve"> Month </w:t>
      </w:r>
      <w:r w:rsidRPr="00B841AB">
        <w:rPr>
          <w:rFonts w:ascii="CMCSC10" w:hAnsi="CMCSC10"/>
          <w:color w:val="000000" w:themeColor="text1"/>
          <w:sz w:val="36"/>
          <w:szCs w:val="36"/>
          <w:u w:val="single"/>
        </w:rPr>
        <w:t>Returns (in %</w:t>
      </w:r>
      <w:r>
        <w:rPr>
          <w:rFonts w:ascii="CMCSC10" w:hAnsi="CMCSC10"/>
          <w:color w:val="000000" w:themeColor="text1"/>
          <w:sz w:val="36"/>
          <w:szCs w:val="36"/>
          <w:u w:val="single"/>
        </w:rPr>
        <w:t>, rounded off)</w:t>
      </w:r>
    </w:p>
    <w:p w14:paraId="50967F07" w14:textId="7C4A82DC" w:rsidR="00055F0C" w:rsidRDefault="00055F0C" w:rsidP="00613DA6">
      <w:pPr>
        <w:rPr>
          <w:rFonts w:ascii="CMCSC10" w:hAnsi="CMCSC10"/>
          <w:b/>
          <w:bCs/>
          <w:color w:val="1481AB" w:themeColor="accent1" w:themeShade="BF"/>
          <w:sz w:val="40"/>
          <w:szCs w:val="40"/>
        </w:rPr>
      </w:pPr>
    </w:p>
    <w:p w14:paraId="518B2649" w14:textId="77777777" w:rsidR="00A96D01" w:rsidRDefault="00A96D01" w:rsidP="00613DA6">
      <w:pPr>
        <w:rPr>
          <w:rFonts w:ascii="CMCSC10" w:hAnsi="CMCSC10"/>
          <w:b/>
          <w:bCs/>
          <w:color w:val="1481AB" w:themeColor="accent1" w:themeShade="BF"/>
          <w:sz w:val="40"/>
          <w:szCs w:val="40"/>
        </w:rPr>
      </w:pPr>
    </w:p>
    <w:p w14:paraId="1C523A9D" w14:textId="0BA19324" w:rsidR="00613DA6" w:rsidRDefault="00613DA6" w:rsidP="00613DA6">
      <w:pPr>
        <w:rPr>
          <w:rFonts w:ascii="CMCSC10" w:hAnsi="CMCSC10"/>
          <w:b/>
          <w:bCs/>
          <w:color w:val="1481AB" w:themeColor="accent1" w:themeShade="BF"/>
          <w:sz w:val="40"/>
          <w:szCs w:val="40"/>
        </w:rPr>
      </w:pPr>
      <w:r>
        <w:rPr>
          <w:rFonts w:ascii="CMCSC10" w:hAnsi="CMCSC10"/>
          <w:b/>
          <w:bCs/>
          <w:color w:val="1481AB" w:themeColor="accent1" w:themeShade="BF"/>
          <w:sz w:val="40"/>
          <w:szCs w:val="40"/>
        </w:rPr>
        <w:t>7 Risk- Adjusted Daily, Weekly and Monthly Returns on Near, Next and Far Months</w:t>
      </w:r>
    </w:p>
    <w:p w14:paraId="519DF5CC" w14:textId="77777777" w:rsidR="00BB357F" w:rsidRDefault="00BB357F" w:rsidP="007530E3">
      <w:pPr>
        <w:rPr>
          <w:rFonts w:ascii="CMCSC10" w:hAnsi="CMCSC10"/>
          <w:color w:val="1481AB" w:themeColor="accent1" w:themeShade="BF"/>
          <w:sz w:val="36"/>
          <w:szCs w:val="32"/>
        </w:rPr>
      </w:pPr>
    </w:p>
    <w:p w14:paraId="7C4BA945" w14:textId="7691C776" w:rsidR="007530E3" w:rsidRDefault="007530E3" w:rsidP="007530E3">
      <w:pPr>
        <w:rPr>
          <w:rFonts w:ascii="CMCSC10" w:hAnsi="CMCSC10"/>
          <w:color w:val="1481AB" w:themeColor="accent1" w:themeShade="BF"/>
          <w:sz w:val="36"/>
          <w:szCs w:val="32"/>
        </w:rPr>
      </w:pPr>
      <w:r>
        <w:rPr>
          <w:rFonts w:ascii="CMCSC10" w:hAnsi="CMCSC10"/>
          <w:color w:val="1481AB" w:themeColor="accent1" w:themeShade="BF"/>
          <w:sz w:val="36"/>
          <w:szCs w:val="32"/>
        </w:rPr>
        <w:t xml:space="preserve">7.1 Near Month </w:t>
      </w:r>
      <w:r w:rsidR="0029435E">
        <w:rPr>
          <w:rFonts w:ascii="CMCSC10" w:hAnsi="CMCSC10"/>
          <w:color w:val="1481AB" w:themeColor="accent1" w:themeShade="BF"/>
          <w:sz w:val="36"/>
          <w:szCs w:val="32"/>
        </w:rPr>
        <w:t xml:space="preserve">Risk-Adjusted </w:t>
      </w:r>
      <w:r>
        <w:rPr>
          <w:rFonts w:ascii="CMCSC10" w:hAnsi="CMCSC10"/>
          <w:color w:val="1481AB" w:themeColor="accent1" w:themeShade="BF"/>
          <w:sz w:val="36"/>
          <w:szCs w:val="32"/>
        </w:rPr>
        <w:t>Returns</w:t>
      </w:r>
    </w:p>
    <w:p w14:paraId="7929C5F0" w14:textId="09DA6F13" w:rsidR="007530E3" w:rsidRDefault="008921E4" w:rsidP="007530E3">
      <w:pPr>
        <w:rPr>
          <w:rFonts w:ascii="CMCSC10" w:hAnsi="CMCSC10"/>
          <w:color w:val="1481AB" w:themeColor="accent1" w:themeShade="BF"/>
          <w:sz w:val="36"/>
          <w:szCs w:val="32"/>
        </w:rPr>
      </w:pPr>
      <w:r>
        <w:rPr>
          <w:rFonts w:ascii="CMCSC10" w:hAnsi="CMCSC10"/>
          <w:color w:val="141719" w:themeColor="background2" w:themeShade="1A"/>
          <w:sz w:val="36"/>
          <w:szCs w:val="36"/>
        </w:rPr>
        <w:t>While the returns on the Daily frequency are</w:t>
      </w:r>
      <w:r w:rsidR="00861E0A">
        <w:rPr>
          <w:rFonts w:ascii="CMCSC10" w:hAnsi="CMCSC10"/>
          <w:color w:val="141719" w:themeColor="background2" w:themeShade="1A"/>
          <w:sz w:val="36"/>
          <w:szCs w:val="36"/>
        </w:rPr>
        <w:t xml:space="preserve"> 67.89% per annum</w:t>
      </w:r>
      <w:r>
        <w:rPr>
          <w:rFonts w:ascii="CMCSC10" w:hAnsi="CMCSC10"/>
          <w:color w:val="141719" w:themeColor="background2" w:themeShade="1A"/>
          <w:sz w:val="36"/>
          <w:szCs w:val="36"/>
        </w:rPr>
        <w:t xml:space="preserve">, the Weekly and Monthly frequency returns account for 29.796% per annum and 40.104 % per annum respectively. When we find the Reward to Risk Ratio, it is clear that </w:t>
      </w:r>
      <w:r w:rsidR="00861E0A">
        <w:rPr>
          <w:rFonts w:ascii="CMCSC10" w:hAnsi="CMCSC10"/>
          <w:color w:val="1C6194" w:themeColor="accent2" w:themeShade="BF"/>
          <w:sz w:val="36"/>
          <w:szCs w:val="36"/>
        </w:rPr>
        <w:t>Daily</w:t>
      </w:r>
      <w:r w:rsidRPr="008378A7">
        <w:rPr>
          <w:rFonts w:ascii="CMCSC10" w:hAnsi="CMCSC10"/>
          <w:color w:val="1C6194" w:themeColor="accent2" w:themeShade="BF"/>
          <w:sz w:val="36"/>
          <w:szCs w:val="36"/>
        </w:rPr>
        <w:t xml:space="preserve"> Returns</w:t>
      </w:r>
      <w:r>
        <w:rPr>
          <w:rFonts w:ascii="CMCSC10" w:hAnsi="CMCSC10"/>
          <w:color w:val="141719" w:themeColor="background2" w:themeShade="1A"/>
          <w:sz w:val="36"/>
          <w:szCs w:val="36"/>
        </w:rPr>
        <w:t xml:space="preserve"> are better for Near Month as they pose lesser risk for the same returns.</w:t>
      </w:r>
      <w:r w:rsidR="00755EC4">
        <w:rPr>
          <w:rFonts w:ascii="CMCSC10" w:hAnsi="CMCSC10"/>
          <w:color w:val="141719" w:themeColor="background2" w:themeShade="1A"/>
          <w:sz w:val="36"/>
          <w:szCs w:val="36"/>
        </w:rPr>
        <w:t xml:space="preserve"> (</w:t>
      </w:r>
      <w:r w:rsidR="00861E0A">
        <w:rPr>
          <w:rFonts w:ascii="CMCSC10" w:hAnsi="CMCSC10"/>
          <w:color w:val="141719" w:themeColor="background2" w:themeShade="1A"/>
          <w:sz w:val="36"/>
          <w:szCs w:val="36"/>
        </w:rPr>
        <w:t xml:space="preserve">34.01 Daily&gt; </w:t>
      </w:r>
      <w:r w:rsidR="00755EC4">
        <w:rPr>
          <w:rFonts w:ascii="CMCSC10" w:hAnsi="CMCSC10"/>
          <w:color w:val="141719" w:themeColor="background2" w:themeShade="1A"/>
          <w:sz w:val="36"/>
          <w:szCs w:val="36"/>
        </w:rPr>
        <w:t>10.00 Monthly &gt; 8.894 Weekly)</w:t>
      </w:r>
    </w:p>
    <w:p w14:paraId="6111317A" w14:textId="6E728C71" w:rsidR="00D53787" w:rsidRDefault="00D53787" w:rsidP="00D53787">
      <w:pPr>
        <w:rPr>
          <w:sz w:val="36"/>
          <w:szCs w:val="36"/>
        </w:rPr>
      </w:pPr>
    </w:p>
    <w:p w14:paraId="3B82C077" w14:textId="77777777" w:rsidR="00244D2C" w:rsidRDefault="00244D2C" w:rsidP="00D53787">
      <w:pPr>
        <w:rPr>
          <w:sz w:val="36"/>
          <w:szCs w:val="36"/>
        </w:rPr>
      </w:pPr>
    </w:p>
    <w:tbl>
      <w:tblPr>
        <w:tblStyle w:val="TableGrid"/>
        <w:tblW w:w="0" w:type="auto"/>
        <w:tblInd w:w="-431" w:type="dxa"/>
        <w:tblLook w:val="04A0" w:firstRow="1" w:lastRow="0" w:firstColumn="1" w:lastColumn="0" w:noHBand="0" w:noVBand="1"/>
      </w:tblPr>
      <w:tblGrid>
        <w:gridCol w:w="2685"/>
        <w:gridCol w:w="2254"/>
        <w:gridCol w:w="2254"/>
        <w:gridCol w:w="2254"/>
      </w:tblGrid>
      <w:tr w:rsidR="00D53787" w:rsidRPr="00F37494" w14:paraId="07BD3B84" w14:textId="77777777" w:rsidTr="0036393F">
        <w:tc>
          <w:tcPr>
            <w:tcW w:w="2685" w:type="dxa"/>
          </w:tcPr>
          <w:p w14:paraId="2B7BCFB9" w14:textId="77777777" w:rsidR="00D53787" w:rsidRPr="00F37494" w:rsidRDefault="00D53787" w:rsidP="0036393F">
            <w:pPr>
              <w:rPr>
                <w:color w:val="1C6194" w:themeColor="accent2" w:themeShade="BF"/>
                <w:sz w:val="36"/>
                <w:szCs w:val="36"/>
              </w:rPr>
            </w:pPr>
          </w:p>
        </w:tc>
        <w:tc>
          <w:tcPr>
            <w:tcW w:w="2254" w:type="dxa"/>
          </w:tcPr>
          <w:p w14:paraId="47DCA90C" w14:textId="77777777" w:rsidR="00D53787" w:rsidRPr="00F37494" w:rsidRDefault="00D53787" w:rsidP="0036393F">
            <w:pPr>
              <w:rPr>
                <w:color w:val="1C6194" w:themeColor="accent2" w:themeShade="BF"/>
                <w:sz w:val="36"/>
                <w:szCs w:val="36"/>
              </w:rPr>
            </w:pPr>
            <w:r w:rsidRPr="00F37494">
              <w:rPr>
                <w:color w:val="1C6194" w:themeColor="accent2" w:themeShade="BF"/>
                <w:sz w:val="36"/>
                <w:szCs w:val="36"/>
              </w:rPr>
              <w:t>Daily</w:t>
            </w:r>
          </w:p>
        </w:tc>
        <w:tc>
          <w:tcPr>
            <w:tcW w:w="2254" w:type="dxa"/>
          </w:tcPr>
          <w:p w14:paraId="774E1E14" w14:textId="77777777" w:rsidR="00D53787" w:rsidRPr="00F37494" w:rsidRDefault="00D53787" w:rsidP="0036393F">
            <w:pPr>
              <w:rPr>
                <w:color w:val="1C6194" w:themeColor="accent2" w:themeShade="BF"/>
                <w:sz w:val="36"/>
                <w:szCs w:val="36"/>
              </w:rPr>
            </w:pPr>
            <w:r w:rsidRPr="00F37494">
              <w:rPr>
                <w:color w:val="1C6194" w:themeColor="accent2" w:themeShade="BF"/>
                <w:sz w:val="36"/>
                <w:szCs w:val="36"/>
              </w:rPr>
              <w:t>Weekly</w:t>
            </w:r>
          </w:p>
        </w:tc>
        <w:tc>
          <w:tcPr>
            <w:tcW w:w="2254" w:type="dxa"/>
          </w:tcPr>
          <w:p w14:paraId="0AE4D49D" w14:textId="77777777" w:rsidR="00D53787" w:rsidRPr="00F37494" w:rsidRDefault="00D53787" w:rsidP="0036393F">
            <w:pPr>
              <w:rPr>
                <w:color w:val="1C6194" w:themeColor="accent2" w:themeShade="BF"/>
                <w:sz w:val="36"/>
                <w:szCs w:val="36"/>
              </w:rPr>
            </w:pPr>
            <w:r w:rsidRPr="00F37494">
              <w:rPr>
                <w:color w:val="1C6194" w:themeColor="accent2" w:themeShade="BF"/>
                <w:sz w:val="36"/>
                <w:szCs w:val="36"/>
              </w:rPr>
              <w:t>Monthly</w:t>
            </w:r>
          </w:p>
        </w:tc>
      </w:tr>
      <w:tr w:rsidR="00D53787" w:rsidRPr="00F37494" w14:paraId="733FD048" w14:textId="77777777" w:rsidTr="0036393F">
        <w:tc>
          <w:tcPr>
            <w:tcW w:w="2685" w:type="dxa"/>
          </w:tcPr>
          <w:p w14:paraId="01A0FE70" w14:textId="77777777" w:rsidR="00D53787" w:rsidRPr="00F37494" w:rsidRDefault="00D53787" w:rsidP="0036393F">
            <w:pPr>
              <w:rPr>
                <w:color w:val="1C6194" w:themeColor="accent2" w:themeShade="BF"/>
                <w:sz w:val="36"/>
                <w:szCs w:val="36"/>
              </w:rPr>
            </w:pPr>
            <w:r w:rsidRPr="00F37494">
              <w:rPr>
                <w:color w:val="1C6194" w:themeColor="accent2" w:themeShade="BF"/>
                <w:sz w:val="36"/>
                <w:szCs w:val="36"/>
              </w:rPr>
              <w:t>Maximum</w:t>
            </w:r>
          </w:p>
        </w:tc>
        <w:tc>
          <w:tcPr>
            <w:tcW w:w="2254" w:type="dxa"/>
          </w:tcPr>
          <w:p w14:paraId="184DCD1B" w14:textId="4D6A9BC5" w:rsidR="00D53787" w:rsidRPr="00F37494" w:rsidRDefault="005E5B02" w:rsidP="0036393F">
            <w:pPr>
              <w:rPr>
                <w:color w:val="1C6194" w:themeColor="accent2" w:themeShade="BF"/>
                <w:sz w:val="36"/>
                <w:szCs w:val="36"/>
              </w:rPr>
            </w:pPr>
            <w:r>
              <w:rPr>
                <w:color w:val="1C6194" w:themeColor="accent2" w:themeShade="BF"/>
                <w:sz w:val="36"/>
                <w:szCs w:val="36"/>
              </w:rPr>
              <w:t>12.856</w:t>
            </w:r>
          </w:p>
        </w:tc>
        <w:tc>
          <w:tcPr>
            <w:tcW w:w="2254" w:type="dxa"/>
          </w:tcPr>
          <w:p w14:paraId="7BC2440C" w14:textId="35B6083C" w:rsidR="00D53787" w:rsidRPr="00F37494" w:rsidRDefault="00E24F28" w:rsidP="0036393F">
            <w:pPr>
              <w:rPr>
                <w:color w:val="1C6194" w:themeColor="accent2" w:themeShade="BF"/>
                <w:sz w:val="36"/>
                <w:szCs w:val="36"/>
              </w:rPr>
            </w:pPr>
            <w:r w:rsidRPr="00E24F28">
              <w:rPr>
                <w:color w:val="1C6194" w:themeColor="accent2" w:themeShade="BF"/>
                <w:sz w:val="36"/>
                <w:szCs w:val="36"/>
              </w:rPr>
              <w:t>7.808</w:t>
            </w:r>
          </w:p>
        </w:tc>
        <w:tc>
          <w:tcPr>
            <w:tcW w:w="2254" w:type="dxa"/>
          </w:tcPr>
          <w:p w14:paraId="66B97163" w14:textId="44784520" w:rsidR="00D53787" w:rsidRPr="00F37494" w:rsidRDefault="00E24F28" w:rsidP="0036393F">
            <w:pPr>
              <w:rPr>
                <w:color w:val="1C6194" w:themeColor="accent2" w:themeShade="BF"/>
                <w:sz w:val="36"/>
                <w:szCs w:val="36"/>
              </w:rPr>
            </w:pPr>
            <w:r w:rsidRPr="00E24F28">
              <w:rPr>
                <w:color w:val="1C6194" w:themeColor="accent2" w:themeShade="BF"/>
                <w:sz w:val="36"/>
                <w:szCs w:val="36"/>
              </w:rPr>
              <w:t>9.642</w:t>
            </w:r>
          </w:p>
        </w:tc>
      </w:tr>
      <w:tr w:rsidR="00D53787" w:rsidRPr="00F37494" w14:paraId="7CC405AF" w14:textId="77777777" w:rsidTr="0036393F">
        <w:tc>
          <w:tcPr>
            <w:tcW w:w="2685" w:type="dxa"/>
          </w:tcPr>
          <w:p w14:paraId="72265AE1" w14:textId="77777777" w:rsidR="00D53787" w:rsidRPr="00F37494" w:rsidRDefault="00D53787" w:rsidP="0036393F">
            <w:pPr>
              <w:rPr>
                <w:color w:val="1C6194" w:themeColor="accent2" w:themeShade="BF"/>
                <w:sz w:val="36"/>
                <w:szCs w:val="36"/>
              </w:rPr>
            </w:pPr>
            <w:r w:rsidRPr="00F37494">
              <w:rPr>
                <w:color w:val="1C6194" w:themeColor="accent2" w:themeShade="BF"/>
                <w:sz w:val="36"/>
                <w:szCs w:val="36"/>
              </w:rPr>
              <w:t>Minimum</w:t>
            </w:r>
          </w:p>
        </w:tc>
        <w:tc>
          <w:tcPr>
            <w:tcW w:w="2254" w:type="dxa"/>
          </w:tcPr>
          <w:p w14:paraId="44796C57" w14:textId="79D6CB0D" w:rsidR="00D53787" w:rsidRPr="00F37494" w:rsidRDefault="00E24F28" w:rsidP="0036393F">
            <w:pPr>
              <w:rPr>
                <w:color w:val="1C6194" w:themeColor="accent2" w:themeShade="BF"/>
                <w:sz w:val="36"/>
                <w:szCs w:val="36"/>
              </w:rPr>
            </w:pPr>
            <w:r w:rsidRPr="00E24F28">
              <w:rPr>
                <w:color w:val="1C6194" w:themeColor="accent2" w:themeShade="BF"/>
                <w:sz w:val="36"/>
                <w:szCs w:val="36"/>
              </w:rPr>
              <w:t>-</w:t>
            </w:r>
            <w:r w:rsidR="005E5B02">
              <w:rPr>
                <w:color w:val="1C6194" w:themeColor="accent2" w:themeShade="BF"/>
                <w:sz w:val="36"/>
                <w:szCs w:val="36"/>
              </w:rPr>
              <w:t>8.921</w:t>
            </w:r>
          </w:p>
        </w:tc>
        <w:tc>
          <w:tcPr>
            <w:tcW w:w="2254" w:type="dxa"/>
          </w:tcPr>
          <w:p w14:paraId="013E102A" w14:textId="2429B574" w:rsidR="00D53787" w:rsidRPr="00F37494" w:rsidRDefault="00E24F28" w:rsidP="0036393F">
            <w:pPr>
              <w:rPr>
                <w:color w:val="1C6194" w:themeColor="accent2" w:themeShade="BF"/>
                <w:sz w:val="36"/>
                <w:szCs w:val="36"/>
              </w:rPr>
            </w:pPr>
            <w:r w:rsidRPr="00E24F28">
              <w:rPr>
                <w:color w:val="1C6194" w:themeColor="accent2" w:themeShade="BF"/>
                <w:sz w:val="36"/>
                <w:szCs w:val="36"/>
              </w:rPr>
              <w:t>-8.951</w:t>
            </w:r>
          </w:p>
        </w:tc>
        <w:tc>
          <w:tcPr>
            <w:tcW w:w="2254" w:type="dxa"/>
          </w:tcPr>
          <w:p w14:paraId="44FEC478" w14:textId="5182BFED" w:rsidR="00D53787" w:rsidRPr="00F37494" w:rsidRDefault="00E24F28" w:rsidP="0036393F">
            <w:pPr>
              <w:rPr>
                <w:color w:val="1C6194" w:themeColor="accent2" w:themeShade="BF"/>
                <w:sz w:val="36"/>
                <w:szCs w:val="36"/>
              </w:rPr>
            </w:pPr>
            <w:r w:rsidRPr="00E24F28">
              <w:rPr>
                <w:color w:val="1C6194" w:themeColor="accent2" w:themeShade="BF"/>
                <w:sz w:val="36"/>
                <w:szCs w:val="36"/>
              </w:rPr>
              <w:t>-3.59</w:t>
            </w:r>
          </w:p>
        </w:tc>
      </w:tr>
      <w:tr w:rsidR="00D53787" w:rsidRPr="00F37494" w14:paraId="43AC2B1B" w14:textId="77777777" w:rsidTr="0036393F">
        <w:tc>
          <w:tcPr>
            <w:tcW w:w="2685" w:type="dxa"/>
          </w:tcPr>
          <w:p w14:paraId="071B0AEE" w14:textId="77777777" w:rsidR="00D53787" w:rsidRPr="00F37494" w:rsidRDefault="00D53787" w:rsidP="0036393F">
            <w:pPr>
              <w:rPr>
                <w:color w:val="1C6194" w:themeColor="accent2" w:themeShade="BF"/>
                <w:sz w:val="36"/>
                <w:szCs w:val="36"/>
              </w:rPr>
            </w:pPr>
            <w:r w:rsidRPr="00F37494">
              <w:rPr>
                <w:color w:val="1C6194" w:themeColor="accent2" w:themeShade="BF"/>
                <w:sz w:val="36"/>
                <w:szCs w:val="36"/>
              </w:rPr>
              <w:t>Mean</w:t>
            </w:r>
          </w:p>
        </w:tc>
        <w:tc>
          <w:tcPr>
            <w:tcW w:w="2254" w:type="dxa"/>
          </w:tcPr>
          <w:p w14:paraId="337F05C8" w14:textId="7D018CE2" w:rsidR="00D53787" w:rsidRPr="00F37494" w:rsidRDefault="005E5B02" w:rsidP="0036393F">
            <w:pPr>
              <w:rPr>
                <w:color w:val="1C6194" w:themeColor="accent2" w:themeShade="BF"/>
                <w:sz w:val="36"/>
                <w:szCs w:val="36"/>
              </w:rPr>
            </w:pPr>
            <w:r>
              <w:rPr>
                <w:color w:val="1C6194" w:themeColor="accent2" w:themeShade="BF"/>
                <w:sz w:val="36"/>
                <w:szCs w:val="36"/>
              </w:rPr>
              <w:t>0.186</w:t>
            </w:r>
          </w:p>
        </w:tc>
        <w:tc>
          <w:tcPr>
            <w:tcW w:w="2254" w:type="dxa"/>
          </w:tcPr>
          <w:p w14:paraId="2B0DA1C6" w14:textId="573E0885" w:rsidR="00D53787" w:rsidRPr="00F37494" w:rsidRDefault="00E24F28" w:rsidP="0036393F">
            <w:pPr>
              <w:rPr>
                <w:color w:val="1C6194" w:themeColor="accent2" w:themeShade="BF"/>
                <w:sz w:val="36"/>
                <w:szCs w:val="36"/>
              </w:rPr>
            </w:pPr>
            <w:r w:rsidRPr="00E24F28">
              <w:rPr>
                <w:color w:val="1C6194" w:themeColor="accent2" w:themeShade="BF"/>
                <w:sz w:val="36"/>
                <w:szCs w:val="36"/>
              </w:rPr>
              <w:t>0.573</w:t>
            </w:r>
          </w:p>
        </w:tc>
        <w:tc>
          <w:tcPr>
            <w:tcW w:w="2254" w:type="dxa"/>
          </w:tcPr>
          <w:p w14:paraId="4503F3C8" w14:textId="7617727A" w:rsidR="00D53787" w:rsidRPr="00F37494" w:rsidRDefault="00E24F28" w:rsidP="0036393F">
            <w:pPr>
              <w:rPr>
                <w:color w:val="1C6194" w:themeColor="accent2" w:themeShade="BF"/>
                <w:sz w:val="36"/>
                <w:szCs w:val="36"/>
              </w:rPr>
            </w:pPr>
            <w:r w:rsidRPr="00E24F28">
              <w:rPr>
                <w:color w:val="1C6194" w:themeColor="accent2" w:themeShade="BF"/>
                <w:sz w:val="36"/>
                <w:szCs w:val="36"/>
              </w:rPr>
              <w:t>3.342</w:t>
            </w:r>
          </w:p>
        </w:tc>
      </w:tr>
      <w:tr w:rsidR="00D53787" w:rsidRPr="00F37494" w14:paraId="6F9A3E97" w14:textId="77777777" w:rsidTr="0036393F">
        <w:tc>
          <w:tcPr>
            <w:tcW w:w="2685" w:type="dxa"/>
          </w:tcPr>
          <w:p w14:paraId="3EFE706B" w14:textId="77777777" w:rsidR="00D53787" w:rsidRPr="00F37494" w:rsidRDefault="00D53787" w:rsidP="0036393F">
            <w:pPr>
              <w:rPr>
                <w:color w:val="1C6194" w:themeColor="accent2" w:themeShade="BF"/>
                <w:sz w:val="36"/>
                <w:szCs w:val="36"/>
              </w:rPr>
            </w:pPr>
            <w:r w:rsidRPr="00F37494">
              <w:rPr>
                <w:color w:val="1C6194" w:themeColor="accent2" w:themeShade="BF"/>
                <w:sz w:val="36"/>
                <w:szCs w:val="36"/>
              </w:rPr>
              <w:t>Sample Std. Dev.</w:t>
            </w:r>
          </w:p>
        </w:tc>
        <w:tc>
          <w:tcPr>
            <w:tcW w:w="2254" w:type="dxa"/>
          </w:tcPr>
          <w:p w14:paraId="422B88E5" w14:textId="2CECAA69" w:rsidR="00D53787" w:rsidRPr="00F37494" w:rsidRDefault="005E5B02" w:rsidP="0036393F">
            <w:pPr>
              <w:rPr>
                <w:color w:val="1C6194" w:themeColor="accent2" w:themeShade="BF"/>
                <w:sz w:val="36"/>
                <w:szCs w:val="36"/>
              </w:rPr>
            </w:pPr>
            <w:r>
              <w:rPr>
                <w:color w:val="1C6194" w:themeColor="accent2" w:themeShade="BF"/>
                <w:sz w:val="36"/>
                <w:szCs w:val="36"/>
              </w:rPr>
              <w:t>1.996</w:t>
            </w:r>
          </w:p>
        </w:tc>
        <w:tc>
          <w:tcPr>
            <w:tcW w:w="2254" w:type="dxa"/>
          </w:tcPr>
          <w:p w14:paraId="1B2F92BC" w14:textId="7DED429B" w:rsidR="00D53787" w:rsidRPr="00F37494" w:rsidRDefault="00E24F28" w:rsidP="0036393F">
            <w:pPr>
              <w:rPr>
                <w:color w:val="1C6194" w:themeColor="accent2" w:themeShade="BF"/>
                <w:sz w:val="36"/>
                <w:szCs w:val="36"/>
              </w:rPr>
            </w:pPr>
            <w:r w:rsidRPr="00E24F28">
              <w:rPr>
                <w:color w:val="1C6194" w:themeColor="accent2" w:themeShade="BF"/>
                <w:sz w:val="36"/>
                <w:szCs w:val="36"/>
              </w:rPr>
              <w:t>3.35</w:t>
            </w:r>
          </w:p>
        </w:tc>
        <w:tc>
          <w:tcPr>
            <w:tcW w:w="2254" w:type="dxa"/>
          </w:tcPr>
          <w:p w14:paraId="0B1CEC19" w14:textId="21A5586F" w:rsidR="00D53787" w:rsidRPr="00F37494" w:rsidRDefault="00E24F28" w:rsidP="0036393F">
            <w:pPr>
              <w:rPr>
                <w:color w:val="1C6194" w:themeColor="accent2" w:themeShade="BF"/>
                <w:sz w:val="36"/>
                <w:szCs w:val="36"/>
              </w:rPr>
            </w:pPr>
            <w:r w:rsidRPr="00E24F28">
              <w:rPr>
                <w:color w:val="1C6194" w:themeColor="accent2" w:themeShade="BF"/>
                <w:sz w:val="36"/>
                <w:szCs w:val="36"/>
              </w:rPr>
              <w:t>4.01</w:t>
            </w:r>
          </w:p>
        </w:tc>
      </w:tr>
    </w:tbl>
    <w:p w14:paraId="00D032C2" w14:textId="4AD36126" w:rsidR="00D53787" w:rsidRPr="00055F0C" w:rsidRDefault="00D53787" w:rsidP="00055F0C">
      <w:pPr>
        <w:ind w:firstLine="720"/>
        <w:jc w:val="center"/>
        <w:rPr>
          <w:rFonts w:ascii="CMCSC10" w:hAnsi="CMCSC10"/>
          <w:b/>
          <w:bCs/>
          <w:color w:val="000000" w:themeColor="text1"/>
          <w:sz w:val="36"/>
          <w:szCs w:val="36"/>
          <w:u w:val="single"/>
        </w:rPr>
      </w:pPr>
      <w:r w:rsidRPr="00B841AB">
        <w:rPr>
          <w:rFonts w:ascii="CMCSC10" w:hAnsi="CMCSC10"/>
          <w:color w:val="000000" w:themeColor="text1"/>
          <w:sz w:val="36"/>
          <w:szCs w:val="36"/>
          <w:u w:val="single"/>
        </w:rPr>
        <w:t xml:space="preserve">Table </w:t>
      </w:r>
      <w:r>
        <w:rPr>
          <w:rFonts w:ascii="CMCSC10" w:hAnsi="CMCSC10"/>
          <w:color w:val="000000" w:themeColor="text1"/>
          <w:sz w:val="36"/>
          <w:szCs w:val="36"/>
          <w:u w:val="single"/>
        </w:rPr>
        <w:t>6</w:t>
      </w:r>
      <w:r w:rsidRPr="00B841AB">
        <w:rPr>
          <w:rFonts w:ascii="CMCSC10" w:hAnsi="CMCSC10"/>
          <w:color w:val="000000" w:themeColor="text1"/>
          <w:sz w:val="36"/>
          <w:szCs w:val="36"/>
          <w:u w:val="single"/>
        </w:rPr>
        <w:t xml:space="preserve">: Comparison of </w:t>
      </w:r>
      <w:r w:rsidRPr="00D53787">
        <w:rPr>
          <w:rFonts w:ascii="CMCSC10" w:hAnsi="CMCSC10"/>
          <w:b/>
          <w:bCs/>
          <w:color w:val="000000" w:themeColor="text1"/>
          <w:sz w:val="36"/>
          <w:szCs w:val="36"/>
          <w:u w:val="single"/>
        </w:rPr>
        <w:t>Risk-Adjusted</w:t>
      </w:r>
      <w:r>
        <w:rPr>
          <w:rFonts w:ascii="CMCSC10" w:hAnsi="CMCSC10"/>
          <w:color w:val="000000" w:themeColor="text1"/>
          <w:sz w:val="36"/>
          <w:szCs w:val="36"/>
          <w:u w:val="single"/>
        </w:rPr>
        <w:t xml:space="preserve"> </w:t>
      </w:r>
      <w:r w:rsidRPr="00B841AB">
        <w:rPr>
          <w:rFonts w:ascii="CMCSC10" w:hAnsi="CMCSC10"/>
          <w:color w:val="000000" w:themeColor="text1"/>
          <w:sz w:val="36"/>
          <w:szCs w:val="36"/>
          <w:u w:val="single"/>
        </w:rPr>
        <w:t xml:space="preserve">Daily, Weekly </w:t>
      </w:r>
      <w:proofErr w:type="gramStart"/>
      <w:r w:rsidRPr="00B841AB">
        <w:rPr>
          <w:rFonts w:ascii="CMCSC10" w:hAnsi="CMCSC10"/>
          <w:color w:val="000000" w:themeColor="text1"/>
          <w:sz w:val="36"/>
          <w:szCs w:val="36"/>
          <w:u w:val="single"/>
        </w:rPr>
        <w:t xml:space="preserve">and </w:t>
      </w:r>
      <w:r w:rsidR="00055F0C">
        <w:rPr>
          <w:rFonts w:ascii="CMCSC10" w:hAnsi="CMCSC10"/>
          <w:color w:val="000000" w:themeColor="text1"/>
          <w:sz w:val="36"/>
          <w:szCs w:val="36"/>
          <w:u w:val="single"/>
        </w:rPr>
        <w:t xml:space="preserve"> </w:t>
      </w:r>
      <w:r>
        <w:rPr>
          <w:rFonts w:ascii="CMCSC10" w:hAnsi="CMCSC10"/>
          <w:b/>
          <w:bCs/>
          <w:color w:val="000000" w:themeColor="text1"/>
          <w:sz w:val="36"/>
          <w:szCs w:val="36"/>
          <w:u w:val="single"/>
        </w:rPr>
        <w:t>Near</w:t>
      </w:r>
      <w:proofErr w:type="gramEnd"/>
      <w:r>
        <w:rPr>
          <w:rFonts w:ascii="CMCSC10" w:hAnsi="CMCSC10"/>
          <w:b/>
          <w:bCs/>
          <w:color w:val="000000" w:themeColor="text1"/>
          <w:sz w:val="36"/>
          <w:szCs w:val="36"/>
          <w:u w:val="single"/>
        </w:rPr>
        <w:t xml:space="preserve"> Month </w:t>
      </w:r>
      <w:r w:rsidRPr="00B841AB">
        <w:rPr>
          <w:rFonts w:ascii="CMCSC10" w:hAnsi="CMCSC10"/>
          <w:color w:val="000000" w:themeColor="text1"/>
          <w:sz w:val="36"/>
          <w:szCs w:val="36"/>
          <w:u w:val="single"/>
        </w:rPr>
        <w:t>Returns (in %</w:t>
      </w:r>
      <w:r>
        <w:rPr>
          <w:rFonts w:ascii="CMCSC10" w:hAnsi="CMCSC10"/>
          <w:color w:val="000000" w:themeColor="text1"/>
          <w:sz w:val="36"/>
          <w:szCs w:val="36"/>
          <w:u w:val="single"/>
        </w:rPr>
        <w:t>, rounded off)</w:t>
      </w:r>
    </w:p>
    <w:p w14:paraId="3405B37D" w14:textId="23AE0172" w:rsidR="007530E3" w:rsidRDefault="007530E3" w:rsidP="007530E3">
      <w:pPr>
        <w:rPr>
          <w:rFonts w:ascii="CMCSC10" w:hAnsi="CMCSC10"/>
          <w:color w:val="1481AB" w:themeColor="accent1" w:themeShade="BF"/>
          <w:sz w:val="36"/>
          <w:szCs w:val="32"/>
        </w:rPr>
      </w:pPr>
    </w:p>
    <w:p w14:paraId="6C435AFA" w14:textId="77777777" w:rsidR="00BB357F" w:rsidRDefault="00BB357F" w:rsidP="007530E3">
      <w:pPr>
        <w:rPr>
          <w:rFonts w:ascii="CMCSC10" w:hAnsi="CMCSC10"/>
          <w:color w:val="1481AB" w:themeColor="accent1" w:themeShade="BF"/>
          <w:sz w:val="36"/>
          <w:szCs w:val="32"/>
        </w:rPr>
      </w:pPr>
    </w:p>
    <w:p w14:paraId="4B8C07EC" w14:textId="33EB7DBC" w:rsidR="007530E3" w:rsidRDefault="007530E3" w:rsidP="007530E3">
      <w:pPr>
        <w:rPr>
          <w:rFonts w:ascii="CMCSC10" w:hAnsi="CMCSC10"/>
          <w:color w:val="1481AB" w:themeColor="accent1" w:themeShade="BF"/>
          <w:sz w:val="36"/>
          <w:szCs w:val="32"/>
        </w:rPr>
      </w:pPr>
      <w:r>
        <w:rPr>
          <w:rFonts w:ascii="CMCSC10" w:hAnsi="CMCSC10"/>
          <w:color w:val="1481AB" w:themeColor="accent1" w:themeShade="BF"/>
          <w:sz w:val="36"/>
          <w:szCs w:val="32"/>
        </w:rPr>
        <w:lastRenderedPageBreak/>
        <w:t xml:space="preserve">7.2 Next Month </w:t>
      </w:r>
      <w:r w:rsidR="0029435E">
        <w:rPr>
          <w:rFonts w:ascii="CMCSC10" w:hAnsi="CMCSC10"/>
          <w:color w:val="1481AB" w:themeColor="accent1" w:themeShade="BF"/>
          <w:sz w:val="36"/>
          <w:szCs w:val="32"/>
        </w:rPr>
        <w:t xml:space="preserve">Risk-Adjusted </w:t>
      </w:r>
      <w:r>
        <w:rPr>
          <w:rFonts w:ascii="CMCSC10" w:hAnsi="CMCSC10"/>
          <w:color w:val="1481AB" w:themeColor="accent1" w:themeShade="BF"/>
          <w:sz w:val="36"/>
          <w:szCs w:val="32"/>
        </w:rPr>
        <w:t>Returns</w:t>
      </w:r>
    </w:p>
    <w:p w14:paraId="7577B2C7" w14:textId="1341D2F1" w:rsidR="00D53787" w:rsidRDefault="008378A7" w:rsidP="00AD6B47">
      <w:pPr>
        <w:ind w:firstLine="720"/>
        <w:rPr>
          <w:rFonts w:ascii="CMCSC10" w:hAnsi="CMCSC10"/>
          <w:sz w:val="36"/>
          <w:szCs w:val="36"/>
        </w:rPr>
      </w:pPr>
      <w:r w:rsidRPr="00755EC4">
        <w:rPr>
          <w:rFonts w:ascii="CMCSC10" w:hAnsi="CMCSC10"/>
          <w:sz w:val="36"/>
          <w:szCs w:val="36"/>
        </w:rPr>
        <w:t>For Next Month</w:t>
      </w:r>
      <w:r w:rsidR="00AD6B47" w:rsidRPr="00755EC4">
        <w:rPr>
          <w:rFonts w:ascii="CMCSC10" w:hAnsi="CMCSC10"/>
          <w:sz w:val="36"/>
          <w:szCs w:val="36"/>
        </w:rPr>
        <w:t>, Daily frequency returns</w:t>
      </w:r>
      <w:r w:rsidR="0033087B">
        <w:rPr>
          <w:rFonts w:ascii="CMCSC10" w:hAnsi="CMCSC10"/>
          <w:sz w:val="36"/>
          <w:szCs w:val="36"/>
        </w:rPr>
        <w:t xml:space="preserve"> around 67.52% p.a., w</w:t>
      </w:r>
      <w:r w:rsidR="00AD6B47" w:rsidRPr="00755EC4">
        <w:rPr>
          <w:rFonts w:ascii="CMCSC10" w:hAnsi="CMCSC10"/>
          <w:sz w:val="36"/>
          <w:szCs w:val="36"/>
        </w:rPr>
        <w:t>hile weekly and monthly returns account for</w:t>
      </w:r>
      <w:r w:rsidR="00755EC4" w:rsidRPr="00755EC4">
        <w:rPr>
          <w:rFonts w:ascii="CMCSC10" w:hAnsi="CMCSC10"/>
          <w:sz w:val="36"/>
          <w:szCs w:val="36"/>
        </w:rPr>
        <w:t xml:space="preserve"> 29.952</w:t>
      </w:r>
      <w:r w:rsidR="0033087B">
        <w:rPr>
          <w:rFonts w:ascii="CMCSC10" w:hAnsi="CMCSC10"/>
          <w:sz w:val="36"/>
          <w:szCs w:val="36"/>
        </w:rPr>
        <w:t>%</w:t>
      </w:r>
      <w:r w:rsidR="00755EC4" w:rsidRPr="00755EC4">
        <w:rPr>
          <w:rFonts w:ascii="CMCSC10" w:hAnsi="CMCSC10"/>
          <w:sz w:val="36"/>
          <w:szCs w:val="36"/>
        </w:rPr>
        <w:t xml:space="preserve"> and 39.588</w:t>
      </w:r>
      <w:r w:rsidR="0033087B">
        <w:rPr>
          <w:rFonts w:ascii="CMCSC10" w:hAnsi="CMCSC10"/>
          <w:sz w:val="36"/>
          <w:szCs w:val="36"/>
        </w:rPr>
        <w:t>%</w:t>
      </w:r>
      <w:r w:rsidR="00AD6B47" w:rsidRPr="00755EC4">
        <w:rPr>
          <w:rFonts w:ascii="CMCSC10" w:hAnsi="CMCSC10"/>
          <w:sz w:val="36"/>
          <w:szCs w:val="36"/>
        </w:rPr>
        <w:t xml:space="preserve"> </w:t>
      </w:r>
      <w:r w:rsidR="00BA2D3F" w:rsidRPr="00755EC4">
        <w:rPr>
          <w:rFonts w:ascii="CMCSC10" w:hAnsi="CMCSC10"/>
          <w:sz w:val="36"/>
          <w:szCs w:val="36"/>
        </w:rPr>
        <w:t>per annum respectively.</w:t>
      </w:r>
      <w:r w:rsidR="00755EC4" w:rsidRPr="00755EC4">
        <w:rPr>
          <w:rFonts w:ascii="CMCSC10" w:hAnsi="CMCSC10"/>
          <w:sz w:val="36"/>
          <w:szCs w:val="36"/>
        </w:rPr>
        <w:t xml:space="preserve"> When comparing the Reward to Risk Ratios, it is evident that trading on a </w:t>
      </w:r>
      <w:r w:rsidR="00D20752">
        <w:rPr>
          <w:rFonts w:ascii="CMCSC10" w:hAnsi="CMCSC10"/>
          <w:color w:val="1C6194" w:themeColor="accent2" w:themeShade="BF"/>
          <w:sz w:val="36"/>
          <w:szCs w:val="36"/>
        </w:rPr>
        <w:t>Dai</w:t>
      </w:r>
      <w:r w:rsidR="00755EC4" w:rsidRPr="00755EC4">
        <w:rPr>
          <w:rFonts w:ascii="CMCSC10" w:hAnsi="CMCSC10"/>
          <w:color w:val="1C6194" w:themeColor="accent2" w:themeShade="BF"/>
          <w:sz w:val="36"/>
          <w:szCs w:val="36"/>
        </w:rPr>
        <w:t>ly</w:t>
      </w:r>
      <w:r w:rsidR="00755EC4" w:rsidRPr="00755EC4">
        <w:rPr>
          <w:rFonts w:ascii="CMCSC10" w:hAnsi="CMCSC10"/>
          <w:sz w:val="36"/>
          <w:szCs w:val="36"/>
        </w:rPr>
        <w:t xml:space="preserve"> basis is better (Ratio of</w:t>
      </w:r>
      <w:r w:rsidR="00855E67">
        <w:rPr>
          <w:rFonts w:ascii="CMCSC10" w:hAnsi="CMCSC10"/>
          <w:sz w:val="36"/>
          <w:szCs w:val="36"/>
        </w:rPr>
        <w:t xml:space="preserve"> 33.36 Daily&gt;</w:t>
      </w:r>
      <w:r w:rsidR="00755EC4" w:rsidRPr="00755EC4">
        <w:rPr>
          <w:rFonts w:ascii="CMCSC10" w:hAnsi="CMCSC10"/>
          <w:sz w:val="36"/>
          <w:szCs w:val="36"/>
        </w:rPr>
        <w:t xml:space="preserve"> 9.65 Monthly </w:t>
      </w:r>
      <w:r w:rsidR="00755EC4">
        <w:rPr>
          <w:rFonts w:ascii="CMCSC10" w:hAnsi="CMCSC10"/>
          <w:sz w:val="36"/>
          <w:szCs w:val="36"/>
        </w:rPr>
        <w:t>&gt; 8.89 Weekly</w:t>
      </w:r>
      <w:r w:rsidR="0033087B">
        <w:rPr>
          <w:rFonts w:ascii="CMCSC10" w:hAnsi="CMCSC10"/>
          <w:sz w:val="36"/>
          <w:szCs w:val="36"/>
        </w:rPr>
        <w:t>)</w:t>
      </w:r>
      <w:r w:rsidR="002B0C86">
        <w:rPr>
          <w:rFonts w:ascii="CMCSC10" w:hAnsi="CMCSC10"/>
          <w:sz w:val="36"/>
          <w:szCs w:val="36"/>
        </w:rPr>
        <w:t>.</w:t>
      </w:r>
    </w:p>
    <w:p w14:paraId="467222CE" w14:textId="77777777" w:rsidR="00755EC4" w:rsidRPr="00755EC4" w:rsidRDefault="00755EC4" w:rsidP="00AD6B47">
      <w:pPr>
        <w:ind w:firstLine="720"/>
        <w:rPr>
          <w:rFonts w:ascii="CMCSC10" w:hAnsi="CMCSC10"/>
          <w:sz w:val="36"/>
          <w:szCs w:val="36"/>
        </w:rPr>
      </w:pPr>
    </w:p>
    <w:tbl>
      <w:tblPr>
        <w:tblStyle w:val="TableGrid"/>
        <w:tblW w:w="0" w:type="auto"/>
        <w:tblInd w:w="-431" w:type="dxa"/>
        <w:tblLook w:val="04A0" w:firstRow="1" w:lastRow="0" w:firstColumn="1" w:lastColumn="0" w:noHBand="0" w:noVBand="1"/>
      </w:tblPr>
      <w:tblGrid>
        <w:gridCol w:w="2685"/>
        <w:gridCol w:w="2254"/>
        <w:gridCol w:w="2254"/>
        <w:gridCol w:w="2254"/>
      </w:tblGrid>
      <w:tr w:rsidR="00D53787" w:rsidRPr="00F37494" w14:paraId="63D0DBE7" w14:textId="77777777" w:rsidTr="0036393F">
        <w:tc>
          <w:tcPr>
            <w:tcW w:w="2685" w:type="dxa"/>
          </w:tcPr>
          <w:p w14:paraId="0C127023" w14:textId="77777777" w:rsidR="00D53787" w:rsidRPr="00F37494" w:rsidRDefault="00D53787" w:rsidP="0036393F">
            <w:pPr>
              <w:rPr>
                <w:color w:val="1C6194" w:themeColor="accent2" w:themeShade="BF"/>
                <w:sz w:val="36"/>
                <w:szCs w:val="36"/>
              </w:rPr>
            </w:pPr>
          </w:p>
        </w:tc>
        <w:tc>
          <w:tcPr>
            <w:tcW w:w="2254" w:type="dxa"/>
          </w:tcPr>
          <w:p w14:paraId="3A649B4C" w14:textId="77777777" w:rsidR="00D53787" w:rsidRPr="00F37494" w:rsidRDefault="00D53787" w:rsidP="0036393F">
            <w:pPr>
              <w:rPr>
                <w:color w:val="1C6194" w:themeColor="accent2" w:themeShade="BF"/>
                <w:sz w:val="36"/>
                <w:szCs w:val="36"/>
              </w:rPr>
            </w:pPr>
            <w:r w:rsidRPr="00F37494">
              <w:rPr>
                <w:color w:val="1C6194" w:themeColor="accent2" w:themeShade="BF"/>
                <w:sz w:val="36"/>
                <w:szCs w:val="36"/>
              </w:rPr>
              <w:t>Daily</w:t>
            </w:r>
          </w:p>
        </w:tc>
        <w:tc>
          <w:tcPr>
            <w:tcW w:w="2254" w:type="dxa"/>
          </w:tcPr>
          <w:p w14:paraId="40A68F5F" w14:textId="77777777" w:rsidR="00D53787" w:rsidRPr="00F37494" w:rsidRDefault="00D53787" w:rsidP="0036393F">
            <w:pPr>
              <w:rPr>
                <w:color w:val="1C6194" w:themeColor="accent2" w:themeShade="BF"/>
                <w:sz w:val="36"/>
                <w:szCs w:val="36"/>
              </w:rPr>
            </w:pPr>
            <w:r w:rsidRPr="00F37494">
              <w:rPr>
                <w:color w:val="1C6194" w:themeColor="accent2" w:themeShade="BF"/>
                <w:sz w:val="36"/>
                <w:szCs w:val="36"/>
              </w:rPr>
              <w:t>Weekly</w:t>
            </w:r>
          </w:p>
        </w:tc>
        <w:tc>
          <w:tcPr>
            <w:tcW w:w="2254" w:type="dxa"/>
          </w:tcPr>
          <w:p w14:paraId="50D70468" w14:textId="77777777" w:rsidR="00D53787" w:rsidRPr="00F37494" w:rsidRDefault="00D53787" w:rsidP="0036393F">
            <w:pPr>
              <w:rPr>
                <w:color w:val="1C6194" w:themeColor="accent2" w:themeShade="BF"/>
                <w:sz w:val="36"/>
                <w:szCs w:val="36"/>
              </w:rPr>
            </w:pPr>
            <w:r w:rsidRPr="00F37494">
              <w:rPr>
                <w:color w:val="1C6194" w:themeColor="accent2" w:themeShade="BF"/>
                <w:sz w:val="36"/>
                <w:szCs w:val="36"/>
              </w:rPr>
              <w:t>Monthly</w:t>
            </w:r>
          </w:p>
        </w:tc>
      </w:tr>
      <w:tr w:rsidR="00D53787" w:rsidRPr="00F37494" w14:paraId="20D767B7" w14:textId="77777777" w:rsidTr="0036393F">
        <w:tc>
          <w:tcPr>
            <w:tcW w:w="2685" w:type="dxa"/>
          </w:tcPr>
          <w:p w14:paraId="5E9109C1" w14:textId="77777777" w:rsidR="00D53787" w:rsidRPr="00F37494" w:rsidRDefault="00D53787" w:rsidP="0036393F">
            <w:pPr>
              <w:rPr>
                <w:color w:val="1C6194" w:themeColor="accent2" w:themeShade="BF"/>
                <w:sz w:val="36"/>
                <w:szCs w:val="36"/>
              </w:rPr>
            </w:pPr>
            <w:r w:rsidRPr="00F37494">
              <w:rPr>
                <w:color w:val="1C6194" w:themeColor="accent2" w:themeShade="BF"/>
                <w:sz w:val="36"/>
                <w:szCs w:val="36"/>
              </w:rPr>
              <w:t>Maximum</w:t>
            </w:r>
          </w:p>
        </w:tc>
        <w:tc>
          <w:tcPr>
            <w:tcW w:w="2254" w:type="dxa"/>
          </w:tcPr>
          <w:p w14:paraId="7D300CF9" w14:textId="4414563E" w:rsidR="00D53787" w:rsidRPr="00F37494" w:rsidRDefault="00565F54" w:rsidP="0036393F">
            <w:pPr>
              <w:rPr>
                <w:color w:val="1C6194" w:themeColor="accent2" w:themeShade="BF"/>
                <w:sz w:val="36"/>
                <w:szCs w:val="36"/>
              </w:rPr>
            </w:pPr>
            <w:r w:rsidRPr="00565F54">
              <w:rPr>
                <w:color w:val="1C6194" w:themeColor="accent2" w:themeShade="BF"/>
                <w:sz w:val="36"/>
                <w:szCs w:val="36"/>
              </w:rPr>
              <w:t xml:space="preserve">12.729  </w:t>
            </w:r>
          </w:p>
        </w:tc>
        <w:tc>
          <w:tcPr>
            <w:tcW w:w="2254" w:type="dxa"/>
          </w:tcPr>
          <w:p w14:paraId="376EA0D2" w14:textId="49B1B935" w:rsidR="00D53787" w:rsidRPr="00F37494" w:rsidRDefault="00E8334B" w:rsidP="0036393F">
            <w:pPr>
              <w:rPr>
                <w:color w:val="1C6194" w:themeColor="accent2" w:themeShade="BF"/>
                <w:sz w:val="36"/>
                <w:szCs w:val="36"/>
              </w:rPr>
            </w:pPr>
            <w:r w:rsidRPr="00E8334B">
              <w:rPr>
                <w:color w:val="1C6194" w:themeColor="accent2" w:themeShade="BF"/>
                <w:sz w:val="36"/>
                <w:szCs w:val="36"/>
              </w:rPr>
              <w:t>7.479</w:t>
            </w:r>
          </w:p>
        </w:tc>
        <w:tc>
          <w:tcPr>
            <w:tcW w:w="2254" w:type="dxa"/>
          </w:tcPr>
          <w:p w14:paraId="2A1C7594" w14:textId="476BF953" w:rsidR="00D53787" w:rsidRPr="00F37494" w:rsidRDefault="00E8334B" w:rsidP="0036393F">
            <w:pPr>
              <w:rPr>
                <w:color w:val="1C6194" w:themeColor="accent2" w:themeShade="BF"/>
                <w:sz w:val="36"/>
                <w:szCs w:val="36"/>
              </w:rPr>
            </w:pPr>
            <w:r w:rsidRPr="00E8334B">
              <w:rPr>
                <w:color w:val="1C6194" w:themeColor="accent2" w:themeShade="BF"/>
                <w:sz w:val="36"/>
                <w:szCs w:val="36"/>
              </w:rPr>
              <w:t>9.927</w:t>
            </w:r>
          </w:p>
        </w:tc>
      </w:tr>
      <w:tr w:rsidR="00D53787" w:rsidRPr="00F37494" w14:paraId="1DA6FCDF" w14:textId="77777777" w:rsidTr="0036393F">
        <w:tc>
          <w:tcPr>
            <w:tcW w:w="2685" w:type="dxa"/>
          </w:tcPr>
          <w:p w14:paraId="02B28CC2" w14:textId="77777777" w:rsidR="00D53787" w:rsidRPr="00F37494" w:rsidRDefault="00D53787" w:rsidP="0036393F">
            <w:pPr>
              <w:rPr>
                <w:color w:val="1C6194" w:themeColor="accent2" w:themeShade="BF"/>
                <w:sz w:val="36"/>
                <w:szCs w:val="36"/>
              </w:rPr>
            </w:pPr>
            <w:r w:rsidRPr="00F37494">
              <w:rPr>
                <w:color w:val="1C6194" w:themeColor="accent2" w:themeShade="BF"/>
                <w:sz w:val="36"/>
                <w:szCs w:val="36"/>
              </w:rPr>
              <w:t>Minimum</w:t>
            </w:r>
          </w:p>
        </w:tc>
        <w:tc>
          <w:tcPr>
            <w:tcW w:w="2254" w:type="dxa"/>
          </w:tcPr>
          <w:p w14:paraId="16CEA793" w14:textId="05F79032" w:rsidR="00D53787" w:rsidRPr="00F37494" w:rsidRDefault="00565F54" w:rsidP="0036393F">
            <w:pPr>
              <w:rPr>
                <w:color w:val="1C6194" w:themeColor="accent2" w:themeShade="BF"/>
                <w:sz w:val="36"/>
                <w:szCs w:val="36"/>
              </w:rPr>
            </w:pPr>
            <w:r w:rsidRPr="00565F54">
              <w:rPr>
                <w:color w:val="1C6194" w:themeColor="accent2" w:themeShade="BF"/>
                <w:sz w:val="36"/>
                <w:szCs w:val="36"/>
              </w:rPr>
              <w:t xml:space="preserve">-9.042   </w:t>
            </w:r>
          </w:p>
        </w:tc>
        <w:tc>
          <w:tcPr>
            <w:tcW w:w="2254" w:type="dxa"/>
          </w:tcPr>
          <w:p w14:paraId="10FF759E" w14:textId="63BF429C" w:rsidR="00D53787" w:rsidRPr="00F37494" w:rsidRDefault="00E8334B" w:rsidP="0036393F">
            <w:pPr>
              <w:rPr>
                <w:color w:val="1C6194" w:themeColor="accent2" w:themeShade="BF"/>
                <w:sz w:val="36"/>
                <w:szCs w:val="36"/>
              </w:rPr>
            </w:pPr>
            <w:r w:rsidRPr="00E8334B">
              <w:rPr>
                <w:color w:val="1C6194" w:themeColor="accent2" w:themeShade="BF"/>
                <w:sz w:val="36"/>
                <w:szCs w:val="36"/>
              </w:rPr>
              <w:t>-8.997</w:t>
            </w:r>
          </w:p>
        </w:tc>
        <w:tc>
          <w:tcPr>
            <w:tcW w:w="2254" w:type="dxa"/>
          </w:tcPr>
          <w:p w14:paraId="334FF641" w14:textId="6D6E1F42" w:rsidR="00D53787" w:rsidRPr="00F37494" w:rsidRDefault="00E8334B" w:rsidP="0036393F">
            <w:pPr>
              <w:rPr>
                <w:color w:val="1C6194" w:themeColor="accent2" w:themeShade="BF"/>
                <w:sz w:val="36"/>
                <w:szCs w:val="36"/>
              </w:rPr>
            </w:pPr>
            <w:r w:rsidRPr="00E8334B">
              <w:rPr>
                <w:color w:val="1C6194" w:themeColor="accent2" w:themeShade="BF"/>
                <w:sz w:val="36"/>
                <w:szCs w:val="36"/>
              </w:rPr>
              <w:t>-3.645</w:t>
            </w:r>
          </w:p>
        </w:tc>
      </w:tr>
      <w:tr w:rsidR="00D53787" w:rsidRPr="00F37494" w14:paraId="35952101" w14:textId="77777777" w:rsidTr="0036393F">
        <w:tc>
          <w:tcPr>
            <w:tcW w:w="2685" w:type="dxa"/>
          </w:tcPr>
          <w:p w14:paraId="2A3FC803" w14:textId="77777777" w:rsidR="00D53787" w:rsidRPr="00F37494" w:rsidRDefault="00D53787" w:rsidP="0036393F">
            <w:pPr>
              <w:rPr>
                <w:color w:val="1C6194" w:themeColor="accent2" w:themeShade="BF"/>
                <w:sz w:val="36"/>
                <w:szCs w:val="36"/>
              </w:rPr>
            </w:pPr>
            <w:r w:rsidRPr="00F37494">
              <w:rPr>
                <w:color w:val="1C6194" w:themeColor="accent2" w:themeShade="BF"/>
                <w:sz w:val="36"/>
                <w:szCs w:val="36"/>
              </w:rPr>
              <w:t>Mean</w:t>
            </w:r>
          </w:p>
        </w:tc>
        <w:tc>
          <w:tcPr>
            <w:tcW w:w="2254" w:type="dxa"/>
          </w:tcPr>
          <w:p w14:paraId="6BE8DC20" w14:textId="3365EBE1" w:rsidR="00D53787" w:rsidRPr="00F37494" w:rsidRDefault="00565F54" w:rsidP="0036393F">
            <w:pPr>
              <w:rPr>
                <w:color w:val="1C6194" w:themeColor="accent2" w:themeShade="BF"/>
                <w:sz w:val="36"/>
                <w:szCs w:val="36"/>
              </w:rPr>
            </w:pPr>
            <w:r w:rsidRPr="00565F54">
              <w:rPr>
                <w:color w:val="1C6194" w:themeColor="accent2" w:themeShade="BF"/>
                <w:sz w:val="36"/>
                <w:szCs w:val="36"/>
              </w:rPr>
              <w:t>0.185</w:t>
            </w:r>
          </w:p>
        </w:tc>
        <w:tc>
          <w:tcPr>
            <w:tcW w:w="2254" w:type="dxa"/>
          </w:tcPr>
          <w:p w14:paraId="5F51AAF0" w14:textId="5EA74BB0" w:rsidR="00D53787" w:rsidRPr="00F37494" w:rsidRDefault="00E8334B" w:rsidP="0036393F">
            <w:pPr>
              <w:rPr>
                <w:color w:val="1C6194" w:themeColor="accent2" w:themeShade="BF"/>
                <w:sz w:val="36"/>
                <w:szCs w:val="36"/>
              </w:rPr>
            </w:pPr>
            <w:r w:rsidRPr="00E8334B">
              <w:rPr>
                <w:color w:val="1C6194" w:themeColor="accent2" w:themeShade="BF"/>
                <w:sz w:val="36"/>
                <w:szCs w:val="36"/>
              </w:rPr>
              <w:t>0.576</w:t>
            </w:r>
          </w:p>
        </w:tc>
        <w:tc>
          <w:tcPr>
            <w:tcW w:w="2254" w:type="dxa"/>
          </w:tcPr>
          <w:p w14:paraId="5B17A801" w14:textId="03EA52E8" w:rsidR="00D53787" w:rsidRPr="00F37494" w:rsidRDefault="00E8334B" w:rsidP="0036393F">
            <w:pPr>
              <w:rPr>
                <w:color w:val="1C6194" w:themeColor="accent2" w:themeShade="BF"/>
                <w:sz w:val="36"/>
                <w:szCs w:val="36"/>
              </w:rPr>
            </w:pPr>
            <w:r w:rsidRPr="00E8334B">
              <w:rPr>
                <w:color w:val="1C6194" w:themeColor="accent2" w:themeShade="BF"/>
                <w:sz w:val="36"/>
                <w:szCs w:val="36"/>
              </w:rPr>
              <w:t>3.299</w:t>
            </w:r>
          </w:p>
        </w:tc>
      </w:tr>
      <w:tr w:rsidR="00D53787" w:rsidRPr="00F37494" w14:paraId="4DEB3F2D" w14:textId="77777777" w:rsidTr="0036393F">
        <w:tc>
          <w:tcPr>
            <w:tcW w:w="2685" w:type="dxa"/>
          </w:tcPr>
          <w:p w14:paraId="351FF9C2" w14:textId="77777777" w:rsidR="00D53787" w:rsidRPr="00F37494" w:rsidRDefault="00D53787" w:rsidP="0036393F">
            <w:pPr>
              <w:rPr>
                <w:color w:val="1C6194" w:themeColor="accent2" w:themeShade="BF"/>
                <w:sz w:val="36"/>
                <w:szCs w:val="36"/>
              </w:rPr>
            </w:pPr>
            <w:r w:rsidRPr="00F37494">
              <w:rPr>
                <w:color w:val="1C6194" w:themeColor="accent2" w:themeShade="BF"/>
                <w:sz w:val="36"/>
                <w:szCs w:val="36"/>
              </w:rPr>
              <w:t>Sample Std. Dev.</w:t>
            </w:r>
          </w:p>
        </w:tc>
        <w:tc>
          <w:tcPr>
            <w:tcW w:w="2254" w:type="dxa"/>
          </w:tcPr>
          <w:p w14:paraId="26BD4B83" w14:textId="7CE1B6EE" w:rsidR="00D53787" w:rsidRPr="00F37494" w:rsidRDefault="00565F54" w:rsidP="0036393F">
            <w:pPr>
              <w:rPr>
                <w:color w:val="1C6194" w:themeColor="accent2" w:themeShade="BF"/>
                <w:sz w:val="36"/>
                <w:szCs w:val="36"/>
              </w:rPr>
            </w:pPr>
            <w:r w:rsidRPr="00565F54">
              <w:rPr>
                <w:color w:val="1C6194" w:themeColor="accent2" w:themeShade="BF"/>
                <w:sz w:val="36"/>
                <w:szCs w:val="36"/>
              </w:rPr>
              <w:t>2.024</w:t>
            </w:r>
          </w:p>
        </w:tc>
        <w:tc>
          <w:tcPr>
            <w:tcW w:w="2254" w:type="dxa"/>
          </w:tcPr>
          <w:p w14:paraId="4706B7BB" w14:textId="13E3D12B" w:rsidR="00D53787" w:rsidRPr="00F37494" w:rsidRDefault="00E8334B" w:rsidP="0036393F">
            <w:pPr>
              <w:rPr>
                <w:color w:val="1C6194" w:themeColor="accent2" w:themeShade="BF"/>
                <w:sz w:val="36"/>
                <w:szCs w:val="36"/>
              </w:rPr>
            </w:pPr>
            <w:r w:rsidRPr="00E8334B">
              <w:rPr>
                <w:color w:val="1C6194" w:themeColor="accent2" w:themeShade="BF"/>
                <w:sz w:val="36"/>
                <w:szCs w:val="36"/>
              </w:rPr>
              <w:t>3.366</w:t>
            </w:r>
          </w:p>
        </w:tc>
        <w:tc>
          <w:tcPr>
            <w:tcW w:w="2254" w:type="dxa"/>
          </w:tcPr>
          <w:p w14:paraId="67C36449" w14:textId="34C3B8CC" w:rsidR="00D53787" w:rsidRPr="00F37494" w:rsidRDefault="00E8334B" w:rsidP="0036393F">
            <w:pPr>
              <w:rPr>
                <w:color w:val="1C6194" w:themeColor="accent2" w:themeShade="BF"/>
                <w:sz w:val="36"/>
                <w:szCs w:val="36"/>
              </w:rPr>
            </w:pPr>
            <w:r w:rsidRPr="00E8334B">
              <w:rPr>
                <w:color w:val="1C6194" w:themeColor="accent2" w:themeShade="BF"/>
                <w:sz w:val="36"/>
                <w:szCs w:val="36"/>
              </w:rPr>
              <w:t>4.1</w:t>
            </w:r>
          </w:p>
        </w:tc>
      </w:tr>
    </w:tbl>
    <w:p w14:paraId="615D9C08" w14:textId="77777777" w:rsidR="00055F0C" w:rsidRDefault="00D53787" w:rsidP="00D53787">
      <w:pPr>
        <w:ind w:firstLine="720"/>
        <w:jc w:val="center"/>
        <w:rPr>
          <w:rFonts w:ascii="CMCSC10" w:hAnsi="CMCSC10"/>
          <w:color w:val="000000" w:themeColor="text1"/>
          <w:sz w:val="36"/>
          <w:szCs w:val="36"/>
          <w:u w:val="single"/>
        </w:rPr>
      </w:pPr>
      <w:r w:rsidRPr="00B841AB">
        <w:rPr>
          <w:rFonts w:ascii="CMCSC10" w:hAnsi="CMCSC10"/>
          <w:color w:val="000000" w:themeColor="text1"/>
          <w:sz w:val="36"/>
          <w:szCs w:val="36"/>
          <w:u w:val="single"/>
        </w:rPr>
        <w:t xml:space="preserve">Table </w:t>
      </w:r>
      <w:r>
        <w:rPr>
          <w:rFonts w:ascii="CMCSC10" w:hAnsi="CMCSC10"/>
          <w:color w:val="000000" w:themeColor="text1"/>
          <w:sz w:val="36"/>
          <w:szCs w:val="36"/>
          <w:u w:val="single"/>
        </w:rPr>
        <w:t>7</w:t>
      </w:r>
      <w:r w:rsidRPr="00B841AB">
        <w:rPr>
          <w:rFonts w:ascii="CMCSC10" w:hAnsi="CMCSC10"/>
          <w:color w:val="000000" w:themeColor="text1"/>
          <w:sz w:val="36"/>
          <w:szCs w:val="36"/>
          <w:u w:val="single"/>
        </w:rPr>
        <w:t xml:space="preserve">: Comparison of </w:t>
      </w:r>
      <w:r w:rsidRPr="00D53787">
        <w:rPr>
          <w:rFonts w:ascii="CMCSC10" w:hAnsi="CMCSC10"/>
          <w:b/>
          <w:bCs/>
          <w:color w:val="000000" w:themeColor="text1"/>
          <w:sz w:val="36"/>
          <w:szCs w:val="36"/>
          <w:u w:val="single"/>
        </w:rPr>
        <w:t>Risk-Adjusted</w:t>
      </w:r>
      <w:r>
        <w:rPr>
          <w:rFonts w:ascii="CMCSC10" w:hAnsi="CMCSC10"/>
          <w:color w:val="000000" w:themeColor="text1"/>
          <w:sz w:val="36"/>
          <w:szCs w:val="36"/>
          <w:u w:val="single"/>
        </w:rPr>
        <w:t xml:space="preserve"> </w:t>
      </w:r>
      <w:r w:rsidRPr="00B841AB">
        <w:rPr>
          <w:rFonts w:ascii="CMCSC10" w:hAnsi="CMCSC10"/>
          <w:color w:val="000000" w:themeColor="text1"/>
          <w:sz w:val="36"/>
          <w:szCs w:val="36"/>
          <w:u w:val="single"/>
        </w:rPr>
        <w:t xml:space="preserve">Daily, Weekly </w:t>
      </w:r>
    </w:p>
    <w:p w14:paraId="37F67B38" w14:textId="0777C9D8" w:rsidR="00D53787" w:rsidRPr="00055F0C" w:rsidRDefault="00055F0C" w:rsidP="00055F0C">
      <w:pPr>
        <w:ind w:firstLine="720"/>
        <w:rPr>
          <w:rFonts w:ascii="CMCSC10" w:hAnsi="CMCSC10"/>
          <w:b/>
          <w:bCs/>
          <w:color w:val="000000" w:themeColor="text1"/>
          <w:sz w:val="36"/>
          <w:szCs w:val="36"/>
          <w:u w:val="single"/>
        </w:rPr>
      </w:pPr>
      <w:r w:rsidRPr="00055F0C">
        <w:rPr>
          <w:rFonts w:ascii="CMCSC10" w:hAnsi="CMCSC10"/>
          <w:color w:val="000000" w:themeColor="text1"/>
          <w:sz w:val="36"/>
          <w:szCs w:val="36"/>
        </w:rPr>
        <w:t xml:space="preserve">      </w:t>
      </w:r>
      <w:proofErr w:type="gramStart"/>
      <w:r w:rsidR="00D53787" w:rsidRPr="00B841AB">
        <w:rPr>
          <w:rFonts w:ascii="CMCSC10" w:hAnsi="CMCSC10"/>
          <w:color w:val="000000" w:themeColor="text1"/>
          <w:sz w:val="36"/>
          <w:szCs w:val="36"/>
          <w:u w:val="single"/>
        </w:rPr>
        <w:t xml:space="preserve">and </w:t>
      </w:r>
      <w:r>
        <w:rPr>
          <w:rFonts w:ascii="CMCSC10" w:hAnsi="CMCSC10"/>
          <w:b/>
          <w:bCs/>
          <w:color w:val="000000" w:themeColor="text1"/>
          <w:sz w:val="36"/>
          <w:szCs w:val="36"/>
          <w:u w:val="single"/>
        </w:rPr>
        <w:t xml:space="preserve"> </w:t>
      </w:r>
      <w:r w:rsidR="00D53787">
        <w:rPr>
          <w:rFonts w:ascii="CMCSC10" w:hAnsi="CMCSC10"/>
          <w:b/>
          <w:bCs/>
          <w:color w:val="000000" w:themeColor="text1"/>
          <w:sz w:val="36"/>
          <w:szCs w:val="36"/>
          <w:u w:val="single"/>
        </w:rPr>
        <w:t>Next</w:t>
      </w:r>
      <w:proofErr w:type="gramEnd"/>
      <w:r w:rsidR="00D53787">
        <w:rPr>
          <w:rFonts w:ascii="CMCSC10" w:hAnsi="CMCSC10"/>
          <w:b/>
          <w:bCs/>
          <w:color w:val="000000" w:themeColor="text1"/>
          <w:sz w:val="36"/>
          <w:szCs w:val="36"/>
          <w:u w:val="single"/>
        </w:rPr>
        <w:t xml:space="preserve"> Month </w:t>
      </w:r>
      <w:r w:rsidR="00D53787" w:rsidRPr="00B841AB">
        <w:rPr>
          <w:rFonts w:ascii="CMCSC10" w:hAnsi="CMCSC10"/>
          <w:color w:val="000000" w:themeColor="text1"/>
          <w:sz w:val="36"/>
          <w:szCs w:val="36"/>
          <w:u w:val="single"/>
        </w:rPr>
        <w:t>Returns (in %</w:t>
      </w:r>
      <w:r w:rsidR="00D53787">
        <w:rPr>
          <w:rFonts w:ascii="CMCSC10" w:hAnsi="CMCSC10"/>
          <w:color w:val="000000" w:themeColor="text1"/>
          <w:sz w:val="36"/>
          <w:szCs w:val="36"/>
          <w:u w:val="single"/>
        </w:rPr>
        <w:t>, rounded off)</w:t>
      </w:r>
    </w:p>
    <w:p w14:paraId="52DEB00B" w14:textId="77777777" w:rsidR="00055F0C" w:rsidRDefault="00055F0C" w:rsidP="007530E3">
      <w:pPr>
        <w:rPr>
          <w:rFonts w:ascii="CMCSC10" w:hAnsi="CMCSC10"/>
          <w:color w:val="1481AB" w:themeColor="accent1" w:themeShade="BF"/>
          <w:sz w:val="36"/>
          <w:szCs w:val="32"/>
        </w:rPr>
      </w:pPr>
    </w:p>
    <w:p w14:paraId="58996927" w14:textId="2FB877F5" w:rsidR="007530E3" w:rsidRDefault="007530E3" w:rsidP="007530E3">
      <w:pPr>
        <w:rPr>
          <w:rFonts w:ascii="CMCSC10" w:hAnsi="CMCSC10"/>
          <w:color w:val="1481AB" w:themeColor="accent1" w:themeShade="BF"/>
          <w:sz w:val="36"/>
          <w:szCs w:val="32"/>
        </w:rPr>
      </w:pPr>
      <w:r>
        <w:rPr>
          <w:rFonts w:ascii="CMCSC10" w:hAnsi="CMCSC10"/>
          <w:color w:val="1481AB" w:themeColor="accent1" w:themeShade="BF"/>
          <w:sz w:val="36"/>
          <w:szCs w:val="32"/>
        </w:rPr>
        <w:t>7.</w:t>
      </w:r>
      <w:r w:rsidR="00F53F42">
        <w:rPr>
          <w:rFonts w:ascii="CMCSC10" w:hAnsi="CMCSC10"/>
          <w:color w:val="1481AB" w:themeColor="accent1" w:themeShade="BF"/>
          <w:sz w:val="36"/>
          <w:szCs w:val="32"/>
        </w:rPr>
        <w:t>3</w:t>
      </w:r>
      <w:r>
        <w:rPr>
          <w:rFonts w:ascii="CMCSC10" w:hAnsi="CMCSC10"/>
          <w:color w:val="1481AB" w:themeColor="accent1" w:themeShade="BF"/>
          <w:sz w:val="36"/>
          <w:szCs w:val="32"/>
        </w:rPr>
        <w:t xml:space="preserve"> </w:t>
      </w:r>
      <w:r w:rsidR="00F53F42">
        <w:rPr>
          <w:rFonts w:ascii="CMCSC10" w:hAnsi="CMCSC10"/>
          <w:color w:val="1481AB" w:themeColor="accent1" w:themeShade="BF"/>
          <w:sz w:val="36"/>
          <w:szCs w:val="32"/>
        </w:rPr>
        <w:t xml:space="preserve">Far </w:t>
      </w:r>
      <w:r>
        <w:rPr>
          <w:rFonts w:ascii="CMCSC10" w:hAnsi="CMCSC10"/>
          <w:color w:val="1481AB" w:themeColor="accent1" w:themeShade="BF"/>
          <w:sz w:val="36"/>
          <w:szCs w:val="32"/>
        </w:rPr>
        <w:t xml:space="preserve">Month </w:t>
      </w:r>
      <w:r w:rsidR="0029435E">
        <w:rPr>
          <w:rFonts w:ascii="CMCSC10" w:hAnsi="CMCSC10"/>
          <w:color w:val="1481AB" w:themeColor="accent1" w:themeShade="BF"/>
          <w:sz w:val="36"/>
          <w:szCs w:val="32"/>
        </w:rPr>
        <w:t xml:space="preserve">Risk-Adjusted </w:t>
      </w:r>
      <w:r>
        <w:rPr>
          <w:rFonts w:ascii="CMCSC10" w:hAnsi="CMCSC10"/>
          <w:color w:val="1481AB" w:themeColor="accent1" w:themeShade="BF"/>
          <w:sz w:val="36"/>
          <w:szCs w:val="32"/>
        </w:rPr>
        <w:t>Returns</w:t>
      </w:r>
    </w:p>
    <w:p w14:paraId="7E5EFA95" w14:textId="27537EFE" w:rsidR="008917FE" w:rsidRDefault="008917FE" w:rsidP="008917FE">
      <w:pPr>
        <w:ind w:firstLine="720"/>
        <w:rPr>
          <w:rFonts w:ascii="CMCSC10" w:hAnsi="CMCSC10"/>
          <w:color w:val="1481AB" w:themeColor="accent1" w:themeShade="BF"/>
          <w:sz w:val="36"/>
          <w:szCs w:val="32"/>
        </w:rPr>
      </w:pPr>
      <w:r>
        <w:rPr>
          <w:rFonts w:ascii="CMCSC10" w:hAnsi="CMCSC10"/>
          <w:sz w:val="36"/>
          <w:szCs w:val="36"/>
        </w:rPr>
        <w:t xml:space="preserve">As far as Far </w:t>
      </w:r>
      <w:r w:rsidRPr="00755EC4">
        <w:rPr>
          <w:rFonts w:ascii="CMCSC10" w:hAnsi="CMCSC10"/>
          <w:sz w:val="36"/>
          <w:szCs w:val="36"/>
        </w:rPr>
        <w:t>Month</w:t>
      </w:r>
      <w:r>
        <w:rPr>
          <w:rFonts w:ascii="CMCSC10" w:hAnsi="CMCSC10"/>
          <w:sz w:val="36"/>
          <w:szCs w:val="36"/>
        </w:rPr>
        <w:t xml:space="preserve"> </w:t>
      </w:r>
      <w:r w:rsidR="009A3AAE">
        <w:rPr>
          <w:rFonts w:ascii="CMCSC10" w:hAnsi="CMCSC10"/>
          <w:sz w:val="36"/>
          <w:szCs w:val="36"/>
        </w:rPr>
        <w:t xml:space="preserve">is </w:t>
      </w:r>
      <w:r>
        <w:rPr>
          <w:rFonts w:ascii="CMCSC10" w:hAnsi="CMCSC10"/>
          <w:sz w:val="36"/>
          <w:szCs w:val="36"/>
        </w:rPr>
        <w:t>considered</w:t>
      </w:r>
      <w:r w:rsidR="00756165">
        <w:rPr>
          <w:rFonts w:ascii="CMCSC10" w:hAnsi="CMCSC10"/>
          <w:sz w:val="36"/>
          <w:szCs w:val="36"/>
        </w:rPr>
        <w:t xml:space="preserve">, the </w:t>
      </w:r>
      <w:r w:rsidR="009A3AAE">
        <w:rPr>
          <w:rFonts w:ascii="CMCSC10" w:hAnsi="CMCSC10"/>
          <w:sz w:val="36"/>
          <w:szCs w:val="36"/>
        </w:rPr>
        <w:t xml:space="preserve">Daily </w:t>
      </w:r>
      <w:r w:rsidR="00756165">
        <w:rPr>
          <w:rFonts w:ascii="CMCSC10" w:hAnsi="CMCSC10"/>
          <w:sz w:val="36"/>
          <w:szCs w:val="36"/>
        </w:rPr>
        <w:t xml:space="preserve">returns provide the best per annum returns of </w:t>
      </w:r>
      <w:r w:rsidR="00C71DAD">
        <w:rPr>
          <w:rFonts w:ascii="CMCSC10" w:hAnsi="CMCSC10"/>
          <w:sz w:val="36"/>
          <w:szCs w:val="36"/>
        </w:rPr>
        <w:t xml:space="preserve">66.795% </w:t>
      </w:r>
      <w:r w:rsidR="00756165">
        <w:rPr>
          <w:rFonts w:ascii="CMCSC10" w:hAnsi="CMCSC10"/>
          <w:sz w:val="36"/>
          <w:szCs w:val="36"/>
        </w:rPr>
        <w:t>followed by</w:t>
      </w:r>
      <w:r w:rsidR="00C71DAD">
        <w:rPr>
          <w:rFonts w:ascii="CMCSC10" w:hAnsi="CMCSC10"/>
          <w:sz w:val="36"/>
          <w:szCs w:val="36"/>
        </w:rPr>
        <w:t xml:space="preserve"> Monthly (39.52% p.a.) and then</w:t>
      </w:r>
      <w:r w:rsidR="00756165">
        <w:rPr>
          <w:rFonts w:ascii="CMCSC10" w:hAnsi="CMCSC10"/>
          <w:sz w:val="36"/>
          <w:szCs w:val="36"/>
        </w:rPr>
        <w:t xml:space="preserve"> Weekly (29.69% p.a.). </w:t>
      </w:r>
      <w:r w:rsidR="00E429C3">
        <w:rPr>
          <w:rFonts w:ascii="CMCSC10" w:hAnsi="CMCSC10"/>
          <w:sz w:val="36"/>
          <w:szCs w:val="36"/>
        </w:rPr>
        <w:t xml:space="preserve">The </w:t>
      </w:r>
      <w:r w:rsidR="00756165">
        <w:rPr>
          <w:rFonts w:ascii="CMCSC10" w:hAnsi="CMCSC10"/>
          <w:sz w:val="36"/>
          <w:szCs w:val="36"/>
        </w:rPr>
        <w:t>best Reward/Risk ratio is obtained in the Daily frequency</w:t>
      </w:r>
      <w:r w:rsidR="00E429C3">
        <w:rPr>
          <w:rFonts w:ascii="CMCSC10" w:hAnsi="CMCSC10"/>
          <w:sz w:val="36"/>
          <w:szCs w:val="36"/>
        </w:rPr>
        <w:t xml:space="preserve"> (33.20). Weekly and Monthly Ratios are </w:t>
      </w:r>
      <w:r w:rsidR="00D2687A">
        <w:rPr>
          <w:rFonts w:ascii="CMCSC10" w:hAnsi="CMCSC10"/>
          <w:sz w:val="36"/>
          <w:szCs w:val="36"/>
        </w:rPr>
        <w:t xml:space="preserve">8.83 </w:t>
      </w:r>
      <w:r w:rsidR="00E429C3">
        <w:rPr>
          <w:rFonts w:ascii="CMCSC10" w:hAnsi="CMCSC10"/>
          <w:sz w:val="36"/>
          <w:szCs w:val="36"/>
        </w:rPr>
        <w:t>and 10.19 respectively</w:t>
      </w:r>
      <w:r w:rsidR="00756165">
        <w:rPr>
          <w:rFonts w:ascii="CMCSC10" w:hAnsi="CMCSC10"/>
          <w:sz w:val="36"/>
          <w:szCs w:val="36"/>
        </w:rPr>
        <w:t>. This makes</w:t>
      </w:r>
      <w:r w:rsidR="00E429C3">
        <w:rPr>
          <w:rFonts w:ascii="CMCSC10" w:hAnsi="CMCSC10"/>
          <w:sz w:val="36"/>
          <w:szCs w:val="36"/>
        </w:rPr>
        <w:t xml:space="preserve"> investment on a Daily basis the</w:t>
      </w:r>
      <w:r w:rsidR="00756165">
        <w:rPr>
          <w:rFonts w:ascii="CMCSC10" w:hAnsi="CMCSC10"/>
          <w:sz w:val="36"/>
          <w:szCs w:val="36"/>
        </w:rPr>
        <w:t xml:space="preserve"> safest route for an investor and hence, would be recommended.</w:t>
      </w:r>
    </w:p>
    <w:p w14:paraId="01717A93" w14:textId="77777777" w:rsidR="00D53787" w:rsidRDefault="00D53787" w:rsidP="00D53787">
      <w:pPr>
        <w:rPr>
          <w:sz w:val="36"/>
          <w:szCs w:val="36"/>
        </w:rPr>
      </w:pPr>
    </w:p>
    <w:tbl>
      <w:tblPr>
        <w:tblStyle w:val="TableGrid"/>
        <w:tblW w:w="0" w:type="auto"/>
        <w:tblInd w:w="-431" w:type="dxa"/>
        <w:tblLook w:val="04A0" w:firstRow="1" w:lastRow="0" w:firstColumn="1" w:lastColumn="0" w:noHBand="0" w:noVBand="1"/>
      </w:tblPr>
      <w:tblGrid>
        <w:gridCol w:w="2685"/>
        <w:gridCol w:w="2254"/>
        <w:gridCol w:w="2254"/>
        <w:gridCol w:w="2254"/>
      </w:tblGrid>
      <w:tr w:rsidR="00D53787" w:rsidRPr="00F37494" w14:paraId="10429B61" w14:textId="77777777" w:rsidTr="0036393F">
        <w:tc>
          <w:tcPr>
            <w:tcW w:w="2685" w:type="dxa"/>
          </w:tcPr>
          <w:p w14:paraId="7978186A" w14:textId="77777777" w:rsidR="00D53787" w:rsidRPr="00F37494" w:rsidRDefault="00D53787" w:rsidP="0036393F">
            <w:pPr>
              <w:rPr>
                <w:color w:val="1C6194" w:themeColor="accent2" w:themeShade="BF"/>
                <w:sz w:val="36"/>
                <w:szCs w:val="36"/>
              </w:rPr>
            </w:pPr>
          </w:p>
        </w:tc>
        <w:tc>
          <w:tcPr>
            <w:tcW w:w="2254" w:type="dxa"/>
          </w:tcPr>
          <w:p w14:paraId="0F4D9180" w14:textId="77777777" w:rsidR="00D53787" w:rsidRPr="00F37494" w:rsidRDefault="00D53787" w:rsidP="0036393F">
            <w:pPr>
              <w:rPr>
                <w:color w:val="1C6194" w:themeColor="accent2" w:themeShade="BF"/>
                <w:sz w:val="36"/>
                <w:szCs w:val="36"/>
              </w:rPr>
            </w:pPr>
            <w:r w:rsidRPr="00F37494">
              <w:rPr>
                <w:color w:val="1C6194" w:themeColor="accent2" w:themeShade="BF"/>
                <w:sz w:val="36"/>
                <w:szCs w:val="36"/>
              </w:rPr>
              <w:t>Daily</w:t>
            </w:r>
          </w:p>
        </w:tc>
        <w:tc>
          <w:tcPr>
            <w:tcW w:w="2254" w:type="dxa"/>
          </w:tcPr>
          <w:p w14:paraId="2DD3853D" w14:textId="77777777" w:rsidR="00D53787" w:rsidRPr="00F37494" w:rsidRDefault="00D53787" w:rsidP="0036393F">
            <w:pPr>
              <w:rPr>
                <w:color w:val="1C6194" w:themeColor="accent2" w:themeShade="BF"/>
                <w:sz w:val="36"/>
                <w:szCs w:val="36"/>
              </w:rPr>
            </w:pPr>
            <w:r w:rsidRPr="00F37494">
              <w:rPr>
                <w:color w:val="1C6194" w:themeColor="accent2" w:themeShade="BF"/>
                <w:sz w:val="36"/>
                <w:szCs w:val="36"/>
              </w:rPr>
              <w:t>Weekly</w:t>
            </w:r>
          </w:p>
        </w:tc>
        <w:tc>
          <w:tcPr>
            <w:tcW w:w="2254" w:type="dxa"/>
          </w:tcPr>
          <w:p w14:paraId="26AB2F4E" w14:textId="77777777" w:rsidR="00D53787" w:rsidRPr="00F37494" w:rsidRDefault="00D53787" w:rsidP="0036393F">
            <w:pPr>
              <w:rPr>
                <w:color w:val="1C6194" w:themeColor="accent2" w:themeShade="BF"/>
                <w:sz w:val="36"/>
                <w:szCs w:val="36"/>
              </w:rPr>
            </w:pPr>
            <w:r w:rsidRPr="00F37494">
              <w:rPr>
                <w:color w:val="1C6194" w:themeColor="accent2" w:themeShade="BF"/>
                <w:sz w:val="36"/>
                <w:szCs w:val="36"/>
              </w:rPr>
              <w:t>Monthly</w:t>
            </w:r>
          </w:p>
        </w:tc>
      </w:tr>
      <w:tr w:rsidR="00D53787" w:rsidRPr="00F37494" w14:paraId="4E743DE9" w14:textId="77777777" w:rsidTr="0036393F">
        <w:tc>
          <w:tcPr>
            <w:tcW w:w="2685" w:type="dxa"/>
          </w:tcPr>
          <w:p w14:paraId="664F9C1F" w14:textId="77777777" w:rsidR="00D53787" w:rsidRPr="00F37494" w:rsidRDefault="00D53787" w:rsidP="0036393F">
            <w:pPr>
              <w:rPr>
                <w:color w:val="1C6194" w:themeColor="accent2" w:themeShade="BF"/>
                <w:sz w:val="36"/>
                <w:szCs w:val="36"/>
              </w:rPr>
            </w:pPr>
            <w:r w:rsidRPr="00F37494">
              <w:rPr>
                <w:color w:val="1C6194" w:themeColor="accent2" w:themeShade="BF"/>
                <w:sz w:val="36"/>
                <w:szCs w:val="36"/>
              </w:rPr>
              <w:t>Maximum</w:t>
            </w:r>
          </w:p>
        </w:tc>
        <w:tc>
          <w:tcPr>
            <w:tcW w:w="2254" w:type="dxa"/>
          </w:tcPr>
          <w:p w14:paraId="172540D5" w14:textId="04EBBAE9" w:rsidR="00D53787" w:rsidRPr="00F37494" w:rsidRDefault="00965B9B" w:rsidP="0036393F">
            <w:pPr>
              <w:rPr>
                <w:color w:val="1C6194" w:themeColor="accent2" w:themeShade="BF"/>
                <w:sz w:val="36"/>
                <w:szCs w:val="36"/>
              </w:rPr>
            </w:pPr>
            <w:r w:rsidRPr="00965B9B">
              <w:rPr>
                <w:color w:val="1C6194" w:themeColor="accent2" w:themeShade="BF"/>
                <w:sz w:val="36"/>
                <w:szCs w:val="36"/>
              </w:rPr>
              <w:t>12.714</w:t>
            </w:r>
          </w:p>
        </w:tc>
        <w:tc>
          <w:tcPr>
            <w:tcW w:w="2254" w:type="dxa"/>
          </w:tcPr>
          <w:p w14:paraId="0B34F09E" w14:textId="1F0D4323" w:rsidR="00D53787" w:rsidRPr="00F37494" w:rsidRDefault="007D3D16" w:rsidP="0036393F">
            <w:pPr>
              <w:rPr>
                <w:color w:val="1C6194" w:themeColor="accent2" w:themeShade="BF"/>
                <w:sz w:val="36"/>
                <w:szCs w:val="36"/>
              </w:rPr>
            </w:pPr>
            <w:r>
              <w:rPr>
                <w:color w:val="1C6194" w:themeColor="accent2" w:themeShade="BF"/>
                <w:sz w:val="36"/>
                <w:szCs w:val="36"/>
              </w:rPr>
              <w:t>8.309</w:t>
            </w:r>
          </w:p>
        </w:tc>
        <w:tc>
          <w:tcPr>
            <w:tcW w:w="2254" w:type="dxa"/>
          </w:tcPr>
          <w:p w14:paraId="08FF8A95" w14:textId="7998AD52" w:rsidR="00D53787" w:rsidRPr="00F37494" w:rsidRDefault="007D3D16" w:rsidP="0036393F">
            <w:pPr>
              <w:rPr>
                <w:color w:val="1C6194" w:themeColor="accent2" w:themeShade="BF"/>
                <w:sz w:val="36"/>
                <w:szCs w:val="36"/>
              </w:rPr>
            </w:pPr>
            <w:r>
              <w:rPr>
                <w:color w:val="1C6194" w:themeColor="accent2" w:themeShade="BF"/>
                <w:sz w:val="36"/>
                <w:szCs w:val="36"/>
              </w:rPr>
              <w:t>9.668</w:t>
            </w:r>
          </w:p>
        </w:tc>
      </w:tr>
      <w:tr w:rsidR="00D53787" w:rsidRPr="00F37494" w14:paraId="14120105" w14:textId="77777777" w:rsidTr="0036393F">
        <w:tc>
          <w:tcPr>
            <w:tcW w:w="2685" w:type="dxa"/>
          </w:tcPr>
          <w:p w14:paraId="5C77EDEF" w14:textId="77777777" w:rsidR="00D53787" w:rsidRPr="00F37494" w:rsidRDefault="00D53787" w:rsidP="0036393F">
            <w:pPr>
              <w:rPr>
                <w:color w:val="1C6194" w:themeColor="accent2" w:themeShade="BF"/>
                <w:sz w:val="36"/>
                <w:szCs w:val="36"/>
              </w:rPr>
            </w:pPr>
            <w:r w:rsidRPr="00F37494">
              <w:rPr>
                <w:color w:val="1C6194" w:themeColor="accent2" w:themeShade="BF"/>
                <w:sz w:val="36"/>
                <w:szCs w:val="36"/>
              </w:rPr>
              <w:lastRenderedPageBreak/>
              <w:t>Minimum</w:t>
            </w:r>
          </w:p>
        </w:tc>
        <w:tc>
          <w:tcPr>
            <w:tcW w:w="2254" w:type="dxa"/>
          </w:tcPr>
          <w:p w14:paraId="7FEFBEF0" w14:textId="5091BA11" w:rsidR="00D53787" w:rsidRPr="00F37494" w:rsidRDefault="00965B9B" w:rsidP="0036393F">
            <w:pPr>
              <w:rPr>
                <w:color w:val="1C6194" w:themeColor="accent2" w:themeShade="BF"/>
                <w:sz w:val="36"/>
                <w:szCs w:val="36"/>
              </w:rPr>
            </w:pPr>
            <w:r w:rsidRPr="00965B9B">
              <w:rPr>
                <w:color w:val="1C6194" w:themeColor="accent2" w:themeShade="BF"/>
                <w:sz w:val="36"/>
                <w:szCs w:val="36"/>
              </w:rPr>
              <w:t xml:space="preserve">-8.549   </w:t>
            </w:r>
          </w:p>
        </w:tc>
        <w:tc>
          <w:tcPr>
            <w:tcW w:w="2254" w:type="dxa"/>
          </w:tcPr>
          <w:p w14:paraId="2B7D0A94" w14:textId="0F44F647" w:rsidR="00D53787" w:rsidRPr="00F37494" w:rsidRDefault="00D53787" w:rsidP="0036393F">
            <w:pPr>
              <w:rPr>
                <w:color w:val="1C6194" w:themeColor="accent2" w:themeShade="BF"/>
                <w:sz w:val="36"/>
                <w:szCs w:val="36"/>
              </w:rPr>
            </w:pPr>
            <w:r w:rsidRPr="000A6B36">
              <w:rPr>
                <w:color w:val="1C6194" w:themeColor="accent2" w:themeShade="BF"/>
                <w:sz w:val="36"/>
                <w:szCs w:val="36"/>
              </w:rPr>
              <w:t>-8</w:t>
            </w:r>
            <w:r w:rsidR="007D3D16">
              <w:rPr>
                <w:color w:val="1C6194" w:themeColor="accent2" w:themeShade="BF"/>
                <w:sz w:val="36"/>
                <w:szCs w:val="36"/>
              </w:rPr>
              <w:t>.</w:t>
            </w:r>
            <w:r w:rsidRPr="000A6B36">
              <w:rPr>
                <w:color w:val="1C6194" w:themeColor="accent2" w:themeShade="BF"/>
                <w:sz w:val="36"/>
                <w:szCs w:val="36"/>
              </w:rPr>
              <w:t>9</w:t>
            </w:r>
            <w:r w:rsidR="007D3D16">
              <w:rPr>
                <w:color w:val="1C6194" w:themeColor="accent2" w:themeShade="BF"/>
                <w:sz w:val="36"/>
                <w:szCs w:val="36"/>
              </w:rPr>
              <w:t>26</w:t>
            </w:r>
          </w:p>
        </w:tc>
        <w:tc>
          <w:tcPr>
            <w:tcW w:w="2254" w:type="dxa"/>
          </w:tcPr>
          <w:p w14:paraId="770BA04F" w14:textId="77BFD151" w:rsidR="00D53787" w:rsidRPr="00F37494" w:rsidRDefault="00D53787" w:rsidP="0036393F">
            <w:pPr>
              <w:rPr>
                <w:color w:val="1C6194" w:themeColor="accent2" w:themeShade="BF"/>
                <w:sz w:val="36"/>
                <w:szCs w:val="36"/>
              </w:rPr>
            </w:pPr>
            <w:r w:rsidRPr="000A6B36">
              <w:rPr>
                <w:color w:val="1C6194" w:themeColor="accent2" w:themeShade="BF"/>
                <w:sz w:val="36"/>
                <w:szCs w:val="36"/>
              </w:rPr>
              <w:t>-3</w:t>
            </w:r>
            <w:r w:rsidR="007D3D16">
              <w:rPr>
                <w:color w:val="1C6194" w:themeColor="accent2" w:themeShade="BF"/>
                <w:sz w:val="36"/>
                <w:szCs w:val="36"/>
              </w:rPr>
              <w:t>.</w:t>
            </w:r>
            <w:r w:rsidRPr="000A6B36">
              <w:rPr>
                <w:color w:val="1C6194" w:themeColor="accent2" w:themeShade="BF"/>
                <w:sz w:val="36"/>
                <w:szCs w:val="36"/>
              </w:rPr>
              <w:t>2</w:t>
            </w:r>
            <w:r w:rsidR="007D3D16">
              <w:rPr>
                <w:color w:val="1C6194" w:themeColor="accent2" w:themeShade="BF"/>
                <w:sz w:val="36"/>
                <w:szCs w:val="36"/>
              </w:rPr>
              <w:t>08</w:t>
            </w:r>
          </w:p>
        </w:tc>
      </w:tr>
      <w:tr w:rsidR="00D53787" w:rsidRPr="00F37494" w14:paraId="568023F7" w14:textId="77777777" w:rsidTr="0036393F">
        <w:tc>
          <w:tcPr>
            <w:tcW w:w="2685" w:type="dxa"/>
          </w:tcPr>
          <w:p w14:paraId="11BDDC49" w14:textId="77777777" w:rsidR="00D53787" w:rsidRPr="00F37494" w:rsidRDefault="00D53787" w:rsidP="0036393F">
            <w:pPr>
              <w:rPr>
                <w:color w:val="1C6194" w:themeColor="accent2" w:themeShade="BF"/>
                <w:sz w:val="36"/>
                <w:szCs w:val="36"/>
              </w:rPr>
            </w:pPr>
            <w:r w:rsidRPr="00F37494">
              <w:rPr>
                <w:color w:val="1C6194" w:themeColor="accent2" w:themeShade="BF"/>
                <w:sz w:val="36"/>
                <w:szCs w:val="36"/>
              </w:rPr>
              <w:t>Mean</w:t>
            </w:r>
          </w:p>
        </w:tc>
        <w:tc>
          <w:tcPr>
            <w:tcW w:w="2254" w:type="dxa"/>
          </w:tcPr>
          <w:p w14:paraId="3BB88A3A" w14:textId="51DC96AA" w:rsidR="00D53787" w:rsidRPr="00F37494" w:rsidRDefault="00965B9B" w:rsidP="0036393F">
            <w:pPr>
              <w:rPr>
                <w:color w:val="1C6194" w:themeColor="accent2" w:themeShade="BF"/>
                <w:sz w:val="36"/>
                <w:szCs w:val="36"/>
              </w:rPr>
            </w:pPr>
            <w:r w:rsidRPr="00965B9B">
              <w:rPr>
                <w:color w:val="1C6194" w:themeColor="accent2" w:themeShade="BF"/>
                <w:sz w:val="36"/>
                <w:szCs w:val="36"/>
              </w:rPr>
              <w:t>0.183</w:t>
            </w:r>
          </w:p>
        </w:tc>
        <w:tc>
          <w:tcPr>
            <w:tcW w:w="2254" w:type="dxa"/>
          </w:tcPr>
          <w:p w14:paraId="319BA545" w14:textId="5527DE85" w:rsidR="00D53787" w:rsidRPr="00F37494" w:rsidRDefault="00D53787" w:rsidP="0036393F">
            <w:pPr>
              <w:rPr>
                <w:color w:val="1C6194" w:themeColor="accent2" w:themeShade="BF"/>
                <w:sz w:val="36"/>
                <w:szCs w:val="36"/>
              </w:rPr>
            </w:pPr>
            <w:r w:rsidRPr="000A6B36">
              <w:rPr>
                <w:color w:val="1C6194" w:themeColor="accent2" w:themeShade="BF"/>
                <w:sz w:val="36"/>
                <w:szCs w:val="36"/>
              </w:rPr>
              <w:t>0.</w:t>
            </w:r>
            <w:r w:rsidR="007D3D16">
              <w:rPr>
                <w:color w:val="1C6194" w:themeColor="accent2" w:themeShade="BF"/>
                <w:sz w:val="36"/>
                <w:szCs w:val="36"/>
              </w:rPr>
              <w:t>571</w:t>
            </w:r>
          </w:p>
        </w:tc>
        <w:tc>
          <w:tcPr>
            <w:tcW w:w="2254" w:type="dxa"/>
          </w:tcPr>
          <w:p w14:paraId="3B200582" w14:textId="77E2C1C4" w:rsidR="00D53787" w:rsidRPr="00F37494" w:rsidRDefault="007D3D16" w:rsidP="0036393F">
            <w:pPr>
              <w:rPr>
                <w:color w:val="1C6194" w:themeColor="accent2" w:themeShade="BF"/>
                <w:sz w:val="36"/>
                <w:szCs w:val="36"/>
              </w:rPr>
            </w:pPr>
            <w:r>
              <w:rPr>
                <w:color w:val="1C6194" w:themeColor="accent2" w:themeShade="BF"/>
                <w:sz w:val="36"/>
                <w:szCs w:val="36"/>
              </w:rPr>
              <w:t>3.293</w:t>
            </w:r>
          </w:p>
        </w:tc>
      </w:tr>
      <w:tr w:rsidR="00D53787" w:rsidRPr="00F37494" w14:paraId="53525D70" w14:textId="77777777" w:rsidTr="0036393F">
        <w:tc>
          <w:tcPr>
            <w:tcW w:w="2685" w:type="dxa"/>
          </w:tcPr>
          <w:p w14:paraId="0CF0AF79" w14:textId="77777777" w:rsidR="00D53787" w:rsidRPr="00F37494" w:rsidRDefault="00D53787" w:rsidP="0036393F">
            <w:pPr>
              <w:rPr>
                <w:color w:val="1C6194" w:themeColor="accent2" w:themeShade="BF"/>
                <w:sz w:val="36"/>
                <w:szCs w:val="36"/>
              </w:rPr>
            </w:pPr>
            <w:r w:rsidRPr="00F37494">
              <w:rPr>
                <w:color w:val="1C6194" w:themeColor="accent2" w:themeShade="BF"/>
                <w:sz w:val="36"/>
                <w:szCs w:val="36"/>
              </w:rPr>
              <w:t>Sample Std. Dev.</w:t>
            </w:r>
          </w:p>
        </w:tc>
        <w:tc>
          <w:tcPr>
            <w:tcW w:w="2254" w:type="dxa"/>
          </w:tcPr>
          <w:p w14:paraId="08886849" w14:textId="3C7FD445" w:rsidR="00D53787" w:rsidRPr="00F37494" w:rsidRDefault="00965B9B" w:rsidP="0036393F">
            <w:pPr>
              <w:rPr>
                <w:color w:val="1C6194" w:themeColor="accent2" w:themeShade="BF"/>
                <w:sz w:val="36"/>
                <w:szCs w:val="36"/>
              </w:rPr>
            </w:pPr>
            <w:r w:rsidRPr="00965B9B">
              <w:rPr>
                <w:color w:val="1C6194" w:themeColor="accent2" w:themeShade="BF"/>
                <w:sz w:val="36"/>
                <w:szCs w:val="36"/>
              </w:rPr>
              <w:t>2.012</w:t>
            </w:r>
          </w:p>
        </w:tc>
        <w:tc>
          <w:tcPr>
            <w:tcW w:w="2254" w:type="dxa"/>
          </w:tcPr>
          <w:p w14:paraId="74157C40" w14:textId="3FBF8FDF" w:rsidR="00D53787" w:rsidRPr="00F37494" w:rsidRDefault="007D3D16" w:rsidP="0036393F">
            <w:pPr>
              <w:rPr>
                <w:color w:val="1C6194" w:themeColor="accent2" w:themeShade="BF"/>
                <w:sz w:val="36"/>
                <w:szCs w:val="36"/>
              </w:rPr>
            </w:pPr>
            <w:r>
              <w:rPr>
                <w:color w:val="1C6194" w:themeColor="accent2" w:themeShade="BF"/>
                <w:sz w:val="36"/>
                <w:szCs w:val="36"/>
              </w:rPr>
              <w:t>3.362</w:t>
            </w:r>
          </w:p>
        </w:tc>
        <w:tc>
          <w:tcPr>
            <w:tcW w:w="2254" w:type="dxa"/>
          </w:tcPr>
          <w:p w14:paraId="774CAB3E" w14:textId="1DE555CD" w:rsidR="00D53787" w:rsidRPr="00F37494" w:rsidRDefault="007D3D16" w:rsidP="0036393F">
            <w:pPr>
              <w:rPr>
                <w:color w:val="1C6194" w:themeColor="accent2" w:themeShade="BF"/>
                <w:sz w:val="36"/>
                <w:szCs w:val="36"/>
              </w:rPr>
            </w:pPr>
            <w:r>
              <w:rPr>
                <w:color w:val="1C6194" w:themeColor="accent2" w:themeShade="BF"/>
                <w:sz w:val="36"/>
                <w:szCs w:val="36"/>
              </w:rPr>
              <w:t>3.878</w:t>
            </w:r>
          </w:p>
        </w:tc>
      </w:tr>
    </w:tbl>
    <w:p w14:paraId="7844EBB6" w14:textId="252FA422" w:rsidR="00D53787" w:rsidRPr="00055F0C" w:rsidRDefault="00D53787" w:rsidP="00055F0C">
      <w:pPr>
        <w:ind w:firstLine="720"/>
        <w:jc w:val="center"/>
        <w:rPr>
          <w:rFonts w:ascii="CMCSC10" w:hAnsi="CMCSC10"/>
          <w:b/>
          <w:bCs/>
          <w:color w:val="000000" w:themeColor="text1"/>
          <w:sz w:val="36"/>
          <w:szCs w:val="36"/>
          <w:u w:val="single"/>
        </w:rPr>
      </w:pPr>
      <w:r w:rsidRPr="00B841AB">
        <w:rPr>
          <w:rFonts w:ascii="CMCSC10" w:hAnsi="CMCSC10"/>
          <w:color w:val="000000" w:themeColor="text1"/>
          <w:sz w:val="36"/>
          <w:szCs w:val="36"/>
          <w:u w:val="single"/>
        </w:rPr>
        <w:t xml:space="preserve">Table </w:t>
      </w:r>
      <w:r>
        <w:rPr>
          <w:rFonts w:ascii="CMCSC10" w:hAnsi="CMCSC10"/>
          <w:color w:val="000000" w:themeColor="text1"/>
          <w:sz w:val="36"/>
          <w:szCs w:val="36"/>
          <w:u w:val="single"/>
        </w:rPr>
        <w:t>8</w:t>
      </w:r>
      <w:r w:rsidRPr="00B841AB">
        <w:rPr>
          <w:rFonts w:ascii="CMCSC10" w:hAnsi="CMCSC10"/>
          <w:color w:val="000000" w:themeColor="text1"/>
          <w:sz w:val="36"/>
          <w:szCs w:val="36"/>
          <w:u w:val="single"/>
        </w:rPr>
        <w:t xml:space="preserve">: Comparison of </w:t>
      </w:r>
      <w:r w:rsidRPr="00D53787">
        <w:rPr>
          <w:rFonts w:ascii="CMCSC10" w:hAnsi="CMCSC10"/>
          <w:b/>
          <w:bCs/>
          <w:color w:val="000000" w:themeColor="text1"/>
          <w:sz w:val="36"/>
          <w:szCs w:val="36"/>
          <w:u w:val="single"/>
        </w:rPr>
        <w:t>Risk-Adjusted</w:t>
      </w:r>
      <w:r>
        <w:rPr>
          <w:rFonts w:ascii="CMCSC10" w:hAnsi="CMCSC10"/>
          <w:color w:val="000000" w:themeColor="text1"/>
          <w:sz w:val="36"/>
          <w:szCs w:val="36"/>
          <w:u w:val="single"/>
        </w:rPr>
        <w:t xml:space="preserve"> </w:t>
      </w:r>
      <w:r w:rsidRPr="00B841AB">
        <w:rPr>
          <w:rFonts w:ascii="CMCSC10" w:hAnsi="CMCSC10"/>
          <w:color w:val="000000" w:themeColor="text1"/>
          <w:sz w:val="36"/>
          <w:szCs w:val="36"/>
          <w:u w:val="single"/>
        </w:rPr>
        <w:t xml:space="preserve">Daily, Weekly </w:t>
      </w:r>
      <w:proofErr w:type="gramStart"/>
      <w:r w:rsidRPr="00B841AB">
        <w:rPr>
          <w:rFonts w:ascii="CMCSC10" w:hAnsi="CMCSC10"/>
          <w:color w:val="000000" w:themeColor="text1"/>
          <w:sz w:val="36"/>
          <w:szCs w:val="36"/>
          <w:u w:val="single"/>
        </w:rPr>
        <w:t xml:space="preserve">and </w:t>
      </w:r>
      <w:r w:rsidR="00055F0C">
        <w:rPr>
          <w:rFonts w:ascii="CMCSC10" w:hAnsi="CMCSC10"/>
          <w:color w:val="000000" w:themeColor="text1"/>
          <w:sz w:val="36"/>
          <w:szCs w:val="36"/>
          <w:u w:val="single"/>
        </w:rPr>
        <w:t xml:space="preserve"> </w:t>
      </w:r>
      <w:r>
        <w:rPr>
          <w:rFonts w:ascii="CMCSC10" w:hAnsi="CMCSC10"/>
          <w:b/>
          <w:bCs/>
          <w:color w:val="000000" w:themeColor="text1"/>
          <w:sz w:val="36"/>
          <w:szCs w:val="36"/>
          <w:u w:val="single"/>
        </w:rPr>
        <w:t>Far</w:t>
      </w:r>
      <w:proofErr w:type="gramEnd"/>
      <w:r>
        <w:rPr>
          <w:rFonts w:ascii="CMCSC10" w:hAnsi="CMCSC10"/>
          <w:b/>
          <w:bCs/>
          <w:color w:val="000000" w:themeColor="text1"/>
          <w:sz w:val="36"/>
          <w:szCs w:val="36"/>
          <w:u w:val="single"/>
        </w:rPr>
        <w:t xml:space="preserve"> Month </w:t>
      </w:r>
      <w:r w:rsidRPr="00B841AB">
        <w:rPr>
          <w:rFonts w:ascii="CMCSC10" w:hAnsi="CMCSC10"/>
          <w:color w:val="000000" w:themeColor="text1"/>
          <w:sz w:val="36"/>
          <w:szCs w:val="36"/>
          <w:u w:val="single"/>
        </w:rPr>
        <w:t>Returns (in %</w:t>
      </w:r>
      <w:r>
        <w:rPr>
          <w:rFonts w:ascii="CMCSC10" w:hAnsi="CMCSC10"/>
          <w:color w:val="000000" w:themeColor="text1"/>
          <w:sz w:val="36"/>
          <w:szCs w:val="36"/>
          <w:u w:val="single"/>
        </w:rPr>
        <w:t>, rounded off)</w:t>
      </w:r>
    </w:p>
    <w:p w14:paraId="7DBB413C" w14:textId="13C29874" w:rsidR="00202CE5" w:rsidRDefault="00202CE5">
      <w:pPr>
        <w:rPr>
          <w:sz w:val="36"/>
          <w:szCs w:val="36"/>
        </w:rPr>
      </w:pPr>
    </w:p>
    <w:p w14:paraId="04F2FE26" w14:textId="77777777" w:rsidR="006217B0" w:rsidRDefault="006217B0" w:rsidP="008917FE">
      <w:pPr>
        <w:rPr>
          <w:rFonts w:ascii="CMCSC10" w:hAnsi="CMCSC10"/>
          <w:b/>
          <w:bCs/>
          <w:color w:val="1481AB" w:themeColor="accent1" w:themeShade="BF"/>
          <w:sz w:val="40"/>
          <w:szCs w:val="40"/>
        </w:rPr>
      </w:pPr>
    </w:p>
    <w:p w14:paraId="43804093" w14:textId="5982AB50" w:rsidR="008917FE" w:rsidRPr="008917FE" w:rsidRDefault="008917FE" w:rsidP="008917FE">
      <w:pPr>
        <w:rPr>
          <w:rFonts w:ascii="CMCSC10" w:hAnsi="CMCSC10"/>
          <w:b/>
          <w:bCs/>
          <w:color w:val="1481AB" w:themeColor="accent1" w:themeShade="BF"/>
          <w:sz w:val="40"/>
          <w:szCs w:val="40"/>
        </w:rPr>
      </w:pPr>
      <w:r>
        <w:rPr>
          <w:rFonts w:ascii="CMCSC10" w:hAnsi="CMCSC10"/>
          <w:b/>
          <w:bCs/>
          <w:color w:val="1481AB" w:themeColor="accent1" w:themeShade="BF"/>
          <w:sz w:val="40"/>
          <w:szCs w:val="40"/>
        </w:rPr>
        <w:t xml:space="preserve">8 </w:t>
      </w:r>
      <w:r w:rsidRPr="008917FE">
        <w:rPr>
          <w:rFonts w:ascii="CMCSC10" w:hAnsi="CMCSC10"/>
          <w:b/>
          <w:bCs/>
          <w:color w:val="1481AB" w:themeColor="accent1" w:themeShade="BF"/>
          <w:sz w:val="40"/>
          <w:szCs w:val="40"/>
        </w:rPr>
        <w:t xml:space="preserve">The </w:t>
      </w:r>
      <w:r>
        <w:rPr>
          <w:rFonts w:ascii="CMCSC10" w:hAnsi="CMCSC10"/>
          <w:b/>
          <w:bCs/>
          <w:color w:val="1481AB" w:themeColor="accent1" w:themeShade="BF"/>
          <w:sz w:val="40"/>
          <w:szCs w:val="40"/>
        </w:rPr>
        <w:t>E</w:t>
      </w:r>
      <w:r w:rsidRPr="008917FE">
        <w:rPr>
          <w:rFonts w:ascii="CMCSC10" w:hAnsi="CMCSC10"/>
          <w:b/>
          <w:bCs/>
          <w:color w:val="1481AB" w:themeColor="accent1" w:themeShade="BF"/>
          <w:sz w:val="40"/>
          <w:szCs w:val="40"/>
        </w:rPr>
        <w:t xml:space="preserve">conomic </w:t>
      </w:r>
      <w:r>
        <w:rPr>
          <w:rFonts w:ascii="CMCSC10" w:hAnsi="CMCSC10"/>
          <w:b/>
          <w:bCs/>
          <w:color w:val="1481AB" w:themeColor="accent1" w:themeShade="BF"/>
          <w:sz w:val="40"/>
          <w:szCs w:val="40"/>
        </w:rPr>
        <w:t>I</w:t>
      </w:r>
      <w:r w:rsidRPr="008917FE">
        <w:rPr>
          <w:rFonts w:ascii="CMCSC10" w:hAnsi="CMCSC10"/>
          <w:b/>
          <w:bCs/>
          <w:color w:val="1481AB" w:themeColor="accent1" w:themeShade="BF"/>
          <w:sz w:val="40"/>
          <w:szCs w:val="40"/>
        </w:rPr>
        <w:t xml:space="preserve">nterpretation of the </w:t>
      </w:r>
      <w:r>
        <w:rPr>
          <w:rFonts w:ascii="CMCSC10" w:hAnsi="CMCSC10"/>
          <w:b/>
          <w:bCs/>
          <w:color w:val="1481AB" w:themeColor="accent1" w:themeShade="BF"/>
          <w:sz w:val="40"/>
          <w:szCs w:val="40"/>
        </w:rPr>
        <w:t>R</w:t>
      </w:r>
      <w:r w:rsidRPr="008917FE">
        <w:rPr>
          <w:rFonts w:ascii="CMCSC10" w:hAnsi="CMCSC10"/>
          <w:b/>
          <w:bCs/>
          <w:color w:val="1481AB" w:themeColor="accent1" w:themeShade="BF"/>
          <w:sz w:val="40"/>
          <w:szCs w:val="40"/>
        </w:rPr>
        <w:t>isk</w:t>
      </w:r>
      <w:r w:rsidR="00980CC9">
        <w:rPr>
          <w:rFonts w:ascii="CMCSC10" w:hAnsi="CMCSC10"/>
          <w:b/>
          <w:bCs/>
          <w:color w:val="1481AB" w:themeColor="accent1" w:themeShade="BF"/>
          <w:sz w:val="40"/>
          <w:szCs w:val="40"/>
        </w:rPr>
        <w:t>-</w:t>
      </w:r>
      <w:r>
        <w:rPr>
          <w:rFonts w:ascii="CMCSC10" w:hAnsi="CMCSC10"/>
          <w:b/>
          <w:bCs/>
          <w:color w:val="1481AB" w:themeColor="accent1" w:themeShade="BF"/>
          <w:sz w:val="40"/>
          <w:szCs w:val="40"/>
        </w:rPr>
        <w:t>A</w:t>
      </w:r>
      <w:r w:rsidRPr="008917FE">
        <w:rPr>
          <w:rFonts w:ascii="CMCSC10" w:hAnsi="CMCSC10"/>
          <w:b/>
          <w:bCs/>
          <w:color w:val="1481AB" w:themeColor="accent1" w:themeShade="BF"/>
          <w:sz w:val="40"/>
          <w:szCs w:val="40"/>
        </w:rPr>
        <w:t xml:space="preserve">djusted and </w:t>
      </w:r>
      <w:r>
        <w:rPr>
          <w:rFonts w:ascii="CMCSC10" w:hAnsi="CMCSC10"/>
          <w:b/>
          <w:bCs/>
          <w:color w:val="1481AB" w:themeColor="accent1" w:themeShade="BF"/>
          <w:sz w:val="40"/>
          <w:szCs w:val="40"/>
        </w:rPr>
        <w:t>R</w:t>
      </w:r>
      <w:r w:rsidRPr="008917FE">
        <w:rPr>
          <w:rFonts w:ascii="CMCSC10" w:hAnsi="CMCSC10"/>
          <w:b/>
          <w:bCs/>
          <w:color w:val="1481AB" w:themeColor="accent1" w:themeShade="BF"/>
          <w:sz w:val="40"/>
          <w:szCs w:val="40"/>
        </w:rPr>
        <w:t>isk-</w:t>
      </w:r>
      <w:r>
        <w:rPr>
          <w:rFonts w:ascii="CMCSC10" w:hAnsi="CMCSC10"/>
          <w:b/>
          <w:bCs/>
          <w:color w:val="1481AB" w:themeColor="accent1" w:themeShade="BF"/>
          <w:sz w:val="40"/>
          <w:szCs w:val="40"/>
        </w:rPr>
        <w:t>U</w:t>
      </w:r>
      <w:r w:rsidRPr="008917FE">
        <w:rPr>
          <w:rFonts w:ascii="CMCSC10" w:hAnsi="CMCSC10"/>
          <w:b/>
          <w:bCs/>
          <w:color w:val="1481AB" w:themeColor="accent1" w:themeShade="BF"/>
          <w:sz w:val="40"/>
          <w:szCs w:val="40"/>
        </w:rPr>
        <w:t>nadjusted</w:t>
      </w:r>
    </w:p>
    <w:p w14:paraId="5565688E" w14:textId="4C9C2385" w:rsidR="00202CE5" w:rsidRDefault="008917FE" w:rsidP="008917FE">
      <w:pPr>
        <w:rPr>
          <w:rFonts w:ascii="CMCSC10" w:hAnsi="CMCSC10"/>
          <w:b/>
          <w:bCs/>
          <w:color w:val="1481AB" w:themeColor="accent1" w:themeShade="BF"/>
          <w:sz w:val="40"/>
          <w:szCs w:val="40"/>
        </w:rPr>
      </w:pPr>
      <w:r>
        <w:rPr>
          <w:rFonts w:ascii="CMCSC10" w:hAnsi="CMCSC10"/>
          <w:b/>
          <w:bCs/>
          <w:color w:val="1481AB" w:themeColor="accent1" w:themeShade="BF"/>
          <w:sz w:val="40"/>
          <w:szCs w:val="40"/>
        </w:rPr>
        <w:t>R</w:t>
      </w:r>
      <w:r w:rsidRPr="008917FE">
        <w:rPr>
          <w:rFonts w:ascii="CMCSC10" w:hAnsi="CMCSC10"/>
          <w:b/>
          <w:bCs/>
          <w:color w:val="1481AB" w:themeColor="accent1" w:themeShade="BF"/>
          <w:sz w:val="40"/>
          <w:szCs w:val="40"/>
        </w:rPr>
        <w:t>eturns</w:t>
      </w:r>
    </w:p>
    <w:p w14:paraId="56EFFBFB" w14:textId="398F0225" w:rsidR="00726E92" w:rsidRDefault="0036393F" w:rsidP="00C1759A">
      <w:pPr>
        <w:ind w:firstLine="720"/>
        <w:rPr>
          <w:rFonts w:ascii="CMCSC10" w:hAnsi="CMCSC10"/>
          <w:sz w:val="36"/>
          <w:szCs w:val="36"/>
        </w:rPr>
      </w:pPr>
      <w:r w:rsidRPr="0036393F">
        <w:rPr>
          <w:rFonts w:ascii="CMCSC10" w:hAnsi="CMCSC10"/>
          <w:sz w:val="36"/>
          <w:szCs w:val="36"/>
        </w:rPr>
        <w:t xml:space="preserve">An investor who does not calculate the </w:t>
      </w:r>
      <w:r w:rsidRPr="00852D1A">
        <w:rPr>
          <w:rFonts w:ascii="CMCSC10" w:hAnsi="CMCSC10"/>
          <w:color w:val="1C6194" w:themeColor="accent2" w:themeShade="BF"/>
          <w:sz w:val="36"/>
          <w:szCs w:val="36"/>
        </w:rPr>
        <w:t xml:space="preserve">Sharpe Ratio </w:t>
      </w:r>
      <w:r w:rsidRPr="0036393F">
        <w:rPr>
          <w:rFonts w:ascii="CMCSC10" w:hAnsi="CMCSC10"/>
          <w:sz w:val="36"/>
          <w:szCs w:val="36"/>
        </w:rPr>
        <w:t xml:space="preserve">when investing is extremely likely to slip into the pit of </w:t>
      </w:r>
      <w:r w:rsidRPr="00852D1A">
        <w:rPr>
          <w:rFonts w:ascii="CMCSC10" w:hAnsi="CMCSC10"/>
          <w:color w:val="1C6194" w:themeColor="accent2" w:themeShade="BF"/>
          <w:sz w:val="36"/>
          <w:szCs w:val="36"/>
        </w:rPr>
        <w:t>higher returns with much higher risk rates.</w:t>
      </w:r>
      <w:r>
        <w:rPr>
          <w:rFonts w:ascii="CMCSC10" w:hAnsi="CMCSC10"/>
          <w:sz w:val="36"/>
          <w:szCs w:val="36"/>
        </w:rPr>
        <w:t xml:space="preserve"> It is imperative to assess the risk associated with our investments </w:t>
      </w:r>
      <w:r w:rsidR="00726E92">
        <w:rPr>
          <w:rFonts w:ascii="CMCSC10" w:hAnsi="CMCSC10"/>
          <w:sz w:val="36"/>
          <w:szCs w:val="36"/>
        </w:rPr>
        <w:t xml:space="preserve">in order to mitigate losses. </w:t>
      </w:r>
      <w:r w:rsidR="00726E92" w:rsidRPr="00726E92">
        <w:rPr>
          <w:rFonts w:ascii="CMCSC10" w:hAnsi="CMCSC10"/>
          <w:sz w:val="36"/>
          <w:szCs w:val="36"/>
        </w:rPr>
        <w:t xml:space="preserve">Returns calibrated for risk are smaller than unadjusted returns. The risk-adjusted return is </w:t>
      </w:r>
      <w:r w:rsidR="00726E92" w:rsidRPr="00852D1A">
        <w:rPr>
          <w:rFonts w:ascii="CMCSC10" w:hAnsi="CMCSC10"/>
          <w:color w:val="1C6194" w:themeColor="accent2" w:themeShade="BF"/>
          <w:sz w:val="36"/>
          <w:szCs w:val="36"/>
        </w:rPr>
        <w:t>a more economically realistic measure</w:t>
      </w:r>
      <w:r w:rsidR="00726E92" w:rsidRPr="00726E92">
        <w:rPr>
          <w:rFonts w:ascii="CMCSC10" w:hAnsi="CMCSC10"/>
          <w:sz w:val="36"/>
          <w:szCs w:val="36"/>
        </w:rPr>
        <w:t>, as a misleading image can be offered by unadjusted returns. To be competitive, risk-adjusted returns will outweigh risk-free returns; if this is not the case, an investor will create larger gains by engaging in risk-free assets</w:t>
      </w:r>
      <w:r w:rsidR="00726E92">
        <w:rPr>
          <w:rFonts w:ascii="CMCSC10" w:hAnsi="CMCSC10"/>
          <w:sz w:val="36"/>
          <w:szCs w:val="36"/>
        </w:rPr>
        <w:t>.</w:t>
      </w:r>
    </w:p>
    <w:p w14:paraId="34C6D86A" w14:textId="3ADA7A06" w:rsidR="000D6323" w:rsidRPr="003B160A" w:rsidRDefault="00C503C9" w:rsidP="00726E92">
      <w:pPr>
        <w:rPr>
          <w:rFonts w:ascii="CMCSC10" w:hAnsi="CMCSC10"/>
          <w:color w:val="1481AB" w:themeColor="accent1" w:themeShade="BF"/>
          <w:sz w:val="36"/>
          <w:szCs w:val="32"/>
        </w:rPr>
      </w:pPr>
      <w:r>
        <w:rPr>
          <w:rFonts w:ascii="CMCSC10" w:hAnsi="CMCSC10"/>
          <w:color w:val="1481AB" w:themeColor="accent1" w:themeShade="BF"/>
          <w:sz w:val="36"/>
          <w:szCs w:val="32"/>
        </w:rPr>
        <w:t xml:space="preserve">8.1 Near Month </w:t>
      </w:r>
      <w:r w:rsidR="00C7566B">
        <w:rPr>
          <w:rFonts w:ascii="CMCSC10" w:hAnsi="CMCSC10"/>
          <w:color w:val="1481AB" w:themeColor="accent1" w:themeShade="BF"/>
          <w:sz w:val="36"/>
          <w:szCs w:val="32"/>
        </w:rPr>
        <w:t>Analysis</w:t>
      </w:r>
    </w:p>
    <w:p w14:paraId="558B09D2" w14:textId="6A87F95D" w:rsidR="006D14AD" w:rsidRDefault="006D14AD" w:rsidP="00726E92">
      <w:pPr>
        <w:rPr>
          <w:rFonts w:ascii="CMCSC10" w:hAnsi="CMCSC10"/>
          <w:sz w:val="36"/>
          <w:szCs w:val="36"/>
        </w:rPr>
      </w:pPr>
      <w:r>
        <w:rPr>
          <w:rFonts w:ascii="CMCSC10" w:hAnsi="CMCSC10"/>
          <w:sz w:val="36"/>
          <w:szCs w:val="36"/>
        </w:rPr>
        <w:t>Sharpe Ratio Calculations:</w:t>
      </w:r>
    </w:p>
    <w:p w14:paraId="7D766608" w14:textId="77777777" w:rsidR="003B160A" w:rsidRDefault="003B160A" w:rsidP="00726E92">
      <w:pPr>
        <w:rPr>
          <w:rFonts w:ascii="CMCSC10" w:hAnsi="CMCSC10"/>
          <w:color w:val="1481AB" w:themeColor="accent1" w:themeShade="BF"/>
          <w:sz w:val="36"/>
          <w:szCs w:val="32"/>
        </w:rPr>
      </w:pPr>
    </w:p>
    <w:tbl>
      <w:tblPr>
        <w:tblW w:w="7904" w:type="dxa"/>
        <w:jc w:val="center"/>
        <w:tblLook w:val="04A0" w:firstRow="1" w:lastRow="0" w:firstColumn="1" w:lastColumn="0" w:noHBand="0" w:noVBand="1"/>
      </w:tblPr>
      <w:tblGrid>
        <w:gridCol w:w="4388"/>
        <w:gridCol w:w="1132"/>
        <w:gridCol w:w="1132"/>
        <w:gridCol w:w="1252"/>
      </w:tblGrid>
      <w:tr w:rsidR="001926F7" w:rsidRPr="001926F7" w14:paraId="4EF6FFD3" w14:textId="77777777" w:rsidTr="001926F7">
        <w:trPr>
          <w:trHeight w:val="383"/>
          <w:jc w:val="center"/>
        </w:trPr>
        <w:tc>
          <w:tcPr>
            <w:tcW w:w="4388" w:type="dxa"/>
            <w:tcBorders>
              <w:top w:val="single" w:sz="4" w:space="0" w:color="9BC2E6"/>
              <w:left w:val="single" w:sz="4" w:space="0" w:color="9BC2E6"/>
              <w:bottom w:val="single" w:sz="4" w:space="0" w:color="9BC2E6"/>
              <w:right w:val="nil"/>
            </w:tcBorders>
            <w:shd w:val="clear" w:color="5B9BD5" w:fill="5B9BD5"/>
            <w:noWrap/>
            <w:vAlign w:val="bottom"/>
            <w:hideMark/>
          </w:tcPr>
          <w:p w14:paraId="032EB036" w14:textId="77777777" w:rsidR="001926F7" w:rsidRPr="001926F7" w:rsidRDefault="001926F7" w:rsidP="001926F7">
            <w:pPr>
              <w:spacing w:after="0" w:line="240" w:lineRule="auto"/>
              <w:rPr>
                <w:rFonts w:ascii="Calibri" w:eastAsia="Times New Roman" w:hAnsi="Calibri" w:cs="Times New Roman"/>
                <w:b/>
                <w:bCs/>
                <w:color w:val="FFFFFF"/>
                <w:sz w:val="22"/>
                <w:szCs w:val="22"/>
                <w:lang w:eastAsia="en-IN"/>
              </w:rPr>
            </w:pPr>
            <w:r w:rsidRPr="001926F7">
              <w:rPr>
                <w:rFonts w:ascii="Calibri" w:eastAsia="Times New Roman" w:hAnsi="Calibri" w:cs="Times New Roman"/>
                <w:b/>
                <w:bCs/>
                <w:color w:val="FFFFFF"/>
                <w:sz w:val="22"/>
                <w:szCs w:val="22"/>
                <w:lang w:eastAsia="en-IN"/>
              </w:rPr>
              <w:t>Near Month</w:t>
            </w:r>
          </w:p>
        </w:tc>
        <w:tc>
          <w:tcPr>
            <w:tcW w:w="1132" w:type="dxa"/>
            <w:tcBorders>
              <w:top w:val="single" w:sz="4" w:space="0" w:color="9BC2E6"/>
              <w:left w:val="nil"/>
              <w:bottom w:val="single" w:sz="4" w:space="0" w:color="9BC2E6"/>
              <w:right w:val="nil"/>
            </w:tcBorders>
            <w:shd w:val="clear" w:color="5B9BD5" w:fill="5B9BD5"/>
            <w:noWrap/>
            <w:vAlign w:val="bottom"/>
            <w:hideMark/>
          </w:tcPr>
          <w:p w14:paraId="312ABCBE" w14:textId="77777777" w:rsidR="001926F7" w:rsidRPr="001926F7" w:rsidRDefault="001926F7" w:rsidP="001926F7">
            <w:pPr>
              <w:spacing w:after="0" w:line="240" w:lineRule="auto"/>
              <w:rPr>
                <w:rFonts w:ascii="Calibri" w:eastAsia="Times New Roman" w:hAnsi="Calibri" w:cs="Times New Roman"/>
                <w:b/>
                <w:bCs/>
                <w:color w:val="FFFFFF"/>
                <w:sz w:val="22"/>
                <w:szCs w:val="22"/>
                <w:lang w:eastAsia="en-IN"/>
              </w:rPr>
            </w:pPr>
            <w:r w:rsidRPr="001926F7">
              <w:rPr>
                <w:rFonts w:ascii="Calibri" w:eastAsia="Times New Roman" w:hAnsi="Calibri" w:cs="Times New Roman"/>
                <w:b/>
                <w:bCs/>
                <w:color w:val="FFFFFF"/>
                <w:sz w:val="22"/>
                <w:szCs w:val="22"/>
                <w:lang w:eastAsia="en-IN"/>
              </w:rPr>
              <w:t>Daily</w:t>
            </w:r>
          </w:p>
        </w:tc>
        <w:tc>
          <w:tcPr>
            <w:tcW w:w="1132" w:type="dxa"/>
            <w:tcBorders>
              <w:top w:val="single" w:sz="4" w:space="0" w:color="9BC2E6"/>
              <w:left w:val="nil"/>
              <w:bottom w:val="single" w:sz="4" w:space="0" w:color="9BC2E6"/>
              <w:right w:val="nil"/>
            </w:tcBorders>
            <w:shd w:val="clear" w:color="5B9BD5" w:fill="5B9BD5"/>
            <w:noWrap/>
            <w:vAlign w:val="bottom"/>
            <w:hideMark/>
          </w:tcPr>
          <w:p w14:paraId="4F97968C" w14:textId="77777777" w:rsidR="001926F7" w:rsidRPr="001926F7" w:rsidRDefault="001926F7" w:rsidP="001926F7">
            <w:pPr>
              <w:spacing w:after="0" w:line="240" w:lineRule="auto"/>
              <w:rPr>
                <w:rFonts w:ascii="Calibri" w:eastAsia="Times New Roman" w:hAnsi="Calibri" w:cs="Times New Roman"/>
                <w:b/>
                <w:bCs/>
                <w:color w:val="FFFFFF"/>
                <w:sz w:val="22"/>
                <w:szCs w:val="22"/>
                <w:lang w:eastAsia="en-IN"/>
              </w:rPr>
            </w:pPr>
            <w:r w:rsidRPr="001926F7">
              <w:rPr>
                <w:rFonts w:ascii="Calibri" w:eastAsia="Times New Roman" w:hAnsi="Calibri" w:cs="Times New Roman"/>
                <w:b/>
                <w:bCs/>
                <w:color w:val="FFFFFF"/>
                <w:sz w:val="22"/>
                <w:szCs w:val="22"/>
                <w:lang w:eastAsia="en-IN"/>
              </w:rPr>
              <w:t>Weekly</w:t>
            </w:r>
          </w:p>
        </w:tc>
        <w:tc>
          <w:tcPr>
            <w:tcW w:w="1252" w:type="dxa"/>
            <w:tcBorders>
              <w:top w:val="single" w:sz="4" w:space="0" w:color="9BC2E6"/>
              <w:left w:val="nil"/>
              <w:bottom w:val="single" w:sz="4" w:space="0" w:color="9BC2E6"/>
              <w:right w:val="single" w:sz="4" w:space="0" w:color="9BC2E6"/>
            </w:tcBorders>
            <w:shd w:val="clear" w:color="5B9BD5" w:fill="5B9BD5"/>
            <w:noWrap/>
            <w:vAlign w:val="bottom"/>
            <w:hideMark/>
          </w:tcPr>
          <w:p w14:paraId="05775B52" w14:textId="77777777" w:rsidR="001926F7" w:rsidRPr="001926F7" w:rsidRDefault="001926F7" w:rsidP="001926F7">
            <w:pPr>
              <w:spacing w:after="0" w:line="240" w:lineRule="auto"/>
              <w:rPr>
                <w:rFonts w:ascii="Calibri" w:eastAsia="Times New Roman" w:hAnsi="Calibri" w:cs="Times New Roman"/>
                <w:b/>
                <w:bCs/>
                <w:color w:val="FFFFFF"/>
                <w:sz w:val="22"/>
                <w:szCs w:val="22"/>
                <w:lang w:eastAsia="en-IN"/>
              </w:rPr>
            </w:pPr>
            <w:r w:rsidRPr="001926F7">
              <w:rPr>
                <w:rFonts w:ascii="Calibri" w:eastAsia="Times New Roman" w:hAnsi="Calibri" w:cs="Times New Roman"/>
                <w:b/>
                <w:bCs/>
                <w:color w:val="FFFFFF"/>
                <w:sz w:val="22"/>
                <w:szCs w:val="22"/>
                <w:lang w:eastAsia="en-IN"/>
              </w:rPr>
              <w:t>Monthly</w:t>
            </w:r>
          </w:p>
        </w:tc>
      </w:tr>
      <w:tr w:rsidR="001926F7" w:rsidRPr="001926F7" w14:paraId="7B434760" w14:textId="77777777" w:rsidTr="001926F7">
        <w:trPr>
          <w:trHeight w:val="383"/>
          <w:jc w:val="center"/>
        </w:trPr>
        <w:tc>
          <w:tcPr>
            <w:tcW w:w="4388" w:type="dxa"/>
            <w:tcBorders>
              <w:top w:val="single" w:sz="4" w:space="0" w:color="9BC2E6"/>
              <w:left w:val="single" w:sz="4" w:space="0" w:color="9BC2E6"/>
              <w:bottom w:val="single" w:sz="4" w:space="0" w:color="9BC2E6"/>
              <w:right w:val="nil"/>
            </w:tcBorders>
            <w:shd w:val="clear" w:color="DDEBF7" w:fill="DDEBF7"/>
            <w:noWrap/>
            <w:vAlign w:val="bottom"/>
            <w:hideMark/>
          </w:tcPr>
          <w:p w14:paraId="74C133D7" w14:textId="77777777" w:rsidR="001926F7" w:rsidRPr="001926F7" w:rsidRDefault="001926F7" w:rsidP="001926F7">
            <w:pPr>
              <w:spacing w:after="0" w:line="240" w:lineRule="auto"/>
              <w:rPr>
                <w:rFonts w:ascii="Calibri" w:eastAsia="Times New Roman" w:hAnsi="Calibri" w:cs="Times New Roman"/>
                <w:color w:val="000000"/>
                <w:sz w:val="22"/>
                <w:szCs w:val="22"/>
                <w:lang w:eastAsia="en-IN"/>
              </w:rPr>
            </w:pPr>
            <w:r w:rsidRPr="001926F7">
              <w:rPr>
                <w:rFonts w:ascii="Calibri" w:eastAsia="Times New Roman" w:hAnsi="Calibri" w:cs="Times New Roman"/>
                <w:color w:val="000000"/>
                <w:sz w:val="22"/>
                <w:szCs w:val="22"/>
                <w:lang w:eastAsia="en-IN"/>
              </w:rPr>
              <w:t>Mean of Excess Return</w:t>
            </w:r>
          </w:p>
        </w:tc>
        <w:tc>
          <w:tcPr>
            <w:tcW w:w="1132" w:type="dxa"/>
            <w:tcBorders>
              <w:top w:val="single" w:sz="4" w:space="0" w:color="9BC2E6"/>
              <w:left w:val="nil"/>
              <w:bottom w:val="single" w:sz="4" w:space="0" w:color="9BC2E6"/>
              <w:right w:val="nil"/>
            </w:tcBorders>
            <w:shd w:val="clear" w:color="DDEBF7" w:fill="DDEBF7"/>
            <w:noWrap/>
            <w:vAlign w:val="bottom"/>
            <w:hideMark/>
          </w:tcPr>
          <w:p w14:paraId="32EEB86A" w14:textId="77777777" w:rsidR="001926F7" w:rsidRPr="001926F7" w:rsidRDefault="001926F7" w:rsidP="001926F7">
            <w:pPr>
              <w:spacing w:after="0" w:line="240" w:lineRule="auto"/>
              <w:jc w:val="right"/>
              <w:rPr>
                <w:rFonts w:ascii="Calibri" w:eastAsia="Times New Roman" w:hAnsi="Calibri" w:cs="Times New Roman"/>
                <w:color w:val="000000"/>
                <w:sz w:val="22"/>
                <w:szCs w:val="22"/>
                <w:lang w:eastAsia="en-IN"/>
              </w:rPr>
            </w:pPr>
            <w:r w:rsidRPr="001926F7">
              <w:rPr>
                <w:rFonts w:ascii="Calibri" w:eastAsia="Times New Roman" w:hAnsi="Calibri" w:cs="Times New Roman"/>
                <w:color w:val="000000"/>
                <w:sz w:val="22"/>
                <w:szCs w:val="22"/>
                <w:lang w:eastAsia="en-IN"/>
              </w:rPr>
              <w:t>0.186</w:t>
            </w:r>
          </w:p>
        </w:tc>
        <w:tc>
          <w:tcPr>
            <w:tcW w:w="1132" w:type="dxa"/>
            <w:tcBorders>
              <w:top w:val="single" w:sz="4" w:space="0" w:color="9BC2E6"/>
              <w:left w:val="nil"/>
              <w:bottom w:val="single" w:sz="4" w:space="0" w:color="9BC2E6"/>
              <w:right w:val="nil"/>
            </w:tcBorders>
            <w:shd w:val="clear" w:color="DDEBF7" w:fill="DDEBF7"/>
            <w:noWrap/>
            <w:vAlign w:val="bottom"/>
            <w:hideMark/>
          </w:tcPr>
          <w:p w14:paraId="0B259759" w14:textId="77777777" w:rsidR="001926F7" w:rsidRPr="001926F7" w:rsidRDefault="001926F7" w:rsidP="001926F7">
            <w:pPr>
              <w:spacing w:after="0" w:line="240" w:lineRule="auto"/>
              <w:jc w:val="right"/>
              <w:rPr>
                <w:rFonts w:ascii="Calibri" w:eastAsia="Times New Roman" w:hAnsi="Calibri" w:cs="Times New Roman"/>
                <w:color w:val="000000"/>
                <w:sz w:val="22"/>
                <w:szCs w:val="22"/>
                <w:lang w:eastAsia="en-IN"/>
              </w:rPr>
            </w:pPr>
            <w:r w:rsidRPr="001926F7">
              <w:rPr>
                <w:rFonts w:ascii="Calibri" w:eastAsia="Times New Roman" w:hAnsi="Calibri" w:cs="Times New Roman"/>
                <w:color w:val="000000"/>
                <w:sz w:val="22"/>
                <w:szCs w:val="22"/>
                <w:lang w:eastAsia="en-IN"/>
              </w:rPr>
              <w:t>0.573</w:t>
            </w:r>
          </w:p>
        </w:tc>
        <w:tc>
          <w:tcPr>
            <w:tcW w:w="1252" w:type="dxa"/>
            <w:tcBorders>
              <w:top w:val="single" w:sz="4" w:space="0" w:color="9BC2E6"/>
              <w:left w:val="nil"/>
              <w:bottom w:val="single" w:sz="4" w:space="0" w:color="9BC2E6"/>
              <w:right w:val="single" w:sz="4" w:space="0" w:color="9BC2E6"/>
            </w:tcBorders>
            <w:shd w:val="clear" w:color="DDEBF7" w:fill="DDEBF7"/>
            <w:noWrap/>
            <w:vAlign w:val="bottom"/>
            <w:hideMark/>
          </w:tcPr>
          <w:p w14:paraId="3C2BE6D5" w14:textId="77777777" w:rsidR="001926F7" w:rsidRPr="001926F7" w:rsidRDefault="001926F7" w:rsidP="001926F7">
            <w:pPr>
              <w:spacing w:after="0" w:line="240" w:lineRule="auto"/>
              <w:jc w:val="right"/>
              <w:rPr>
                <w:rFonts w:ascii="Calibri" w:eastAsia="Times New Roman" w:hAnsi="Calibri" w:cs="Times New Roman"/>
                <w:color w:val="000000"/>
                <w:sz w:val="22"/>
                <w:szCs w:val="22"/>
                <w:lang w:eastAsia="en-IN"/>
              </w:rPr>
            </w:pPr>
            <w:r w:rsidRPr="001926F7">
              <w:rPr>
                <w:rFonts w:ascii="Calibri" w:eastAsia="Times New Roman" w:hAnsi="Calibri" w:cs="Times New Roman"/>
                <w:color w:val="000000"/>
                <w:sz w:val="22"/>
                <w:szCs w:val="22"/>
                <w:lang w:eastAsia="en-IN"/>
              </w:rPr>
              <w:t>3.342</w:t>
            </w:r>
          </w:p>
        </w:tc>
      </w:tr>
      <w:tr w:rsidR="001926F7" w:rsidRPr="001926F7" w14:paraId="04C59460" w14:textId="77777777" w:rsidTr="001926F7">
        <w:trPr>
          <w:trHeight w:val="383"/>
          <w:jc w:val="center"/>
        </w:trPr>
        <w:tc>
          <w:tcPr>
            <w:tcW w:w="4388" w:type="dxa"/>
            <w:tcBorders>
              <w:top w:val="single" w:sz="4" w:space="0" w:color="9BC2E6"/>
              <w:left w:val="single" w:sz="4" w:space="0" w:color="9BC2E6"/>
              <w:bottom w:val="single" w:sz="4" w:space="0" w:color="9BC2E6"/>
              <w:right w:val="nil"/>
            </w:tcBorders>
            <w:shd w:val="clear" w:color="auto" w:fill="auto"/>
            <w:noWrap/>
            <w:vAlign w:val="bottom"/>
            <w:hideMark/>
          </w:tcPr>
          <w:p w14:paraId="5F163173" w14:textId="77777777" w:rsidR="001926F7" w:rsidRPr="001926F7" w:rsidRDefault="001926F7" w:rsidP="001926F7">
            <w:pPr>
              <w:spacing w:after="0" w:line="240" w:lineRule="auto"/>
              <w:rPr>
                <w:rFonts w:ascii="Calibri" w:eastAsia="Times New Roman" w:hAnsi="Calibri" w:cs="Times New Roman"/>
                <w:color w:val="000000"/>
                <w:sz w:val="22"/>
                <w:szCs w:val="22"/>
                <w:lang w:eastAsia="en-IN"/>
              </w:rPr>
            </w:pPr>
            <w:r w:rsidRPr="001926F7">
              <w:rPr>
                <w:rFonts w:ascii="Calibri" w:eastAsia="Times New Roman" w:hAnsi="Calibri" w:cs="Times New Roman"/>
                <w:color w:val="000000"/>
                <w:sz w:val="22"/>
                <w:szCs w:val="22"/>
                <w:lang w:eastAsia="en-IN"/>
              </w:rPr>
              <w:t>Standard Deviation of Unadjusted Returns</w:t>
            </w:r>
          </w:p>
        </w:tc>
        <w:tc>
          <w:tcPr>
            <w:tcW w:w="1132" w:type="dxa"/>
            <w:tcBorders>
              <w:top w:val="single" w:sz="4" w:space="0" w:color="9BC2E6"/>
              <w:left w:val="nil"/>
              <w:bottom w:val="single" w:sz="4" w:space="0" w:color="9BC2E6"/>
              <w:right w:val="nil"/>
            </w:tcBorders>
            <w:shd w:val="clear" w:color="auto" w:fill="auto"/>
            <w:noWrap/>
            <w:vAlign w:val="bottom"/>
            <w:hideMark/>
          </w:tcPr>
          <w:p w14:paraId="7173E11D" w14:textId="77777777" w:rsidR="001926F7" w:rsidRPr="001926F7" w:rsidRDefault="001926F7" w:rsidP="001926F7">
            <w:pPr>
              <w:spacing w:after="0" w:line="240" w:lineRule="auto"/>
              <w:jc w:val="right"/>
              <w:rPr>
                <w:rFonts w:ascii="Calibri" w:eastAsia="Times New Roman" w:hAnsi="Calibri" w:cs="Times New Roman"/>
                <w:color w:val="000000"/>
                <w:sz w:val="22"/>
                <w:szCs w:val="22"/>
                <w:lang w:eastAsia="en-IN"/>
              </w:rPr>
            </w:pPr>
            <w:r w:rsidRPr="001926F7">
              <w:rPr>
                <w:rFonts w:ascii="Calibri" w:eastAsia="Times New Roman" w:hAnsi="Calibri" w:cs="Times New Roman"/>
                <w:color w:val="000000"/>
                <w:sz w:val="22"/>
                <w:szCs w:val="22"/>
                <w:lang w:eastAsia="en-IN"/>
              </w:rPr>
              <w:t>1.9961</w:t>
            </w:r>
          </w:p>
        </w:tc>
        <w:tc>
          <w:tcPr>
            <w:tcW w:w="1132" w:type="dxa"/>
            <w:tcBorders>
              <w:top w:val="single" w:sz="4" w:space="0" w:color="9BC2E6"/>
              <w:left w:val="nil"/>
              <w:bottom w:val="single" w:sz="4" w:space="0" w:color="9BC2E6"/>
              <w:right w:val="nil"/>
            </w:tcBorders>
            <w:shd w:val="clear" w:color="auto" w:fill="auto"/>
            <w:noWrap/>
            <w:vAlign w:val="bottom"/>
            <w:hideMark/>
          </w:tcPr>
          <w:p w14:paraId="05901BA9" w14:textId="77777777" w:rsidR="001926F7" w:rsidRPr="001926F7" w:rsidRDefault="001926F7" w:rsidP="001926F7">
            <w:pPr>
              <w:spacing w:after="0" w:line="240" w:lineRule="auto"/>
              <w:jc w:val="right"/>
              <w:rPr>
                <w:rFonts w:ascii="Calibri" w:eastAsia="Times New Roman" w:hAnsi="Calibri" w:cs="Times New Roman"/>
                <w:color w:val="000000"/>
                <w:sz w:val="22"/>
                <w:szCs w:val="22"/>
                <w:lang w:eastAsia="en-IN"/>
              </w:rPr>
            </w:pPr>
            <w:r w:rsidRPr="001926F7">
              <w:rPr>
                <w:rFonts w:ascii="Calibri" w:eastAsia="Times New Roman" w:hAnsi="Calibri" w:cs="Times New Roman"/>
                <w:color w:val="000000"/>
                <w:sz w:val="22"/>
                <w:szCs w:val="22"/>
                <w:lang w:eastAsia="en-IN"/>
              </w:rPr>
              <w:t>3.5689</w:t>
            </w:r>
          </w:p>
        </w:tc>
        <w:tc>
          <w:tcPr>
            <w:tcW w:w="1252" w:type="dxa"/>
            <w:tcBorders>
              <w:top w:val="single" w:sz="4" w:space="0" w:color="9BC2E6"/>
              <w:left w:val="nil"/>
              <w:bottom w:val="single" w:sz="4" w:space="0" w:color="9BC2E6"/>
              <w:right w:val="single" w:sz="4" w:space="0" w:color="9BC2E6"/>
            </w:tcBorders>
            <w:shd w:val="clear" w:color="auto" w:fill="auto"/>
            <w:noWrap/>
            <w:vAlign w:val="bottom"/>
            <w:hideMark/>
          </w:tcPr>
          <w:p w14:paraId="0481DB45" w14:textId="77777777" w:rsidR="001926F7" w:rsidRPr="001926F7" w:rsidRDefault="001926F7" w:rsidP="001926F7">
            <w:pPr>
              <w:spacing w:after="0" w:line="240" w:lineRule="auto"/>
              <w:jc w:val="right"/>
              <w:rPr>
                <w:rFonts w:ascii="Calibri" w:eastAsia="Times New Roman" w:hAnsi="Calibri" w:cs="Times New Roman"/>
                <w:color w:val="000000"/>
                <w:sz w:val="22"/>
                <w:szCs w:val="22"/>
                <w:lang w:eastAsia="en-IN"/>
              </w:rPr>
            </w:pPr>
            <w:r w:rsidRPr="001926F7">
              <w:rPr>
                <w:rFonts w:ascii="Calibri" w:eastAsia="Times New Roman" w:hAnsi="Calibri" w:cs="Times New Roman"/>
                <w:color w:val="000000"/>
                <w:sz w:val="22"/>
                <w:szCs w:val="22"/>
                <w:lang w:eastAsia="en-IN"/>
              </w:rPr>
              <w:t>3.9147</w:t>
            </w:r>
          </w:p>
        </w:tc>
      </w:tr>
      <w:tr w:rsidR="001926F7" w:rsidRPr="001926F7" w14:paraId="08F7264C" w14:textId="77777777" w:rsidTr="001926F7">
        <w:trPr>
          <w:trHeight w:val="383"/>
          <w:jc w:val="center"/>
        </w:trPr>
        <w:tc>
          <w:tcPr>
            <w:tcW w:w="4388" w:type="dxa"/>
            <w:tcBorders>
              <w:top w:val="single" w:sz="4" w:space="0" w:color="9BC2E6"/>
              <w:left w:val="single" w:sz="4" w:space="0" w:color="9BC2E6"/>
              <w:bottom w:val="single" w:sz="4" w:space="0" w:color="9BC2E6"/>
              <w:right w:val="nil"/>
            </w:tcBorders>
            <w:shd w:val="clear" w:color="DDEBF7" w:fill="DDEBF7"/>
            <w:noWrap/>
            <w:vAlign w:val="bottom"/>
            <w:hideMark/>
          </w:tcPr>
          <w:p w14:paraId="2AD9E418" w14:textId="77777777" w:rsidR="001926F7" w:rsidRPr="001926F7" w:rsidRDefault="001926F7" w:rsidP="001926F7">
            <w:pPr>
              <w:spacing w:after="0" w:line="240" w:lineRule="auto"/>
              <w:rPr>
                <w:rFonts w:ascii="Calibri" w:eastAsia="Times New Roman" w:hAnsi="Calibri" w:cs="Times New Roman"/>
                <w:color w:val="000000"/>
                <w:sz w:val="22"/>
                <w:szCs w:val="22"/>
                <w:lang w:eastAsia="en-IN"/>
              </w:rPr>
            </w:pPr>
            <w:r w:rsidRPr="001926F7">
              <w:rPr>
                <w:rFonts w:ascii="Calibri" w:eastAsia="Times New Roman" w:hAnsi="Calibri" w:cs="Times New Roman"/>
                <w:color w:val="000000"/>
                <w:sz w:val="22"/>
                <w:szCs w:val="22"/>
                <w:lang w:eastAsia="en-IN"/>
              </w:rPr>
              <w:lastRenderedPageBreak/>
              <w:t>Sharpe Ratio</w:t>
            </w:r>
          </w:p>
        </w:tc>
        <w:tc>
          <w:tcPr>
            <w:tcW w:w="1132" w:type="dxa"/>
            <w:tcBorders>
              <w:top w:val="single" w:sz="4" w:space="0" w:color="9BC2E6"/>
              <w:left w:val="nil"/>
              <w:bottom w:val="single" w:sz="4" w:space="0" w:color="9BC2E6"/>
              <w:right w:val="nil"/>
            </w:tcBorders>
            <w:shd w:val="clear" w:color="DDEBF7" w:fill="F8696B"/>
            <w:noWrap/>
            <w:vAlign w:val="bottom"/>
            <w:hideMark/>
          </w:tcPr>
          <w:p w14:paraId="04102F8F" w14:textId="77777777" w:rsidR="001926F7" w:rsidRPr="001926F7" w:rsidRDefault="001926F7" w:rsidP="001926F7">
            <w:pPr>
              <w:spacing w:after="0" w:line="240" w:lineRule="auto"/>
              <w:jc w:val="right"/>
              <w:rPr>
                <w:rFonts w:ascii="Calibri" w:eastAsia="Times New Roman" w:hAnsi="Calibri" w:cs="Times New Roman"/>
                <w:color w:val="000000"/>
                <w:sz w:val="22"/>
                <w:szCs w:val="22"/>
                <w:lang w:eastAsia="en-IN"/>
              </w:rPr>
            </w:pPr>
            <w:r w:rsidRPr="001926F7">
              <w:rPr>
                <w:rFonts w:ascii="Calibri" w:eastAsia="Times New Roman" w:hAnsi="Calibri" w:cs="Times New Roman"/>
                <w:color w:val="000000"/>
                <w:sz w:val="22"/>
                <w:szCs w:val="22"/>
                <w:lang w:eastAsia="en-IN"/>
              </w:rPr>
              <w:t>0.093182</w:t>
            </w:r>
          </w:p>
        </w:tc>
        <w:tc>
          <w:tcPr>
            <w:tcW w:w="1132" w:type="dxa"/>
            <w:tcBorders>
              <w:top w:val="single" w:sz="4" w:space="0" w:color="9BC2E6"/>
              <w:left w:val="nil"/>
              <w:bottom w:val="single" w:sz="4" w:space="0" w:color="9BC2E6"/>
              <w:right w:val="nil"/>
            </w:tcBorders>
            <w:shd w:val="clear" w:color="DDEBF7" w:fill="FCFCFF"/>
            <w:noWrap/>
            <w:vAlign w:val="bottom"/>
            <w:hideMark/>
          </w:tcPr>
          <w:p w14:paraId="7BFD3552" w14:textId="77777777" w:rsidR="001926F7" w:rsidRPr="001926F7" w:rsidRDefault="001926F7" w:rsidP="001926F7">
            <w:pPr>
              <w:spacing w:after="0" w:line="240" w:lineRule="auto"/>
              <w:jc w:val="right"/>
              <w:rPr>
                <w:rFonts w:ascii="Calibri" w:eastAsia="Times New Roman" w:hAnsi="Calibri" w:cs="Times New Roman"/>
                <w:color w:val="000000"/>
                <w:sz w:val="22"/>
                <w:szCs w:val="22"/>
                <w:lang w:eastAsia="en-IN"/>
              </w:rPr>
            </w:pPr>
            <w:r w:rsidRPr="001926F7">
              <w:rPr>
                <w:rFonts w:ascii="Calibri" w:eastAsia="Times New Roman" w:hAnsi="Calibri" w:cs="Times New Roman"/>
                <w:color w:val="000000"/>
                <w:sz w:val="22"/>
                <w:szCs w:val="22"/>
                <w:lang w:eastAsia="en-IN"/>
              </w:rPr>
              <w:t>0.160554</w:t>
            </w:r>
          </w:p>
        </w:tc>
        <w:tc>
          <w:tcPr>
            <w:tcW w:w="1252" w:type="dxa"/>
            <w:tcBorders>
              <w:top w:val="single" w:sz="4" w:space="0" w:color="9BC2E6"/>
              <w:left w:val="nil"/>
              <w:bottom w:val="single" w:sz="4" w:space="0" w:color="9BC2E6"/>
              <w:right w:val="single" w:sz="4" w:space="0" w:color="9BC2E6"/>
            </w:tcBorders>
            <w:shd w:val="clear" w:color="DDEBF7" w:fill="63BE7B"/>
            <w:noWrap/>
            <w:vAlign w:val="bottom"/>
            <w:hideMark/>
          </w:tcPr>
          <w:p w14:paraId="3BF389B8" w14:textId="77777777" w:rsidR="001926F7" w:rsidRPr="001926F7" w:rsidRDefault="001926F7" w:rsidP="001926F7">
            <w:pPr>
              <w:spacing w:after="0" w:line="240" w:lineRule="auto"/>
              <w:jc w:val="right"/>
              <w:rPr>
                <w:rFonts w:ascii="Calibri" w:eastAsia="Times New Roman" w:hAnsi="Calibri" w:cs="Times New Roman"/>
                <w:color w:val="000000"/>
                <w:sz w:val="22"/>
                <w:szCs w:val="22"/>
                <w:lang w:eastAsia="en-IN"/>
              </w:rPr>
            </w:pPr>
            <w:r w:rsidRPr="001926F7">
              <w:rPr>
                <w:rFonts w:ascii="Calibri" w:eastAsia="Times New Roman" w:hAnsi="Calibri" w:cs="Times New Roman"/>
                <w:color w:val="000000"/>
                <w:sz w:val="22"/>
                <w:szCs w:val="22"/>
                <w:lang w:eastAsia="en-IN"/>
              </w:rPr>
              <w:t>0.8537053</w:t>
            </w:r>
          </w:p>
        </w:tc>
      </w:tr>
    </w:tbl>
    <w:p w14:paraId="761EDE1E" w14:textId="77777777" w:rsidR="000D6323" w:rsidRDefault="000D6323" w:rsidP="008917FE">
      <w:pPr>
        <w:rPr>
          <w:rFonts w:ascii="CMCSC10" w:hAnsi="CMCSC10"/>
          <w:b/>
          <w:bCs/>
          <w:color w:val="1481AB" w:themeColor="accent1" w:themeShade="BF"/>
          <w:sz w:val="40"/>
          <w:szCs w:val="40"/>
        </w:rPr>
      </w:pPr>
    </w:p>
    <w:p w14:paraId="6DFA0908" w14:textId="11728EA5" w:rsidR="00423065" w:rsidRDefault="00484E69" w:rsidP="00DC44A5">
      <w:pPr>
        <w:jc w:val="center"/>
        <w:rPr>
          <w:rFonts w:ascii="CMCSC10" w:hAnsi="CMCSC10"/>
          <w:b/>
          <w:bCs/>
          <w:color w:val="1481AB" w:themeColor="accent1" w:themeShade="BF"/>
          <w:sz w:val="40"/>
          <w:szCs w:val="40"/>
        </w:rPr>
      </w:pPr>
      <w:r>
        <w:rPr>
          <w:rFonts w:ascii="CMCSC10" w:hAnsi="CMCSC10"/>
          <w:b/>
          <w:bCs/>
          <w:noProof/>
          <w:color w:val="1481AB" w:themeColor="accent1" w:themeShade="BF"/>
          <w:sz w:val="40"/>
          <w:szCs w:val="40"/>
        </w:rPr>
        <w:drawing>
          <wp:inline distT="0" distB="0" distL="0" distR="0" wp14:anchorId="7B6011EB" wp14:editId="6AABB580">
            <wp:extent cx="2771693" cy="14562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771693" cy="1456222"/>
                    </a:xfrm>
                    <a:prstGeom prst="rect">
                      <a:avLst/>
                    </a:prstGeom>
                    <a:noFill/>
                    <a:ln>
                      <a:noFill/>
                    </a:ln>
                  </pic:spPr>
                </pic:pic>
              </a:graphicData>
            </a:graphic>
          </wp:inline>
        </w:drawing>
      </w:r>
      <w:r w:rsidR="00423065">
        <w:rPr>
          <w:rFonts w:ascii="CMCSC10" w:hAnsi="CMCSC10"/>
          <w:b/>
          <w:bCs/>
          <w:noProof/>
          <w:color w:val="1481AB" w:themeColor="accent1" w:themeShade="BF"/>
          <w:sz w:val="40"/>
          <w:szCs w:val="40"/>
        </w:rPr>
        <w:drawing>
          <wp:inline distT="0" distB="0" distL="0" distR="0" wp14:anchorId="1FD94947" wp14:editId="171CC0BB">
            <wp:extent cx="2715716" cy="1426812"/>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715716" cy="1426812"/>
                    </a:xfrm>
                    <a:prstGeom prst="rect">
                      <a:avLst/>
                    </a:prstGeom>
                    <a:noFill/>
                    <a:ln>
                      <a:noFill/>
                    </a:ln>
                  </pic:spPr>
                </pic:pic>
              </a:graphicData>
            </a:graphic>
          </wp:inline>
        </w:drawing>
      </w:r>
    </w:p>
    <w:p w14:paraId="01E172BF" w14:textId="0600D647" w:rsidR="00C4149A" w:rsidRPr="00B841AB" w:rsidRDefault="00C4149A" w:rsidP="00C4149A">
      <w:pPr>
        <w:ind w:firstLine="720"/>
        <w:jc w:val="center"/>
        <w:rPr>
          <w:rFonts w:ascii="CMCSC10" w:hAnsi="CMCSC10"/>
          <w:color w:val="000000" w:themeColor="text1"/>
          <w:sz w:val="36"/>
          <w:szCs w:val="36"/>
          <w:u w:val="single"/>
        </w:rPr>
      </w:pPr>
      <w:r w:rsidRPr="00B841AB">
        <w:rPr>
          <w:rFonts w:ascii="CMCSC10" w:hAnsi="CMCSC10"/>
          <w:color w:val="000000" w:themeColor="text1"/>
          <w:sz w:val="36"/>
          <w:szCs w:val="36"/>
          <w:u w:val="single"/>
        </w:rPr>
        <w:t xml:space="preserve">Comparison of </w:t>
      </w:r>
      <w:r w:rsidRPr="00FE1794">
        <w:rPr>
          <w:rFonts w:ascii="CMCSC10" w:hAnsi="CMCSC10"/>
          <w:b/>
          <w:bCs/>
          <w:color w:val="000000" w:themeColor="text1"/>
          <w:sz w:val="36"/>
          <w:szCs w:val="36"/>
          <w:u w:val="single"/>
        </w:rPr>
        <w:t>Daily</w:t>
      </w:r>
      <w:r>
        <w:rPr>
          <w:rFonts w:ascii="CMCSC10" w:hAnsi="CMCSC10"/>
          <w:color w:val="000000" w:themeColor="text1"/>
          <w:sz w:val="36"/>
          <w:szCs w:val="36"/>
          <w:u w:val="single"/>
        </w:rPr>
        <w:t xml:space="preserve"> Risk-Unadjusted and</w:t>
      </w:r>
      <w:r w:rsidRPr="00B841AB">
        <w:rPr>
          <w:rFonts w:ascii="CMCSC10" w:hAnsi="CMCSC10"/>
          <w:color w:val="000000" w:themeColor="text1"/>
          <w:sz w:val="36"/>
          <w:szCs w:val="36"/>
          <w:u w:val="single"/>
        </w:rPr>
        <w:t xml:space="preserve"> </w:t>
      </w:r>
      <w:r w:rsidRPr="00FE1794">
        <w:rPr>
          <w:rFonts w:ascii="CMCSC10" w:hAnsi="CMCSC10"/>
          <w:color w:val="000000" w:themeColor="text1"/>
          <w:sz w:val="36"/>
          <w:szCs w:val="36"/>
          <w:u w:val="single"/>
        </w:rPr>
        <w:t>Risk- Adjusted</w:t>
      </w:r>
      <w:r w:rsidRPr="00B841AB">
        <w:rPr>
          <w:rFonts w:ascii="CMCSC10" w:hAnsi="CMCSC10"/>
          <w:b/>
          <w:bCs/>
          <w:color w:val="000000" w:themeColor="text1"/>
          <w:sz w:val="36"/>
          <w:szCs w:val="36"/>
          <w:u w:val="single"/>
        </w:rPr>
        <w:t xml:space="preserve"> </w:t>
      </w:r>
      <w:r w:rsidRPr="00B841AB">
        <w:rPr>
          <w:rFonts w:ascii="CMCSC10" w:hAnsi="CMCSC10"/>
          <w:color w:val="000000" w:themeColor="text1"/>
          <w:sz w:val="36"/>
          <w:szCs w:val="36"/>
          <w:u w:val="single"/>
        </w:rPr>
        <w:t>Returns</w:t>
      </w:r>
      <w:r>
        <w:rPr>
          <w:rFonts w:ascii="CMCSC10" w:hAnsi="CMCSC10"/>
          <w:color w:val="000000" w:themeColor="text1"/>
          <w:sz w:val="36"/>
          <w:szCs w:val="36"/>
          <w:u w:val="single"/>
        </w:rPr>
        <w:t xml:space="preserve"> for </w:t>
      </w:r>
      <w:r w:rsidRPr="00C4149A">
        <w:rPr>
          <w:rFonts w:ascii="CMCSC10" w:hAnsi="CMCSC10"/>
          <w:b/>
          <w:bCs/>
          <w:color w:val="000000" w:themeColor="text1"/>
          <w:sz w:val="36"/>
          <w:szCs w:val="36"/>
          <w:u w:val="single"/>
        </w:rPr>
        <w:t>Near</w:t>
      </w:r>
      <w:r>
        <w:rPr>
          <w:rFonts w:ascii="CMCSC10" w:hAnsi="CMCSC10"/>
          <w:color w:val="000000" w:themeColor="text1"/>
          <w:sz w:val="36"/>
          <w:szCs w:val="36"/>
          <w:u w:val="single"/>
        </w:rPr>
        <w:t xml:space="preserve"> Month Frequency</w:t>
      </w:r>
      <w:r w:rsidRPr="00B841AB">
        <w:rPr>
          <w:rFonts w:ascii="CMCSC10" w:hAnsi="CMCSC10"/>
          <w:color w:val="000000" w:themeColor="text1"/>
          <w:sz w:val="36"/>
          <w:szCs w:val="36"/>
          <w:u w:val="single"/>
        </w:rPr>
        <w:t xml:space="preserve"> </w:t>
      </w:r>
    </w:p>
    <w:p w14:paraId="2E1234AD" w14:textId="77777777" w:rsidR="00181E09" w:rsidRDefault="00181E09" w:rsidP="008917FE">
      <w:pPr>
        <w:rPr>
          <w:rFonts w:ascii="CMCSC10" w:hAnsi="CMCSC10"/>
          <w:b/>
          <w:bCs/>
          <w:color w:val="1481AB" w:themeColor="accent1" w:themeShade="BF"/>
          <w:sz w:val="40"/>
          <w:szCs w:val="40"/>
        </w:rPr>
      </w:pPr>
    </w:p>
    <w:p w14:paraId="78B12FD8" w14:textId="77777777" w:rsidR="009C0FFA" w:rsidRDefault="009C0FFA" w:rsidP="008917FE">
      <w:pPr>
        <w:rPr>
          <w:rFonts w:ascii="CMCSC10" w:hAnsi="CMCSC10"/>
          <w:b/>
          <w:bCs/>
          <w:color w:val="1481AB" w:themeColor="accent1" w:themeShade="BF"/>
          <w:sz w:val="40"/>
          <w:szCs w:val="40"/>
        </w:rPr>
      </w:pPr>
    </w:p>
    <w:p w14:paraId="02286140" w14:textId="0443A962" w:rsidR="00423065" w:rsidRDefault="00C4149A" w:rsidP="00DC44A5">
      <w:pPr>
        <w:jc w:val="center"/>
        <w:rPr>
          <w:rFonts w:ascii="CMCSC10" w:hAnsi="CMCSC10"/>
          <w:b/>
          <w:bCs/>
          <w:color w:val="1481AB" w:themeColor="accent1" w:themeShade="BF"/>
          <w:sz w:val="40"/>
          <w:szCs w:val="40"/>
        </w:rPr>
      </w:pPr>
      <w:r>
        <w:rPr>
          <w:rFonts w:ascii="CMCSC10" w:hAnsi="CMCSC10"/>
          <w:b/>
          <w:bCs/>
          <w:noProof/>
          <w:color w:val="1481AB" w:themeColor="accent1" w:themeShade="BF"/>
          <w:sz w:val="40"/>
          <w:szCs w:val="40"/>
        </w:rPr>
        <w:drawing>
          <wp:inline distT="0" distB="0" distL="0" distR="0" wp14:anchorId="7FA64061" wp14:editId="4455424B">
            <wp:extent cx="2525971" cy="1327121"/>
            <wp:effectExtent l="0" t="0" r="825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525971" cy="1327121"/>
                    </a:xfrm>
                    <a:prstGeom prst="rect">
                      <a:avLst/>
                    </a:prstGeom>
                    <a:noFill/>
                    <a:ln>
                      <a:noFill/>
                    </a:ln>
                  </pic:spPr>
                </pic:pic>
              </a:graphicData>
            </a:graphic>
          </wp:inline>
        </w:drawing>
      </w:r>
      <w:r w:rsidR="00DC44A5">
        <w:rPr>
          <w:rFonts w:ascii="CMCSC10" w:hAnsi="CMCSC10"/>
          <w:b/>
          <w:bCs/>
          <w:noProof/>
          <w:color w:val="1481AB" w:themeColor="accent1" w:themeShade="BF"/>
          <w:sz w:val="40"/>
          <w:szCs w:val="40"/>
        </w:rPr>
        <w:drawing>
          <wp:inline distT="0" distB="0" distL="0" distR="0" wp14:anchorId="4052BB47" wp14:editId="5678140E">
            <wp:extent cx="2483459" cy="12814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99742" cy="1289832"/>
                    </a:xfrm>
                    <a:prstGeom prst="rect">
                      <a:avLst/>
                    </a:prstGeom>
                    <a:noFill/>
                    <a:ln>
                      <a:noFill/>
                    </a:ln>
                  </pic:spPr>
                </pic:pic>
              </a:graphicData>
            </a:graphic>
          </wp:inline>
        </w:drawing>
      </w:r>
    </w:p>
    <w:p w14:paraId="6AC16B9A" w14:textId="4ADAA988" w:rsidR="00DC44A5" w:rsidRPr="00B841AB" w:rsidRDefault="00DC44A5" w:rsidP="00DC44A5">
      <w:pPr>
        <w:ind w:firstLine="720"/>
        <w:jc w:val="center"/>
        <w:rPr>
          <w:rFonts w:ascii="CMCSC10" w:hAnsi="CMCSC10"/>
          <w:color w:val="000000" w:themeColor="text1"/>
          <w:sz w:val="36"/>
          <w:szCs w:val="36"/>
          <w:u w:val="single"/>
        </w:rPr>
      </w:pPr>
      <w:r w:rsidRPr="00B841AB">
        <w:rPr>
          <w:rFonts w:ascii="CMCSC10" w:hAnsi="CMCSC10"/>
          <w:color w:val="000000" w:themeColor="text1"/>
          <w:sz w:val="36"/>
          <w:szCs w:val="36"/>
          <w:u w:val="single"/>
        </w:rPr>
        <w:t xml:space="preserve">Comparison of </w:t>
      </w:r>
      <w:r>
        <w:rPr>
          <w:rFonts w:ascii="CMCSC10" w:hAnsi="CMCSC10"/>
          <w:b/>
          <w:bCs/>
          <w:color w:val="000000" w:themeColor="text1"/>
          <w:sz w:val="36"/>
          <w:szCs w:val="36"/>
          <w:u w:val="single"/>
        </w:rPr>
        <w:t>Week</w:t>
      </w:r>
      <w:r w:rsidRPr="00FE1794">
        <w:rPr>
          <w:rFonts w:ascii="CMCSC10" w:hAnsi="CMCSC10"/>
          <w:b/>
          <w:bCs/>
          <w:color w:val="000000" w:themeColor="text1"/>
          <w:sz w:val="36"/>
          <w:szCs w:val="36"/>
          <w:u w:val="single"/>
        </w:rPr>
        <w:t>ly</w:t>
      </w:r>
      <w:r>
        <w:rPr>
          <w:rFonts w:ascii="CMCSC10" w:hAnsi="CMCSC10"/>
          <w:color w:val="000000" w:themeColor="text1"/>
          <w:sz w:val="36"/>
          <w:szCs w:val="36"/>
          <w:u w:val="single"/>
        </w:rPr>
        <w:t xml:space="preserve"> Risk-Unadjusted and</w:t>
      </w:r>
      <w:r w:rsidRPr="00B841AB">
        <w:rPr>
          <w:rFonts w:ascii="CMCSC10" w:hAnsi="CMCSC10"/>
          <w:color w:val="000000" w:themeColor="text1"/>
          <w:sz w:val="36"/>
          <w:szCs w:val="36"/>
          <w:u w:val="single"/>
        </w:rPr>
        <w:t xml:space="preserve"> </w:t>
      </w:r>
      <w:r w:rsidRPr="00FE1794">
        <w:rPr>
          <w:rFonts w:ascii="CMCSC10" w:hAnsi="CMCSC10"/>
          <w:color w:val="000000" w:themeColor="text1"/>
          <w:sz w:val="36"/>
          <w:szCs w:val="36"/>
          <w:u w:val="single"/>
        </w:rPr>
        <w:t>Risk- Adjusted</w:t>
      </w:r>
      <w:r w:rsidRPr="00B841AB">
        <w:rPr>
          <w:rFonts w:ascii="CMCSC10" w:hAnsi="CMCSC10"/>
          <w:b/>
          <w:bCs/>
          <w:color w:val="000000" w:themeColor="text1"/>
          <w:sz w:val="36"/>
          <w:szCs w:val="36"/>
          <w:u w:val="single"/>
        </w:rPr>
        <w:t xml:space="preserve"> </w:t>
      </w:r>
      <w:r w:rsidRPr="00B841AB">
        <w:rPr>
          <w:rFonts w:ascii="CMCSC10" w:hAnsi="CMCSC10"/>
          <w:color w:val="000000" w:themeColor="text1"/>
          <w:sz w:val="36"/>
          <w:szCs w:val="36"/>
          <w:u w:val="single"/>
        </w:rPr>
        <w:t>Returns</w:t>
      </w:r>
      <w:r>
        <w:rPr>
          <w:rFonts w:ascii="CMCSC10" w:hAnsi="CMCSC10"/>
          <w:color w:val="000000" w:themeColor="text1"/>
          <w:sz w:val="36"/>
          <w:szCs w:val="36"/>
          <w:u w:val="single"/>
        </w:rPr>
        <w:t xml:space="preserve"> for </w:t>
      </w:r>
      <w:r w:rsidRPr="00C4149A">
        <w:rPr>
          <w:rFonts w:ascii="CMCSC10" w:hAnsi="CMCSC10"/>
          <w:b/>
          <w:bCs/>
          <w:color w:val="000000" w:themeColor="text1"/>
          <w:sz w:val="36"/>
          <w:szCs w:val="36"/>
          <w:u w:val="single"/>
        </w:rPr>
        <w:t>Near</w:t>
      </w:r>
      <w:r>
        <w:rPr>
          <w:rFonts w:ascii="CMCSC10" w:hAnsi="CMCSC10"/>
          <w:color w:val="000000" w:themeColor="text1"/>
          <w:sz w:val="36"/>
          <w:szCs w:val="36"/>
          <w:u w:val="single"/>
        </w:rPr>
        <w:t xml:space="preserve"> Month Frequency</w:t>
      </w:r>
      <w:r w:rsidRPr="00B841AB">
        <w:rPr>
          <w:rFonts w:ascii="CMCSC10" w:hAnsi="CMCSC10"/>
          <w:color w:val="000000" w:themeColor="text1"/>
          <w:sz w:val="36"/>
          <w:szCs w:val="36"/>
          <w:u w:val="single"/>
        </w:rPr>
        <w:t xml:space="preserve"> </w:t>
      </w:r>
    </w:p>
    <w:p w14:paraId="626F42C0" w14:textId="77777777" w:rsidR="009C5B64" w:rsidRDefault="009C5B64" w:rsidP="00BB357F">
      <w:pPr>
        <w:rPr>
          <w:rFonts w:ascii="CMCSC10" w:hAnsi="CMCSC10"/>
          <w:b/>
          <w:bCs/>
          <w:color w:val="1481AB" w:themeColor="accent1" w:themeShade="BF"/>
          <w:sz w:val="40"/>
          <w:szCs w:val="40"/>
        </w:rPr>
      </w:pPr>
    </w:p>
    <w:p w14:paraId="32C5D677" w14:textId="69C9630D" w:rsidR="00DC44A5" w:rsidRDefault="00E17A4B" w:rsidP="00DC44A5">
      <w:pPr>
        <w:jc w:val="center"/>
        <w:rPr>
          <w:rFonts w:ascii="CMCSC10" w:hAnsi="CMCSC10"/>
          <w:b/>
          <w:bCs/>
          <w:color w:val="1481AB" w:themeColor="accent1" w:themeShade="BF"/>
          <w:sz w:val="40"/>
          <w:szCs w:val="40"/>
        </w:rPr>
      </w:pPr>
      <w:r>
        <w:rPr>
          <w:rFonts w:ascii="CMCSC10" w:hAnsi="CMCSC10"/>
          <w:b/>
          <w:bCs/>
          <w:noProof/>
          <w:color w:val="1481AB" w:themeColor="accent1" w:themeShade="BF"/>
          <w:sz w:val="40"/>
          <w:szCs w:val="40"/>
        </w:rPr>
        <w:drawing>
          <wp:inline distT="0" distB="0" distL="0" distR="0" wp14:anchorId="2173FA71" wp14:editId="10C12D02">
            <wp:extent cx="2394958" cy="1258289"/>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2394958" cy="1258289"/>
                    </a:xfrm>
                    <a:prstGeom prst="rect">
                      <a:avLst/>
                    </a:prstGeom>
                    <a:noFill/>
                    <a:ln>
                      <a:noFill/>
                    </a:ln>
                  </pic:spPr>
                </pic:pic>
              </a:graphicData>
            </a:graphic>
          </wp:inline>
        </w:drawing>
      </w:r>
      <w:r>
        <w:rPr>
          <w:rFonts w:ascii="CMCSC10" w:hAnsi="CMCSC10"/>
          <w:b/>
          <w:bCs/>
          <w:noProof/>
          <w:color w:val="1481AB" w:themeColor="accent1" w:themeShade="BF"/>
          <w:sz w:val="40"/>
          <w:szCs w:val="40"/>
        </w:rPr>
        <w:drawing>
          <wp:inline distT="0" distB="0" distL="0" distR="0" wp14:anchorId="32D7AD1E" wp14:editId="621E1C38">
            <wp:extent cx="2477712" cy="12966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91158" cy="1303707"/>
                    </a:xfrm>
                    <a:prstGeom prst="rect">
                      <a:avLst/>
                    </a:prstGeom>
                    <a:noFill/>
                    <a:ln>
                      <a:noFill/>
                    </a:ln>
                  </pic:spPr>
                </pic:pic>
              </a:graphicData>
            </a:graphic>
          </wp:inline>
        </w:drawing>
      </w:r>
    </w:p>
    <w:p w14:paraId="3D11DF53" w14:textId="71B14FFC" w:rsidR="007E2C80" w:rsidRPr="00B841AB" w:rsidRDefault="00E17A4B" w:rsidP="007E2C80">
      <w:pPr>
        <w:ind w:firstLine="720"/>
        <w:jc w:val="center"/>
        <w:rPr>
          <w:rFonts w:ascii="CMCSC10" w:hAnsi="CMCSC10"/>
          <w:color w:val="000000" w:themeColor="text1"/>
          <w:sz w:val="36"/>
          <w:szCs w:val="36"/>
          <w:u w:val="single"/>
        </w:rPr>
      </w:pPr>
      <w:r w:rsidRPr="00B841AB">
        <w:rPr>
          <w:rFonts w:ascii="CMCSC10" w:hAnsi="CMCSC10"/>
          <w:color w:val="000000" w:themeColor="text1"/>
          <w:sz w:val="36"/>
          <w:szCs w:val="36"/>
          <w:u w:val="single"/>
        </w:rPr>
        <w:t xml:space="preserve">Comparison of </w:t>
      </w:r>
      <w:r>
        <w:rPr>
          <w:rFonts w:ascii="CMCSC10" w:hAnsi="CMCSC10"/>
          <w:b/>
          <w:bCs/>
          <w:color w:val="000000" w:themeColor="text1"/>
          <w:sz w:val="36"/>
          <w:szCs w:val="36"/>
          <w:u w:val="single"/>
        </w:rPr>
        <w:t>Month</w:t>
      </w:r>
      <w:r w:rsidRPr="00FE1794">
        <w:rPr>
          <w:rFonts w:ascii="CMCSC10" w:hAnsi="CMCSC10"/>
          <w:b/>
          <w:bCs/>
          <w:color w:val="000000" w:themeColor="text1"/>
          <w:sz w:val="36"/>
          <w:szCs w:val="36"/>
          <w:u w:val="single"/>
        </w:rPr>
        <w:t>ly</w:t>
      </w:r>
      <w:r>
        <w:rPr>
          <w:rFonts w:ascii="CMCSC10" w:hAnsi="CMCSC10"/>
          <w:color w:val="000000" w:themeColor="text1"/>
          <w:sz w:val="36"/>
          <w:szCs w:val="36"/>
          <w:u w:val="single"/>
        </w:rPr>
        <w:t xml:space="preserve"> Risk-Unadjusted and</w:t>
      </w:r>
      <w:r w:rsidRPr="00B841AB">
        <w:rPr>
          <w:rFonts w:ascii="CMCSC10" w:hAnsi="CMCSC10"/>
          <w:color w:val="000000" w:themeColor="text1"/>
          <w:sz w:val="36"/>
          <w:szCs w:val="36"/>
          <w:u w:val="single"/>
        </w:rPr>
        <w:t xml:space="preserve"> </w:t>
      </w:r>
      <w:r w:rsidRPr="00FE1794">
        <w:rPr>
          <w:rFonts w:ascii="CMCSC10" w:hAnsi="CMCSC10"/>
          <w:color w:val="000000" w:themeColor="text1"/>
          <w:sz w:val="36"/>
          <w:szCs w:val="36"/>
          <w:u w:val="single"/>
        </w:rPr>
        <w:t>Risk- Adjusted</w:t>
      </w:r>
      <w:r w:rsidRPr="00B841AB">
        <w:rPr>
          <w:rFonts w:ascii="CMCSC10" w:hAnsi="CMCSC10"/>
          <w:b/>
          <w:bCs/>
          <w:color w:val="000000" w:themeColor="text1"/>
          <w:sz w:val="36"/>
          <w:szCs w:val="36"/>
          <w:u w:val="single"/>
        </w:rPr>
        <w:t xml:space="preserve"> </w:t>
      </w:r>
      <w:r w:rsidRPr="00B841AB">
        <w:rPr>
          <w:rFonts w:ascii="CMCSC10" w:hAnsi="CMCSC10"/>
          <w:color w:val="000000" w:themeColor="text1"/>
          <w:sz w:val="36"/>
          <w:szCs w:val="36"/>
          <w:u w:val="single"/>
        </w:rPr>
        <w:t>Returns</w:t>
      </w:r>
      <w:r>
        <w:rPr>
          <w:rFonts w:ascii="CMCSC10" w:hAnsi="CMCSC10"/>
          <w:color w:val="000000" w:themeColor="text1"/>
          <w:sz w:val="36"/>
          <w:szCs w:val="36"/>
          <w:u w:val="single"/>
        </w:rPr>
        <w:t xml:space="preserve"> for </w:t>
      </w:r>
      <w:r w:rsidRPr="00C4149A">
        <w:rPr>
          <w:rFonts w:ascii="CMCSC10" w:hAnsi="CMCSC10"/>
          <w:b/>
          <w:bCs/>
          <w:color w:val="000000" w:themeColor="text1"/>
          <w:sz w:val="36"/>
          <w:szCs w:val="36"/>
          <w:u w:val="single"/>
        </w:rPr>
        <w:t>Near</w:t>
      </w:r>
      <w:r>
        <w:rPr>
          <w:rFonts w:ascii="CMCSC10" w:hAnsi="CMCSC10"/>
          <w:color w:val="000000" w:themeColor="text1"/>
          <w:sz w:val="36"/>
          <w:szCs w:val="36"/>
          <w:u w:val="single"/>
        </w:rPr>
        <w:t xml:space="preserve"> Month Frequency</w:t>
      </w:r>
      <w:r w:rsidRPr="00B841AB">
        <w:rPr>
          <w:rFonts w:ascii="CMCSC10" w:hAnsi="CMCSC10"/>
          <w:color w:val="000000" w:themeColor="text1"/>
          <w:sz w:val="36"/>
          <w:szCs w:val="36"/>
          <w:u w:val="single"/>
        </w:rPr>
        <w:t xml:space="preserve"> </w:t>
      </w:r>
    </w:p>
    <w:p w14:paraId="596D9000" w14:textId="77777777" w:rsidR="009C5B64" w:rsidRDefault="009C5B64" w:rsidP="00A74BFA">
      <w:pPr>
        <w:rPr>
          <w:rFonts w:ascii="CMCSC10" w:hAnsi="CMCSC10"/>
          <w:color w:val="1481AB" w:themeColor="accent1" w:themeShade="BF"/>
          <w:sz w:val="36"/>
          <w:szCs w:val="32"/>
        </w:rPr>
      </w:pPr>
    </w:p>
    <w:p w14:paraId="4C834F6E" w14:textId="53F0D6CE" w:rsidR="00A74BFA" w:rsidRDefault="00A74BFA" w:rsidP="00A74BFA">
      <w:pPr>
        <w:rPr>
          <w:rFonts w:ascii="CMCSC10" w:hAnsi="CMCSC10"/>
          <w:color w:val="1481AB" w:themeColor="accent1" w:themeShade="BF"/>
          <w:sz w:val="36"/>
          <w:szCs w:val="32"/>
        </w:rPr>
      </w:pPr>
      <w:r>
        <w:rPr>
          <w:rFonts w:ascii="CMCSC10" w:hAnsi="CMCSC10"/>
          <w:color w:val="1481AB" w:themeColor="accent1" w:themeShade="BF"/>
          <w:sz w:val="36"/>
          <w:szCs w:val="32"/>
        </w:rPr>
        <w:lastRenderedPageBreak/>
        <w:t xml:space="preserve">8.2 Next Month </w:t>
      </w:r>
      <w:r w:rsidR="00C7566B">
        <w:rPr>
          <w:rFonts w:ascii="CMCSC10" w:hAnsi="CMCSC10"/>
          <w:color w:val="1481AB" w:themeColor="accent1" w:themeShade="BF"/>
          <w:sz w:val="36"/>
          <w:szCs w:val="32"/>
        </w:rPr>
        <w:t>Analysis</w:t>
      </w:r>
    </w:p>
    <w:p w14:paraId="3C3FB00C" w14:textId="3F35719D" w:rsidR="006D14AD" w:rsidRDefault="006D14AD" w:rsidP="00A74BFA">
      <w:pPr>
        <w:rPr>
          <w:rFonts w:ascii="CMCSC10" w:hAnsi="CMCSC10"/>
          <w:color w:val="1481AB" w:themeColor="accent1" w:themeShade="BF"/>
          <w:sz w:val="36"/>
          <w:szCs w:val="32"/>
        </w:rPr>
      </w:pPr>
      <w:r>
        <w:rPr>
          <w:rFonts w:ascii="CMCSC10" w:hAnsi="CMCSC10"/>
          <w:sz w:val="36"/>
          <w:szCs w:val="36"/>
        </w:rPr>
        <w:t>Sharpe Ratio Calculations:</w:t>
      </w:r>
    </w:p>
    <w:tbl>
      <w:tblPr>
        <w:tblW w:w="7958" w:type="dxa"/>
        <w:jc w:val="center"/>
        <w:tblLook w:val="04A0" w:firstRow="1" w:lastRow="0" w:firstColumn="1" w:lastColumn="0" w:noHBand="0" w:noVBand="1"/>
      </w:tblPr>
      <w:tblGrid>
        <w:gridCol w:w="4418"/>
        <w:gridCol w:w="1140"/>
        <w:gridCol w:w="1140"/>
        <w:gridCol w:w="1260"/>
      </w:tblGrid>
      <w:tr w:rsidR="001926F7" w:rsidRPr="001926F7" w14:paraId="3AD8C166" w14:textId="77777777" w:rsidTr="001926F7">
        <w:trPr>
          <w:trHeight w:val="367"/>
          <w:jc w:val="center"/>
        </w:trPr>
        <w:tc>
          <w:tcPr>
            <w:tcW w:w="4418" w:type="dxa"/>
            <w:tcBorders>
              <w:top w:val="single" w:sz="4" w:space="0" w:color="9BC2E6"/>
              <w:left w:val="single" w:sz="4" w:space="0" w:color="9BC2E6"/>
              <w:bottom w:val="single" w:sz="4" w:space="0" w:color="9BC2E6"/>
              <w:right w:val="nil"/>
            </w:tcBorders>
            <w:shd w:val="clear" w:color="5B9BD5" w:fill="5B9BD5"/>
            <w:noWrap/>
            <w:vAlign w:val="bottom"/>
            <w:hideMark/>
          </w:tcPr>
          <w:p w14:paraId="539F575E" w14:textId="77777777" w:rsidR="001926F7" w:rsidRPr="001926F7" w:rsidRDefault="001926F7" w:rsidP="001926F7">
            <w:pPr>
              <w:spacing w:after="0" w:line="240" w:lineRule="auto"/>
              <w:jc w:val="center"/>
              <w:rPr>
                <w:rFonts w:ascii="Calibri" w:eastAsia="Times New Roman" w:hAnsi="Calibri" w:cs="Times New Roman"/>
                <w:b/>
                <w:bCs/>
                <w:color w:val="FFFFFF"/>
                <w:sz w:val="22"/>
                <w:szCs w:val="22"/>
                <w:lang w:eastAsia="en-IN"/>
              </w:rPr>
            </w:pPr>
            <w:r w:rsidRPr="001926F7">
              <w:rPr>
                <w:rFonts w:ascii="Calibri" w:eastAsia="Times New Roman" w:hAnsi="Calibri" w:cs="Times New Roman"/>
                <w:b/>
                <w:bCs/>
                <w:color w:val="FFFFFF"/>
                <w:sz w:val="22"/>
                <w:szCs w:val="22"/>
                <w:lang w:eastAsia="en-IN"/>
              </w:rPr>
              <w:t>Next Month</w:t>
            </w:r>
          </w:p>
        </w:tc>
        <w:tc>
          <w:tcPr>
            <w:tcW w:w="1140" w:type="dxa"/>
            <w:tcBorders>
              <w:top w:val="single" w:sz="4" w:space="0" w:color="9BC2E6"/>
              <w:left w:val="nil"/>
              <w:bottom w:val="single" w:sz="4" w:space="0" w:color="9BC2E6"/>
              <w:right w:val="nil"/>
            </w:tcBorders>
            <w:shd w:val="clear" w:color="5B9BD5" w:fill="5B9BD5"/>
            <w:noWrap/>
            <w:vAlign w:val="bottom"/>
            <w:hideMark/>
          </w:tcPr>
          <w:p w14:paraId="22E781B3" w14:textId="77777777" w:rsidR="001926F7" w:rsidRPr="001926F7" w:rsidRDefault="001926F7" w:rsidP="001926F7">
            <w:pPr>
              <w:spacing w:after="0" w:line="240" w:lineRule="auto"/>
              <w:rPr>
                <w:rFonts w:ascii="Calibri" w:eastAsia="Times New Roman" w:hAnsi="Calibri" w:cs="Times New Roman"/>
                <w:b/>
                <w:bCs/>
                <w:color w:val="FFFFFF"/>
                <w:sz w:val="22"/>
                <w:szCs w:val="22"/>
                <w:lang w:eastAsia="en-IN"/>
              </w:rPr>
            </w:pPr>
            <w:r w:rsidRPr="001926F7">
              <w:rPr>
                <w:rFonts w:ascii="Calibri" w:eastAsia="Times New Roman" w:hAnsi="Calibri" w:cs="Times New Roman"/>
                <w:b/>
                <w:bCs/>
                <w:color w:val="FFFFFF"/>
                <w:sz w:val="22"/>
                <w:szCs w:val="22"/>
                <w:lang w:eastAsia="en-IN"/>
              </w:rPr>
              <w:t>Daily</w:t>
            </w:r>
          </w:p>
        </w:tc>
        <w:tc>
          <w:tcPr>
            <w:tcW w:w="1140" w:type="dxa"/>
            <w:tcBorders>
              <w:top w:val="single" w:sz="4" w:space="0" w:color="9BC2E6"/>
              <w:left w:val="nil"/>
              <w:bottom w:val="single" w:sz="4" w:space="0" w:color="9BC2E6"/>
              <w:right w:val="nil"/>
            </w:tcBorders>
            <w:shd w:val="clear" w:color="5B9BD5" w:fill="5B9BD5"/>
            <w:noWrap/>
            <w:vAlign w:val="bottom"/>
            <w:hideMark/>
          </w:tcPr>
          <w:p w14:paraId="26676D9F" w14:textId="77777777" w:rsidR="001926F7" w:rsidRPr="001926F7" w:rsidRDefault="001926F7" w:rsidP="001926F7">
            <w:pPr>
              <w:spacing w:after="0" w:line="240" w:lineRule="auto"/>
              <w:rPr>
                <w:rFonts w:ascii="Calibri" w:eastAsia="Times New Roman" w:hAnsi="Calibri" w:cs="Times New Roman"/>
                <w:b/>
                <w:bCs/>
                <w:color w:val="FFFFFF"/>
                <w:sz w:val="22"/>
                <w:szCs w:val="22"/>
                <w:lang w:eastAsia="en-IN"/>
              </w:rPr>
            </w:pPr>
            <w:r w:rsidRPr="001926F7">
              <w:rPr>
                <w:rFonts w:ascii="Calibri" w:eastAsia="Times New Roman" w:hAnsi="Calibri" w:cs="Times New Roman"/>
                <w:b/>
                <w:bCs/>
                <w:color w:val="FFFFFF"/>
                <w:sz w:val="22"/>
                <w:szCs w:val="22"/>
                <w:lang w:eastAsia="en-IN"/>
              </w:rPr>
              <w:t>Weekly</w:t>
            </w:r>
          </w:p>
        </w:tc>
        <w:tc>
          <w:tcPr>
            <w:tcW w:w="1260" w:type="dxa"/>
            <w:tcBorders>
              <w:top w:val="single" w:sz="4" w:space="0" w:color="9BC2E6"/>
              <w:left w:val="nil"/>
              <w:bottom w:val="single" w:sz="4" w:space="0" w:color="9BC2E6"/>
              <w:right w:val="single" w:sz="4" w:space="0" w:color="9BC2E6"/>
            </w:tcBorders>
            <w:shd w:val="clear" w:color="5B9BD5" w:fill="5B9BD5"/>
            <w:noWrap/>
            <w:vAlign w:val="bottom"/>
            <w:hideMark/>
          </w:tcPr>
          <w:p w14:paraId="68E52C13" w14:textId="77777777" w:rsidR="001926F7" w:rsidRPr="001926F7" w:rsidRDefault="001926F7" w:rsidP="001926F7">
            <w:pPr>
              <w:spacing w:after="0" w:line="240" w:lineRule="auto"/>
              <w:rPr>
                <w:rFonts w:ascii="Calibri" w:eastAsia="Times New Roman" w:hAnsi="Calibri" w:cs="Times New Roman"/>
                <w:b/>
                <w:bCs/>
                <w:color w:val="FFFFFF"/>
                <w:sz w:val="22"/>
                <w:szCs w:val="22"/>
                <w:lang w:eastAsia="en-IN"/>
              </w:rPr>
            </w:pPr>
            <w:r w:rsidRPr="001926F7">
              <w:rPr>
                <w:rFonts w:ascii="Calibri" w:eastAsia="Times New Roman" w:hAnsi="Calibri" w:cs="Times New Roman"/>
                <w:b/>
                <w:bCs/>
                <w:color w:val="FFFFFF"/>
                <w:sz w:val="22"/>
                <w:szCs w:val="22"/>
                <w:lang w:eastAsia="en-IN"/>
              </w:rPr>
              <w:t>Monthly</w:t>
            </w:r>
          </w:p>
        </w:tc>
      </w:tr>
      <w:tr w:rsidR="001926F7" w:rsidRPr="001926F7" w14:paraId="66E4569B" w14:textId="77777777" w:rsidTr="001926F7">
        <w:trPr>
          <w:trHeight w:val="367"/>
          <w:jc w:val="center"/>
        </w:trPr>
        <w:tc>
          <w:tcPr>
            <w:tcW w:w="4418" w:type="dxa"/>
            <w:tcBorders>
              <w:top w:val="single" w:sz="4" w:space="0" w:color="9BC2E6"/>
              <w:left w:val="single" w:sz="4" w:space="0" w:color="9BC2E6"/>
              <w:bottom w:val="single" w:sz="4" w:space="0" w:color="9BC2E6"/>
              <w:right w:val="nil"/>
            </w:tcBorders>
            <w:shd w:val="clear" w:color="DDEBF7" w:fill="DDEBF7"/>
            <w:noWrap/>
            <w:vAlign w:val="bottom"/>
            <w:hideMark/>
          </w:tcPr>
          <w:p w14:paraId="2880407F" w14:textId="77777777" w:rsidR="001926F7" w:rsidRPr="001926F7" w:rsidRDefault="001926F7" w:rsidP="001926F7">
            <w:pPr>
              <w:spacing w:after="0" w:line="240" w:lineRule="auto"/>
              <w:rPr>
                <w:rFonts w:ascii="Calibri" w:eastAsia="Times New Roman" w:hAnsi="Calibri" w:cs="Times New Roman"/>
                <w:color w:val="000000"/>
                <w:sz w:val="22"/>
                <w:szCs w:val="22"/>
                <w:lang w:eastAsia="en-IN"/>
              </w:rPr>
            </w:pPr>
            <w:r w:rsidRPr="001926F7">
              <w:rPr>
                <w:rFonts w:ascii="Calibri" w:eastAsia="Times New Roman" w:hAnsi="Calibri" w:cs="Times New Roman"/>
                <w:color w:val="000000"/>
                <w:sz w:val="22"/>
                <w:szCs w:val="22"/>
                <w:lang w:eastAsia="en-IN"/>
              </w:rPr>
              <w:t>Mean of Excess Return</w:t>
            </w:r>
          </w:p>
        </w:tc>
        <w:tc>
          <w:tcPr>
            <w:tcW w:w="1140" w:type="dxa"/>
            <w:tcBorders>
              <w:top w:val="single" w:sz="4" w:space="0" w:color="9BC2E6"/>
              <w:left w:val="nil"/>
              <w:bottom w:val="single" w:sz="4" w:space="0" w:color="9BC2E6"/>
              <w:right w:val="nil"/>
            </w:tcBorders>
            <w:shd w:val="clear" w:color="DDEBF7" w:fill="DDEBF7"/>
            <w:noWrap/>
            <w:vAlign w:val="bottom"/>
            <w:hideMark/>
          </w:tcPr>
          <w:p w14:paraId="5B3704D4" w14:textId="77777777" w:rsidR="001926F7" w:rsidRPr="001926F7" w:rsidRDefault="001926F7" w:rsidP="001926F7">
            <w:pPr>
              <w:spacing w:after="0" w:line="240" w:lineRule="auto"/>
              <w:jc w:val="right"/>
              <w:rPr>
                <w:rFonts w:ascii="Calibri" w:eastAsia="Times New Roman" w:hAnsi="Calibri" w:cs="Times New Roman"/>
                <w:color w:val="000000"/>
                <w:sz w:val="22"/>
                <w:szCs w:val="22"/>
                <w:lang w:eastAsia="en-IN"/>
              </w:rPr>
            </w:pPr>
            <w:r w:rsidRPr="001926F7">
              <w:rPr>
                <w:rFonts w:ascii="Calibri" w:eastAsia="Times New Roman" w:hAnsi="Calibri" w:cs="Times New Roman"/>
                <w:color w:val="000000"/>
                <w:sz w:val="22"/>
                <w:szCs w:val="22"/>
                <w:lang w:eastAsia="en-IN"/>
              </w:rPr>
              <w:t>0.185</w:t>
            </w:r>
          </w:p>
        </w:tc>
        <w:tc>
          <w:tcPr>
            <w:tcW w:w="1140" w:type="dxa"/>
            <w:tcBorders>
              <w:top w:val="single" w:sz="4" w:space="0" w:color="9BC2E6"/>
              <w:left w:val="nil"/>
              <w:bottom w:val="single" w:sz="4" w:space="0" w:color="9BC2E6"/>
              <w:right w:val="nil"/>
            </w:tcBorders>
            <w:shd w:val="clear" w:color="DDEBF7" w:fill="DDEBF7"/>
            <w:noWrap/>
            <w:vAlign w:val="bottom"/>
            <w:hideMark/>
          </w:tcPr>
          <w:p w14:paraId="68C117CC" w14:textId="77777777" w:rsidR="001926F7" w:rsidRPr="001926F7" w:rsidRDefault="001926F7" w:rsidP="001926F7">
            <w:pPr>
              <w:spacing w:after="0" w:line="240" w:lineRule="auto"/>
              <w:jc w:val="right"/>
              <w:rPr>
                <w:rFonts w:ascii="Calibri" w:eastAsia="Times New Roman" w:hAnsi="Calibri" w:cs="Times New Roman"/>
                <w:color w:val="000000"/>
                <w:sz w:val="22"/>
                <w:szCs w:val="22"/>
                <w:lang w:eastAsia="en-IN"/>
              </w:rPr>
            </w:pPr>
            <w:r w:rsidRPr="001926F7">
              <w:rPr>
                <w:rFonts w:ascii="Calibri" w:eastAsia="Times New Roman" w:hAnsi="Calibri" w:cs="Times New Roman"/>
                <w:color w:val="000000"/>
                <w:sz w:val="22"/>
                <w:szCs w:val="22"/>
                <w:lang w:eastAsia="en-IN"/>
              </w:rPr>
              <w:t>0.576</w:t>
            </w:r>
          </w:p>
        </w:tc>
        <w:tc>
          <w:tcPr>
            <w:tcW w:w="1260" w:type="dxa"/>
            <w:tcBorders>
              <w:top w:val="single" w:sz="4" w:space="0" w:color="9BC2E6"/>
              <w:left w:val="nil"/>
              <w:bottom w:val="single" w:sz="4" w:space="0" w:color="9BC2E6"/>
              <w:right w:val="single" w:sz="4" w:space="0" w:color="9BC2E6"/>
            </w:tcBorders>
            <w:shd w:val="clear" w:color="DDEBF7" w:fill="DDEBF7"/>
            <w:noWrap/>
            <w:vAlign w:val="bottom"/>
            <w:hideMark/>
          </w:tcPr>
          <w:p w14:paraId="52BAE4B2" w14:textId="77777777" w:rsidR="001926F7" w:rsidRPr="001926F7" w:rsidRDefault="001926F7" w:rsidP="001926F7">
            <w:pPr>
              <w:spacing w:after="0" w:line="240" w:lineRule="auto"/>
              <w:jc w:val="right"/>
              <w:rPr>
                <w:rFonts w:ascii="Calibri" w:eastAsia="Times New Roman" w:hAnsi="Calibri" w:cs="Times New Roman"/>
                <w:color w:val="000000"/>
                <w:sz w:val="22"/>
                <w:szCs w:val="22"/>
                <w:lang w:eastAsia="en-IN"/>
              </w:rPr>
            </w:pPr>
            <w:r w:rsidRPr="001926F7">
              <w:rPr>
                <w:rFonts w:ascii="Calibri" w:eastAsia="Times New Roman" w:hAnsi="Calibri" w:cs="Times New Roman"/>
                <w:color w:val="000000"/>
                <w:sz w:val="22"/>
                <w:szCs w:val="22"/>
                <w:lang w:eastAsia="en-IN"/>
              </w:rPr>
              <w:t>3.299</w:t>
            </w:r>
          </w:p>
        </w:tc>
      </w:tr>
      <w:tr w:rsidR="001926F7" w:rsidRPr="001926F7" w14:paraId="6122E34B" w14:textId="77777777" w:rsidTr="001926F7">
        <w:trPr>
          <w:trHeight w:val="367"/>
          <w:jc w:val="center"/>
        </w:trPr>
        <w:tc>
          <w:tcPr>
            <w:tcW w:w="4418" w:type="dxa"/>
            <w:tcBorders>
              <w:top w:val="single" w:sz="4" w:space="0" w:color="9BC2E6"/>
              <w:left w:val="single" w:sz="4" w:space="0" w:color="9BC2E6"/>
              <w:bottom w:val="single" w:sz="4" w:space="0" w:color="9BC2E6"/>
              <w:right w:val="nil"/>
            </w:tcBorders>
            <w:shd w:val="clear" w:color="auto" w:fill="auto"/>
            <w:noWrap/>
            <w:vAlign w:val="bottom"/>
            <w:hideMark/>
          </w:tcPr>
          <w:p w14:paraId="60DB5F42" w14:textId="77777777" w:rsidR="001926F7" w:rsidRPr="001926F7" w:rsidRDefault="001926F7" w:rsidP="001926F7">
            <w:pPr>
              <w:spacing w:after="0" w:line="240" w:lineRule="auto"/>
              <w:rPr>
                <w:rFonts w:ascii="Calibri" w:eastAsia="Times New Roman" w:hAnsi="Calibri" w:cs="Times New Roman"/>
                <w:color w:val="000000"/>
                <w:sz w:val="22"/>
                <w:szCs w:val="22"/>
                <w:lang w:eastAsia="en-IN"/>
              </w:rPr>
            </w:pPr>
            <w:r w:rsidRPr="001926F7">
              <w:rPr>
                <w:rFonts w:ascii="Calibri" w:eastAsia="Times New Roman" w:hAnsi="Calibri" w:cs="Times New Roman"/>
                <w:color w:val="000000"/>
                <w:sz w:val="22"/>
                <w:szCs w:val="22"/>
                <w:lang w:eastAsia="en-IN"/>
              </w:rPr>
              <w:t>Standard Deviation of Unadjusted Returns</w:t>
            </w:r>
          </w:p>
        </w:tc>
        <w:tc>
          <w:tcPr>
            <w:tcW w:w="1140" w:type="dxa"/>
            <w:tcBorders>
              <w:top w:val="single" w:sz="4" w:space="0" w:color="9BC2E6"/>
              <w:left w:val="nil"/>
              <w:bottom w:val="single" w:sz="4" w:space="0" w:color="9BC2E6"/>
              <w:right w:val="nil"/>
            </w:tcBorders>
            <w:shd w:val="clear" w:color="auto" w:fill="auto"/>
            <w:noWrap/>
            <w:vAlign w:val="bottom"/>
            <w:hideMark/>
          </w:tcPr>
          <w:p w14:paraId="5AE256D8" w14:textId="77777777" w:rsidR="001926F7" w:rsidRPr="001926F7" w:rsidRDefault="001926F7" w:rsidP="001926F7">
            <w:pPr>
              <w:spacing w:after="0" w:line="240" w:lineRule="auto"/>
              <w:jc w:val="right"/>
              <w:rPr>
                <w:rFonts w:ascii="Calibri" w:eastAsia="Times New Roman" w:hAnsi="Calibri" w:cs="Times New Roman"/>
                <w:color w:val="000000"/>
                <w:sz w:val="22"/>
                <w:szCs w:val="22"/>
                <w:lang w:eastAsia="en-IN"/>
              </w:rPr>
            </w:pPr>
            <w:r w:rsidRPr="001926F7">
              <w:rPr>
                <w:rFonts w:ascii="Calibri" w:eastAsia="Times New Roman" w:hAnsi="Calibri" w:cs="Times New Roman"/>
                <w:color w:val="000000"/>
                <w:sz w:val="22"/>
                <w:szCs w:val="22"/>
                <w:lang w:eastAsia="en-IN"/>
              </w:rPr>
              <w:t>2.024</w:t>
            </w:r>
          </w:p>
        </w:tc>
        <w:tc>
          <w:tcPr>
            <w:tcW w:w="1140" w:type="dxa"/>
            <w:tcBorders>
              <w:top w:val="single" w:sz="4" w:space="0" w:color="9BC2E6"/>
              <w:left w:val="nil"/>
              <w:bottom w:val="single" w:sz="4" w:space="0" w:color="9BC2E6"/>
              <w:right w:val="nil"/>
            </w:tcBorders>
            <w:shd w:val="clear" w:color="auto" w:fill="auto"/>
            <w:noWrap/>
            <w:vAlign w:val="bottom"/>
            <w:hideMark/>
          </w:tcPr>
          <w:p w14:paraId="382A7D94" w14:textId="77777777" w:rsidR="001926F7" w:rsidRPr="001926F7" w:rsidRDefault="001926F7" w:rsidP="001926F7">
            <w:pPr>
              <w:spacing w:after="0" w:line="240" w:lineRule="auto"/>
              <w:jc w:val="right"/>
              <w:rPr>
                <w:rFonts w:ascii="Calibri" w:eastAsia="Times New Roman" w:hAnsi="Calibri" w:cs="Times New Roman"/>
                <w:color w:val="000000"/>
                <w:sz w:val="22"/>
                <w:szCs w:val="22"/>
                <w:lang w:eastAsia="en-IN"/>
              </w:rPr>
            </w:pPr>
            <w:r w:rsidRPr="001926F7">
              <w:rPr>
                <w:rFonts w:ascii="Calibri" w:eastAsia="Times New Roman" w:hAnsi="Calibri" w:cs="Times New Roman"/>
                <w:color w:val="000000"/>
                <w:sz w:val="22"/>
                <w:szCs w:val="22"/>
                <w:lang w:eastAsia="en-IN"/>
              </w:rPr>
              <w:t>3.5913</w:t>
            </w:r>
          </w:p>
        </w:tc>
        <w:tc>
          <w:tcPr>
            <w:tcW w:w="1260" w:type="dxa"/>
            <w:tcBorders>
              <w:top w:val="single" w:sz="4" w:space="0" w:color="9BC2E6"/>
              <w:left w:val="nil"/>
              <w:bottom w:val="single" w:sz="4" w:space="0" w:color="9BC2E6"/>
              <w:right w:val="single" w:sz="4" w:space="0" w:color="9BC2E6"/>
            </w:tcBorders>
            <w:shd w:val="clear" w:color="auto" w:fill="auto"/>
            <w:noWrap/>
            <w:vAlign w:val="bottom"/>
            <w:hideMark/>
          </w:tcPr>
          <w:p w14:paraId="512059D3" w14:textId="77777777" w:rsidR="001926F7" w:rsidRPr="001926F7" w:rsidRDefault="001926F7" w:rsidP="001926F7">
            <w:pPr>
              <w:spacing w:after="0" w:line="240" w:lineRule="auto"/>
              <w:jc w:val="right"/>
              <w:rPr>
                <w:rFonts w:ascii="Calibri" w:eastAsia="Times New Roman" w:hAnsi="Calibri" w:cs="Times New Roman"/>
                <w:color w:val="000000"/>
                <w:sz w:val="22"/>
                <w:szCs w:val="22"/>
                <w:lang w:eastAsia="en-IN"/>
              </w:rPr>
            </w:pPr>
            <w:r w:rsidRPr="001926F7">
              <w:rPr>
                <w:rFonts w:ascii="Calibri" w:eastAsia="Times New Roman" w:hAnsi="Calibri" w:cs="Times New Roman"/>
                <w:color w:val="000000"/>
                <w:sz w:val="22"/>
                <w:szCs w:val="22"/>
                <w:lang w:eastAsia="en-IN"/>
              </w:rPr>
              <w:t>4.0166</w:t>
            </w:r>
          </w:p>
        </w:tc>
      </w:tr>
      <w:tr w:rsidR="001926F7" w:rsidRPr="001926F7" w14:paraId="4F61A85F" w14:textId="77777777" w:rsidTr="001926F7">
        <w:trPr>
          <w:trHeight w:val="367"/>
          <w:jc w:val="center"/>
        </w:trPr>
        <w:tc>
          <w:tcPr>
            <w:tcW w:w="4418" w:type="dxa"/>
            <w:tcBorders>
              <w:top w:val="single" w:sz="4" w:space="0" w:color="9BC2E6"/>
              <w:left w:val="single" w:sz="4" w:space="0" w:color="9BC2E6"/>
              <w:bottom w:val="single" w:sz="4" w:space="0" w:color="9BC2E6"/>
              <w:right w:val="nil"/>
            </w:tcBorders>
            <w:shd w:val="clear" w:color="DDEBF7" w:fill="DDEBF7"/>
            <w:noWrap/>
            <w:vAlign w:val="bottom"/>
            <w:hideMark/>
          </w:tcPr>
          <w:p w14:paraId="1276A6D1" w14:textId="77777777" w:rsidR="001926F7" w:rsidRPr="001926F7" w:rsidRDefault="001926F7" w:rsidP="001926F7">
            <w:pPr>
              <w:spacing w:after="0" w:line="240" w:lineRule="auto"/>
              <w:rPr>
                <w:rFonts w:ascii="Calibri" w:eastAsia="Times New Roman" w:hAnsi="Calibri" w:cs="Times New Roman"/>
                <w:color w:val="000000"/>
                <w:sz w:val="22"/>
                <w:szCs w:val="22"/>
                <w:lang w:eastAsia="en-IN"/>
              </w:rPr>
            </w:pPr>
            <w:r w:rsidRPr="001926F7">
              <w:rPr>
                <w:rFonts w:ascii="Calibri" w:eastAsia="Times New Roman" w:hAnsi="Calibri" w:cs="Times New Roman"/>
                <w:color w:val="000000"/>
                <w:sz w:val="22"/>
                <w:szCs w:val="22"/>
                <w:lang w:eastAsia="en-IN"/>
              </w:rPr>
              <w:t>Sharpe Ratio</w:t>
            </w:r>
          </w:p>
        </w:tc>
        <w:tc>
          <w:tcPr>
            <w:tcW w:w="1140" w:type="dxa"/>
            <w:tcBorders>
              <w:top w:val="single" w:sz="4" w:space="0" w:color="9BC2E6"/>
              <w:left w:val="nil"/>
              <w:bottom w:val="single" w:sz="4" w:space="0" w:color="9BC2E6"/>
              <w:right w:val="nil"/>
            </w:tcBorders>
            <w:shd w:val="clear" w:color="DDEBF7" w:fill="F8696B"/>
            <w:noWrap/>
            <w:vAlign w:val="bottom"/>
            <w:hideMark/>
          </w:tcPr>
          <w:p w14:paraId="6CEA48FC" w14:textId="77777777" w:rsidR="001926F7" w:rsidRPr="001926F7" w:rsidRDefault="001926F7" w:rsidP="001926F7">
            <w:pPr>
              <w:spacing w:after="0" w:line="240" w:lineRule="auto"/>
              <w:jc w:val="right"/>
              <w:rPr>
                <w:rFonts w:ascii="Calibri" w:eastAsia="Times New Roman" w:hAnsi="Calibri" w:cs="Times New Roman"/>
                <w:color w:val="000000"/>
                <w:sz w:val="22"/>
                <w:szCs w:val="22"/>
                <w:lang w:eastAsia="en-IN"/>
              </w:rPr>
            </w:pPr>
            <w:r w:rsidRPr="001926F7">
              <w:rPr>
                <w:rFonts w:ascii="Calibri" w:eastAsia="Times New Roman" w:hAnsi="Calibri" w:cs="Times New Roman"/>
                <w:color w:val="000000"/>
                <w:sz w:val="22"/>
                <w:szCs w:val="22"/>
                <w:lang w:eastAsia="en-IN"/>
              </w:rPr>
              <w:t>0.091403</w:t>
            </w:r>
          </w:p>
        </w:tc>
        <w:tc>
          <w:tcPr>
            <w:tcW w:w="1140" w:type="dxa"/>
            <w:tcBorders>
              <w:top w:val="single" w:sz="4" w:space="0" w:color="9BC2E6"/>
              <w:left w:val="nil"/>
              <w:bottom w:val="single" w:sz="4" w:space="0" w:color="9BC2E6"/>
              <w:right w:val="nil"/>
            </w:tcBorders>
            <w:shd w:val="clear" w:color="DDEBF7" w:fill="FCFCFF"/>
            <w:noWrap/>
            <w:vAlign w:val="bottom"/>
            <w:hideMark/>
          </w:tcPr>
          <w:p w14:paraId="72FEDA10" w14:textId="77777777" w:rsidR="001926F7" w:rsidRPr="001926F7" w:rsidRDefault="001926F7" w:rsidP="001926F7">
            <w:pPr>
              <w:spacing w:after="0" w:line="240" w:lineRule="auto"/>
              <w:jc w:val="right"/>
              <w:rPr>
                <w:rFonts w:ascii="Calibri" w:eastAsia="Times New Roman" w:hAnsi="Calibri" w:cs="Times New Roman"/>
                <w:color w:val="000000"/>
                <w:sz w:val="22"/>
                <w:szCs w:val="22"/>
                <w:lang w:eastAsia="en-IN"/>
              </w:rPr>
            </w:pPr>
            <w:r w:rsidRPr="001926F7">
              <w:rPr>
                <w:rFonts w:ascii="Calibri" w:eastAsia="Times New Roman" w:hAnsi="Calibri" w:cs="Times New Roman"/>
                <w:color w:val="000000"/>
                <w:sz w:val="22"/>
                <w:szCs w:val="22"/>
                <w:lang w:eastAsia="en-IN"/>
              </w:rPr>
              <w:t>0.160388</w:t>
            </w:r>
          </w:p>
        </w:tc>
        <w:tc>
          <w:tcPr>
            <w:tcW w:w="1260" w:type="dxa"/>
            <w:tcBorders>
              <w:top w:val="single" w:sz="4" w:space="0" w:color="9BC2E6"/>
              <w:left w:val="nil"/>
              <w:bottom w:val="single" w:sz="4" w:space="0" w:color="9BC2E6"/>
              <w:right w:val="single" w:sz="4" w:space="0" w:color="9BC2E6"/>
            </w:tcBorders>
            <w:shd w:val="clear" w:color="DDEBF7" w:fill="63BE7B"/>
            <w:noWrap/>
            <w:vAlign w:val="bottom"/>
            <w:hideMark/>
          </w:tcPr>
          <w:p w14:paraId="36009505" w14:textId="77777777" w:rsidR="001926F7" w:rsidRPr="001926F7" w:rsidRDefault="001926F7" w:rsidP="001926F7">
            <w:pPr>
              <w:spacing w:after="0" w:line="240" w:lineRule="auto"/>
              <w:jc w:val="right"/>
              <w:rPr>
                <w:rFonts w:ascii="Calibri" w:eastAsia="Times New Roman" w:hAnsi="Calibri" w:cs="Times New Roman"/>
                <w:color w:val="000000"/>
                <w:sz w:val="22"/>
                <w:szCs w:val="22"/>
                <w:lang w:eastAsia="en-IN"/>
              </w:rPr>
            </w:pPr>
            <w:r w:rsidRPr="001926F7">
              <w:rPr>
                <w:rFonts w:ascii="Calibri" w:eastAsia="Times New Roman" w:hAnsi="Calibri" w:cs="Times New Roman"/>
                <w:color w:val="000000"/>
                <w:sz w:val="22"/>
                <w:szCs w:val="22"/>
                <w:lang w:eastAsia="en-IN"/>
              </w:rPr>
              <w:t>0.8213414</w:t>
            </w:r>
          </w:p>
        </w:tc>
      </w:tr>
    </w:tbl>
    <w:p w14:paraId="535165EF" w14:textId="7BD071C0" w:rsidR="008F5DD8" w:rsidRDefault="008F5DD8" w:rsidP="008F5DD8">
      <w:pPr>
        <w:rPr>
          <w:rFonts w:ascii="CMCSC10" w:hAnsi="CMCSC10"/>
          <w:b/>
          <w:bCs/>
          <w:color w:val="1481AB" w:themeColor="accent1" w:themeShade="BF"/>
          <w:sz w:val="40"/>
          <w:szCs w:val="40"/>
        </w:rPr>
      </w:pPr>
    </w:p>
    <w:p w14:paraId="06A8BDE7" w14:textId="77777777" w:rsidR="00E837D1" w:rsidRDefault="00E837D1" w:rsidP="008F5DD8">
      <w:pPr>
        <w:rPr>
          <w:rFonts w:ascii="CMCSC10" w:hAnsi="CMCSC10"/>
          <w:b/>
          <w:bCs/>
          <w:color w:val="1481AB" w:themeColor="accent1" w:themeShade="BF"/>
          <w:sz w:val="40"/>
          <w:szCs w:val="40"/>
        </w:rPr>
      </w:pPr>
    </w:p>
    <w:p w14:paraId="3A1FE136" w14:textId="079FA02B" w:rsidR="00A74BFA" w:rsidRDefault="00484E69" w:rsidP="00A74BFA">
      <w:pPr>
        <w:jc w:val="center"/>
        <w:rPr>
          <w:rFonts w:ascii="CMCSC10" w:hAnsi="CMCSC10"/>
          <w:b/>
          <w:bCs/>
          <w:color w:val="1481AB" w:themeColor="accent1" w:themeShade="BF"/>
          <w:sz w:val="40"/>
          <w:szCs w:val="40"/>
        </w:rPr>
      </w:pPr>
      <w:r>
        <w:rPr>
          <w:rFonts w:ascii="CMCSC10" w:hAnsi="CMCSC10"/>
          <w:b/>
          <w:bCs/>
          <w:noProof/>
          <w:color w:val="1481AB" w:themeColor="accent1" w:themeShade="BF"/>
          <w:sz w:val="40"/>
          <w:szCs w:val="40"/>
        </w:rPr>
        <w:drawing>
          <wp:inline distT="0" distB="0" distL="0" distR="0" wp14:anchorId="0910C35E" wp14:editId="57BA7CF6">
            <wp:extent cx="2393975" cy="1257772"/>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393975" cy="1257772"/>
                    </a:xfrm>
                    <a:prstGeom prst="rect">
                      <a:avLst/>
                    </a:prstGeom>
                    <a:noFill/>
                    <a:ln>
                      <a:noFill/>
                    </a:ln>
                  </pic:spPr>
                </pic:pic>
              </a:graphicData>
            </a:graphic>
          </wp:inline>
        </w:drawing>
      </w:r>
      <w:r w:rsidR="00A74BFA">
        <w:rPr>
          <w:rFonts w:ascii="CMCSC10" w:hAnsi="CMCSC10"/>
          <w:b/>
          <w:bCs/>
          <w:noProof/>
          <w:color w:val="1481AB" w:themeColor="accent1" w:themeShade="BF"/>
          <w:sz w:val="40"/>
          <w:szCs w:val="40"/>
        </w:rPr>
        <w:drawing>
          <wp:inline distT="0" distB="0" distL="0" distR="0" wp14:anchorId="612EB1D1" wp14:editId="4C82CA8C">
            <wp:extent cx="2346960" cy="13188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348019" cy="1319490"/>
                    </a:xfrm>
                    <a:prstGeom prst="rect">
                      <a:avLst/>
                    </a:prstGeom>
                    <a:noFill/>
                    <a:ln>
                      <a:noFill/>
                    </a:ln>
                  </pic:spPr>
                </pic:pic>
              </a:graphicData>
            </a:graphic>
          </wp:inline>
        </w:drawing>
      </w:r>
    </w:p>
    <w:p w14:paraId="332CB8AB" w14:textId="6C004C16" w:rsidR="00186599" w:rsidRPr="00B841AB" w:rsidRDefault="00186599" w:rsidP="00186599">
      <w:pPr>
        <w:ind w:firstLine="720"/>
        <w:jc w:val="center"/>
        <w:rPr>
          <w:rFonts w:ascii="CMCSC10" w:hAnsi="CMCSC10"/>
          <w:color w:val="000000" w:themeColor="text1"/>
          <w:sz w:val="36"/>
          <w:szCs w:val="36"/>
          <w:u w:val="single"/>
        </w:rPr>
      </w:pPr>
      <w:r w:rsidRPr="00B841AB">
        <w:rPr>
          <w:rFonts w:ascii="CMCSC10" w:hAnsi="CMCSC10"/>
          <w:color w:val="000000" w:themeColor="text1"/>
          <w:sz w:val="36"/>
          <w:szCs w:val="36"/>
          <w:u w:val="single"/>
        </w:rPr>
        <w:t xml:space="preserve">Comparison of </w:t>
      </w:r>
      <w:r w:rsidRPr="00FE1794">
        <w:rPr>
          <w:rFonts w:ascii="CMCSC10" w:hAnsi="CMCSC10"/>
          <w:b/>
          <w:bCs/>
          <w:color w:val="000000" w:themeColor="text1"/>
          <w:sz w:val="36"/>
          <w:szCs w:val="36"/>
          <w:u w:val="single"/>
        </w:rPr>
        <w:t>Daily</w:t>
      </w:r>
      <w:r>
        <w:rPr>
          <w:rFonts w:ascii="CMCSC10" w:hAnsi="CMCSC10"/>
          <w:color w:val="000000" w:themeColor="text1"/>
          <w:sz w:val="36"/>
          <w:szCs w:val="36"/>
          <w:u w:val="single"/>
        </w:rPr>
        <w:t xml:space="preserve"> Risk-Unadjusted and</w:t>
      </w:r>
      <w:r w:rsidRPr="00B841AB">
        <w:rPr>
          <w:rFonts w:ascii="CMCSC10" w:hAnsi="CMCSC10"/>
          <w:color w:val="000000" w:themeColor="text1"/>
          <w:sz w:val="36"/>
          <w:szCs w:val="36"/>
          <w:u w:val="single"/>
        </w:rPr>
        <w:t xml:space="preserve"> </w:t>
      </w:r>
      <w:r w:rsidRPr="00FE1794">
        <w:rPr>
          <w:rFonts w:ascii="CMCSC10" w:hAnsi="CMCSC10"/>
          <w:color w:val="000000" w:themeColor="text1"/>
          <w:sz w:val="36"/>
          <w:szCs w:val="36"/>
          <w:u w:val="single"/>
        </w:rPr>
        <w:t>Risk- Adjusted</w:t>
      </w:r>
      <w:r w:rsidRPr="00B841AB">
        <w:rPr>
          <w:rFonts w:ascii="CMCSC10" w:hAnsi="CMCSC10"/>
          <w:b/>
          <w:bCs/>
          <w:color w:val="000000" w:themeColor="text1"/>
          <w:sz w:val="36"/>
          <w:szCs w:val="36"/>
          <w:u w:val="single"/>
        </w:rPr>
        <w:t xml:space="preserve"> </w:t>
      </w:r>
      <w:r w:rsidRPr="00B841AB">
        <w:rPr>
          <w:rFonts w:ascii="CMCSC10" w:hAnsi="CMCSC10"/>
          <w:color w:val="000000" w:themeColor="text1"/>
          <w:sz w:val="36"/>
          <w:szCs w:val="36"/>
          <w:u w:val="single"/>
        </w:rPr>
        <w:t>Returns</w:t>
      </w:r>
      <w:r>
        <w:rPr>
          <w:rFonts w:ascii="CMCSC10" w:hAnsi="CMCSC10"/>
          <w:color w:val="000000" w:themeColor="text1"/>
          <w:sz w:val="36"/>
          <w:szCs w:val="36"/>
          <w:u w:val="single"/>
        </w:rPr>
        <w:t xml:space="preserve"> for </w:t>
      </w:r>
      <w:r w:rsidRPr="00C4149A">
        <w:rPr>
          <w:rFonts w:ascii="CMCSC10" w:hAnsi="CMCSC10"/>
          <w:b/>
          <w:bCs/>
          <w:color w:val="000000" w:themeColor="text1"/>
          <w:sz w:val="36"/>
          <w:szCs w:val="36"/>
          <w:u w:val="single"/>
        </w:rPr>
        <w:t>Ne</w:t>
      </w:r>
      <w:r>
        <w:rPr>
          <w:rFonts w:ascii="CMCSC10" w:hAnsi="CMCSC10"/>
          <w:b/>
          <w:bCs/>
          <w:color w:val="000000" w:themeColor="text1"/>
          <w:sz w:val="36"/>
          <w:szCs w:val="36"/>
          <w:u w:val="single"/>
        </w:rPr>
        <w:t>xt</w:t>
      </w:r>
      <w:r>
        <w:rPr>
          <w:rFonts w:ascii="CMCSC10" w:hAnsi="CMCSC10"/>
          <w:color w:val="000000" w:themeColor="text1"/>
          <w:sz w:val="36"/>
          <w:szCs w:val="36"/>
          <w:u w:val="single"/>
        </w:rPr>
        <w:t xml:space="preserve"> Month Frequency</w:t>
      </w:r>
      <w:r w:rsidRPr="00B841AB">
        <w:rPr>
          <w:rFonts w:ascii="CMCSC10" w:hAnsi="CMCSC10"/>
          <w:color w:val="000000" w:themeColor="text1"/>
          <w:sz w:val="36"/>
          <w:szCs w:val="36"/>
          <w:u w:val="single"/>
        </w:rPr>
        <w:t xml:space="preserve"> </w:t>
      </w:r>
    </w:p>
    <w:p w14:paraId="19AD0448" w14:textId="74C06327" w:rsidR="00A74BFA" w:rsidRDefault="00A74BFA" w:rsidP="008917FE">
      <w:pPr>
        <w:rPr>
          <w:rFonts w:ascii="CMCSC10" w:hAnsi="CMCSC10"/>
          <w:b/>
          <w:bCs/>
          <w:color w:val="1481AB" w:themeColor="accent1" w:themeShade="BF"/>
          <w:sz w:val="40"/>
          <w:szCs w:val="40"/>
        </w:rPr>
      </w:pPr>
    </w:p>
    <w:p w14:paraId="13A8CD80" w14:textId="77777777" w:rsidR="008F5DD8" w:rsidRDefault="008F5DD8" w:rsidP="008917FE">
      <w:pPr>
        <w:rPr>
          <w:rFonts w:ascii="CMCSC10" w:hAnsi="CMCSC10"/>
          <w:b/>
          <w:bCs/>
          <w:color w:val="1481AB" w:themeColor="accent1" w:themeShade="BF"/>
          <w:sz w:val="40"/>
          <w:szCs w:val="40"/>
        </w:rPr>
      </w:pPr>
    </w:p>
    <w:p w14:paraId="50A89E48" w14:textId="43C57764" w:rsidR="00A74BFA" w:rsidRDefault="00A74BFA" w:rsidP="00A74BFA">
      <w:pPr>
        <w:jc w:val="center"/>
        <w:rPr>
          <w:rFonts w:ascii="CMCSC10" w:hAnsi="CMCSC10"/>
          <w:b/>
          <w:bCs/>
          <w:color w:val="1481AB" w:themeColor="accent1" w:themeShade="BF"/>
          <w:sz w:val="40"/>
          <w:szCs w:val="40"/>
        </w:rPr>
      </w:pPr>
      <w:r>
        <w:rPr>
          <w:rFonts w:ascii="CMCSC10" w:hAnsi="CMCSC10"/>
          <w:b/>
          <w:bCs/>
          <w:noProof/>
          <w:color w:val="1481AB" w:themeColor="accent1" w:themeShade="BF"/>
          <w:sz w:val="40"/>
          <w:szCs w:val="40"/>
        </w:rPr>
        <w:drawing>
          <wp:inline distT="0" distB="0" distL="0" distR="0" wp14:anchorId="2C694193" wp14:editId="30F7D0B3">
            <wp:extent cx="2395811" cy="1258737"/>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2395811" cy="1258737"/>
                    </a:xfrm>
                    <a:prstGeom prst="rect">
                      <a:avLst/>
                    </a:prstGeom>
                    <a:noFill/>
                    <a:ln>
                      <a:noFill/>
                    </a:ln>
                  </pic:spPr>
                </pic:pic>
              </a:graphicData>
            </a:graphic>
          </wp:inline>
        </w:drawing>
      </w:r>
      <w:r>
        <w:rPr>
          <w:rFonts w:ascii="CMCSC10" w:hAnsi="CMCSC10"/>
          <w:b/>
          <w:bCs/>
          <w:noProof/>
          <w:color w:val="1481AB" w:themeColor="accent1" w:themeShade="BF"/>
          <w:sz w:val="40"/>
          <w:szCs w:val="40"/>
        </w:rPr>
        <w:drawing>
          <wp:inline distT="0" distB="0" distL="0" distR="0" wp14:anchorId="4AB97B5F" wp14:editId="7386CA9B">
            <wp:extent cx="2333625" cy="122515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51895" cy="1234745"/>
                    </a:xfrm>
                    <a:prstGeom prst="rect">
                      <a:avLst/>
                    </a:prstGeom>
                    <a:noFill/>
                    <a:ln>
                      <a:noFill/>
                    </a:ln>
                  </pic:spPr>
                </pic:pic>
              </a:graphicData>
            </a:graphic>
          </wp:inline>
        </w:drawing>
      </w:r>
    </w:p>
    <w:p w14:paraId="79AD6736" w14:textId="26FB54E0" w:rsidR="00A74BFA" w:rsidRDefault="00A74BFA" w:rsidP="00A74BFA">
      <w:pPr>
        <w:ind w:firstLine="720"/>
        <w:jc w:val="center"/>
        <w:rPr>
          <w:rFonts w:ascii="CMCSC10" w:hAnsi="CMCSC10"/>
          <w:color w:val="000000" w:themeColor="text1"/>
          <w:sz w:val="36"/>
          <w:szCs w:val="36"/>
          <w:u w:val="single"/>
        </w:rPr>
      </w:pPr>
      <w:r w:rsidRPr="00B841AB">
        <w:rPr>
          <w:rFonts w:ascii="CMCSC10" w:hAnsi="CMCSC10"/>
          <w:color w:val="000000" w:themeColor="text1"/>
          <w:sz w:val="36"/>
          <w:szCs w:val="36"/>
          <w:u w:val="single"/>
        </w:rPr>
        <w:t xml:space="preserve">Comparison of </w:t>
      </w:r>
      <w:r>
        <w:rPr>
          <w:rFonts w:ascii="CMCSC10" w:hAnsi="CMCSC10"/>
          <w:b/>
          <w:bCs/>
          <w:color w:val="000000" w:themeColor="text1"/>
          <w:sz w:val="36"/>
          <w:szCs w:val="36"/>
          <w:u w:val="single"/>
        </w:rPr>
        <w:t>Weekly</w:t>
      </w:r>
      <w:r>
        <w:rPr>
          <w:rFonts w:ascii="CMCSC10" w:hAnsi="CMCSC10"/>
          <w:color w:val="000000" w:themeColor="text1"/>
          <w:sz w:val="36"/>
          <w:szCs w:val="36"/>
          <w:u w:val="single"/>
        </w:rPr>
        <w:t xml:space="preserve"> Risk-Unadjusted and</w:t>
      </w:r>
      <w:r w:rsidRPr="00B841AB">
        <w:rPr>
          <w:rFonts w:ascii="CMCSC10" w:hAnsi="CMCSC10"/>
          <w:color w:val="000000" w:themeColor="text1"/>
          <w:sz w:val="36"/>
          <w:szCs w:val="36"/>
          <w:u w:val="single"/>
        </w:rPr>
        <w:t xml:space="preserve"> </w:t>
      </w:r>
      <w:r w:rsidRPr="00FE1794">
        <w:rPr>
          <w:rFonts w:ascii="CMCSC10" w:hAnsi="CMCSC10"/>
          <w:color w:val="000000" w:themeColor="text1"/>
          <w:sz w:val="36"/>
          <w:szCs w:val="36"/>
          <w:u w:val="single"/>
        </w:rPr>
        <w:t>Risk- Adjusted</w:t>
      </w:r>
      <w:r w:rsidRPr="00B841AB">
        <w:rPr>
          <w:rFonts w:ascii="CMCSC10" w:hAnsi="CMCSC10"/>
          <w:b/>
          <w:bCs/>
          <w:color w:val="000000" w:themeColor="text1"/>
          <w:sz w:val="36"/>
          <w:szCs w:val="36"/>
          <w:u w:val="single"/>
        </w:rPr>
        <w:t xml:space="preserve"> </w:t>
      </w:r>
      <w:r w:rsidRPr="00B841AB">
        <w:rPr>
          <w:rFonts w:ascii="CMCSC10" w:hAnsi="CMCSC10"/>
          <w:color w:val="000000" w:themeColor="text1"/>
          <w:sz w:val="36"/>
          <w:szCs w:val="36"/>
          <w:u w:val="single"/>
        </w:rPr>
        <w:t>Returns</w:t>
      </w:r>
      <w:r>
        <w:rPr>
          <w:rFonts w:ascii="CMCSC10" w:hAnsi="CMCSC10"/>
          <w:color w:val="000000" w:themeColor="text1"/>
          <w:sz w:val="36"/>
          <w:szCs w:val="36"/>
          <w:u w:val="single"/>
        </w:rPr>
        <w:t xml:space="preserve"> for </w:t>
      </w:r>
      <w:r w:rsidRPr="00C4149A">
        <w:rPr>
          <w:rFonts w:ascii="CMCSC10" w:hAnsi="CMCSC10"/>
          <w:b/>
          <w:bCs/>
          <w:color w:val="000000" w:themeColor="text1"/>
          <w:sz w:val="36"/>
          <w:szCs w:val="36"/>
          <w:u w:val="single"/>
        </w:rPr>
        <w:t>Ne</w:t>
      </w:r>
      <w:r>
        <w:rPr>
          <w:rFonts w:ascii="CMCSC10" w:hAnsi="CMCSC10"/>
          <w:b/>
          <w:bCs/>
          <w:color w:val="000000" w:themeColor="text1"/>
          <w:sz w:val="36"/>
          <w:szCs w:val="36"/>
          <w:u w:val="single"/>
        </w:rPr>
        <w:t>xt</w:t>
      </w:r>
      <w:r>
        <w:rPr>
          <w:rFonts w:ascii="CMCSC10" w:hAnsi="CMCSC10"/>
          <w:color w:val="000000" w:themeColor="text1"/>
          <w:sz w:val="36"/>
          <w:szCs w:val="36"/>
          <w:u w:val="single"/>
        </w:rPr>
        <w:t xml:space="preserve"> Month Frequency</w:t>
      </w:r>
      <w:r w:rsidRPr="00B841AB">
        <w:rPr>
          <w:rFonts w:ascii="CMCSC10" w:hAnsi="CMCSC10"/>
          <w:color w:val="000000" w:themeColor="text1"/>
          <w:sz w:val="36"/>
          <w:szCs w:val="36"/>
          <w:u w:val="single"/>
        </w:rPr>
        <w:t xml:space="preserve"> </w:t>
      </w:r>
    </w:p>
    <w:p w14:paraId="12F3EE65" w14:textId="77777777" w:rsidR="00A74BFA" w:rsidRPr="00B841AB" w:rsidRDefault="00A74BFA" w:rsidP="00A74BFA">
      <w:pPr>
        <w:ind w:firstLine="720"/>
        <w:jc w:val="center"/>
        <w:rPr>
          <w:rFonts w:ascii="CMCSC10" w:hAnsi="CMCSC10"/>
          <w:color w:val="000000" w:themeColor="text1"/>
          <w:sz w:val="36"/>
          <w:szCs w:val="36"/>
          <w:u w:val="single"/>
        </w:rPr>
      </w:pPr>
    </w:p>
    <w:p w14:paraId="09B0D2EC" w14:textId="67CC54DD" w:rsidR="00A74BFA" w:rsidRPr="008F5DD8" w:rsidRDefault="00A74BFA" w:rsidP="008F5DD8">
      <w:pPr>
        <w:jc w:val="center"/>
        <w:rPr>
          <w:rFonts w:ascii="CMCSC10" w:hAnsi="CMCSC10"/>
          <w:b/>
          <w:bCs/>
          <w:color w:val="1481AB" w:themeColor="accent1" w:themeShade="BF"/>
          <w:sz w:val="40"/>
          <w:szCs w:val="40"/>
        </w:rPr>
      </w:pPr>
      <w:r>
        <w:rPr>
          <w:rFonts w:ascii="CMCSC10" w:hAnsi="CMCSC10"/>
          <w:b/>
          <w:bCs/>
          <w:noProof/>
          <w:color w:val="1481AB" w:themeColor="accent1" w:themeShade="BF"/>
          <w:sz w:val="40"/>
          <w:szCs w:val="40"/>
        </w:rPr>
        <w:lastRenderedPageBreak/>
        <w:drawing>
          <wp:inline distT="0" distB="0" distL="0" distR="0" wp14:anchorId="528AF6E8" wp14:editId="16C3BAEC">
            <wp:extent cx="2504359" cy="13157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2504359" cy="1315767"/>
                    </a:xfrm>
                    <a:prstGeom prst="rect">
                      <a:avLst/>
                    </a:prstGeom>
                    <a:noFill/>
                    <a:ln>
                      <a:noFill/>
                    </a:ln>
                  </pic:spPr>
                </pic:pic>
              </a:graphicData>
            </a:graphic>
          </wp:inline>
        </w:drawing>
      </w:r>
      <w:r>
        <w:rPr>
          <w:rFonts w:ascii="CMCSC10" w:hAnsi="CMCSC10"/>
          <w:b/>
          <w:bCs/>
          <w:noProof/>
          <w:color w:val="1481AB" w:themeColor="accent1" w:themeShade="BF"/>
          <w:sz w:val="40"/>
          <w:szCs w:val="40"/>
        </w:rPr>
        <w:drawing>
          <wp:inline distT="0" distB="0" distL="0" distR="0" wp14:anchorId="6495DF9A" wp14:editId="25111435">
            <wp:extent cx="2463800" cy="1288567"/>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80831" cy="1297474"/>
                    </a:xfrm>
                    <a:prstGeom prst="rect">
                      <a:avLst/>
                    </a:prstGeom>
                    <a:noFill/>
                    <a:ln>
                      <a:noFill/>
                    </a:ln>
                  </pic:spPr>
                </pic:pic>
              </a:graphicData>
            </a:graphic>
          </wp:inline>
        </w:drawing>
      </w:r>
      <w:r w:rsidRPr="00B841AB">
        <w:rPr>
          <w:rFonts w:ascii="CMCSC10" w:hAnsi="CMCSC10"/>
          <w:color w:val="000000" w:themeColor="text1"/>
          <w:sz w:val="36"/>
          <w:szCs w:val="36"/>
          <w:u w:val="single"/>
        </w:rPr>
        <w:t xml:space="preserve">Comparison of </w:t>
      </w:r>
      <w:r>
        <w:rPr>
          <w:rFonts w:ascii="CMCSC10" w:hAnsi="CMCSC10"/>
          <w:b/>
          <w:bCs/>
          <w:color w:val="000000" w:themeColor="text1"/>
          <w:sz w:val="36"/>
          <w:szCs w:val="36"/>
          <w:u w:val="single"/>
        </w:rPr>
        <w:t>Monthly</w:t>
      </w:r>
      <w:r>
        <w:rPr>
          <w:rFonts w:ascii="CMCSC10" w:hAnsi="CMCSC10"/>
          <w:color w:val="000000" w:themeColor="text1"/>
          <w:sz w:val="36"/>
          <w:szCs w:val="36"/>
          <w:u w:val="single"/>
        </w:rPr>
        <w:t xml:space="preserve"> Risk-Unadjusted and</w:t>
      </w:r>
      <w:r w:rsidRPr="00B841AB">
        <w:rPr>
          <w:rFonts w:ascii="CMCSC10" w:hAnsi="CMCSC10"/>
          <w:color w:val="000000" w:themeColor="text1"/>
          <w:sz w:val="36"/>
          <w:szCs w:val="36"/>
          <w:u w:val="single"/>
        </w:rPr>
        <w:t xml:space="preserve"> </w:t>
      </w:r>
      <w:r w:rsidRPr="00FE1794">
        <w:rPr>
          <w:rFonts w:ascii="CMCSC10" w:hAnsi="CMCSC10"/>
          <w:color w:val="000000" w:themeColor="text1"/>
          <w:sz w:val="36"/>
          <w:szCs w:val="36"/>
          <w:u w:val="single"/>
        </w:rPr>
        <w:t>Risk- Adjusted</w:t>
      </w:r>
      <w:r w:rsidRPr="00B841AB">
        <w:rPr>
          <w:rFonts w:ascii="CMCSC10" w:hAnsi="CMCSC10"/>
          <w:b/>
          <w:bCs/>
          <w:color w:val="000000" w:themeColor="text1"/>
          <w:sz w:val="36"/>
          <w:szCs w:val="36"/>
          <w:u w:val="single"/>
        </w:rPr>
        <w:t xml:space="preserve"> </w:t>
      </w:r>
      <w:r w:rsidRPr="00B841AB">
        <w:rPr>
          <w:rFonts w:ascii="CMCSC10" w:hAnsi="CMCSC10"/>
          <w:color w:val="000000" w:themeColor="text1"/>
          <w:sz w:val="36"/>
          <w:szCs w:val="36"/>
          <w:u w:val="single"/>
        </w:rPr>
        <w:t>Returns</w:t>
      </w:r>
      <w:r>
        <w:rPr>
          <w:rFonts w:ascii="CMCSC10" w:hAnsi="CMCSC10"/>
          <w:color w:val="000000" w:themeColor="text1"/>
          <w:sz w:val="36"/>
          <w:szCs w:val="36"/>
          <w:u w:val="single"/>
        </w:rPr>
        <w:t xml:space="preserve"> for </w:t>
      </w:r>
      <w:r w:rsidRPr="00C4149A">
        <w:rPr>
          <w:rFonts w:ascii="CMCSC10" w:hAnsi="CMCSC10"/>
          <w:b/>
          <w:bCs/>
          <w:color w:val="000000" w:themeColor="text1"/>
          <w:sz w:val="36"/>
          <w:szCs w:val="36"/>
          <w:u w:val="single"/>
        </w:rPr>
        <w:t>Ne</w:t>
      </w:r>
      <w:r>
        <w:rPr>
          <w:rFonts w:ascii="CMCSC10" w:hAnsi="CMCSC10"/>
          <w:b/>
          <w:bCs/>
          <w:color w:val="000000" w:themeColor="text1"/>
          <w:sz w:val="36"/>
          <w:szCs w:val="36"/>
          <w:u w:val="single"/>
        </w:rPr>
        <w:t>xt</w:t>
      </w:r>
      <w:r>
        <w:rPr>
          <w:rFonts w:ascii="CMCSC10" w:hAnsi="CMCSC10"/>
          <w:color w:val="000000" w:themeColor="text1"/>
          <w:sz w:val="36"/>
          <w:szCs w:val="36"/>
          <w:u w:val="single"/>
        </w:rPr>
        <w:t xml:space="preserve"> Month Frequency</w:t>
      </w:r>
      <w:r w:rsidRPr="00B841AB">
        <w:rPr>
          <w:rFonts w:ascii="CMCSC10" w:hAnsi="CMCSC10"/>
          <w:color w:val="000000" w:themeColor="text1"/>
          <w:sz w:val="36"/>
          <w:szCs w:val="36"/>
          <w:u w:val="single"/>
        </w:rPr>
        <w:t xml:space="preserve"> </w:t>
      </w:r>
    </w:p>
    <w:p w14:paraId="4E59C2D2" w14:textId="6493C888" w:rsidR="00C7566B" w:rsidRDefault="00C7566B" w:rsidP="008F5DD8">
      <w:pPr>
        <w:rPr>
          <w:rFonts w:ascii="CMCSC10" w:hAnsi="CMCSC10"/>
          <w:b/>
          <w:bCs/>
          <w:color w:val="1481AB" w:themeColor="accent1" w:themeShade="BF"/>
          <w:sz w:val="40"/>
          <w:szCs w:val="40"/>
        </w:rPr>
      </w:pPr>
    </w:p>
    <w:p w14:paraId="2FFF5509" w14:textId="005467E2" w:rsidR="00C7566B" w:rsidRDefault="00C7566B" w:rsidP="00C7566B">
      <w:pPr>
        <w:rPr>
          <w:rFonts w:ascii="CMCSC10" w:hAnsi="CMCSC10"/>
          <w:color w:val="1481AB" w:themeColor="accent1" w:themeShade="BF"/>
          <w:sz w:val="36"/>
          <w:szCs w:val="32"/>
        </w:rPr>
      </w:pPr>
      <w:r>
        <w:rPr>
          <w:rFonts w:ascii="CMCSC10" w:hAnsi="CMCSC10"/>
          <w:color w:val="1481AB" w:themeColor="accent1" w:themeShade="BF"/>
          <w:sz w:val="36"/>
          <w:szCs w:val="32"/>
        </w:rPr>
        <w:t>8.3 Far Month Analysis</w:t>
      </w:r>
    </w:p>
    <w:p w14:paraId="41220665" w14:textId="125F132A" w:rsidR="006D14AD" w:rsidRDefault="006D14AD" w:rsidP="00C7566B">
      <w:pPr>
        <w:rPr>
          <w:rFonts w:ascii="CMCSC10" w:hAnsi="CMCSC10"/>
          <w:sz w:val="36"/>
          <w:szCs w:val="36"/>
        </w:rPr>
      </w:pPr>
      <w:r>
        <w:rPr>
          <w:rFonts w:ascii="CMCSC10" w:hAnsi="CMCSC10"/>
          <w:sz w:val="36"/>
          <w:szCs w:val="36"/>
        </w:rPr>
        <w:t>Sharpe Ratio Calculations:</w:t>
      </w:r>
    </w:p>
    <w:p w14:paraId="646EF10C" w14:textId="77777777" w:rsidR="00443E97" w:rsidRDefault="00443E97" w:rsidP="00C7566B">
      <w:pPr>
        <w:rPr>
          <w:rFonts w:ascii="CMCSC10" w:hAnsi="CMCSC10"/>
          <w:color w:val="1481AB" w:themeColor="accent1" w:themeShade="BF"/>
          <w:sz w:val="36"/>
          <w:szCs w:val="32"/>
        </w:rPr>
      </w:pPr>
    </w:p>
    <w:tbl>
      <w:tblPr>
        <w:tblW w:w="8634" w:type="dxa"/>
        <w:jc w:val="center"/>
        <w:tblLook w:val="04A0" w:firstRow="1" w:lastRow="0" w:firstColumn="1" w:lastColumn="0" w:noHBand="0" w:noVBand="1"/>
      </w:tblPr>
      <w:tblGrid>
        <w:gridCol w:w="4793"/>
        <w:gridCol w:w="1237"/>
        <w:gridCol w:w="1237"/>
        <w:gridCol w:w="1367"/>
      </w:tblGrid>
      <w:tr w:rsidR="007014C6" w:rsidRPr="007014C6" w14:paraId="682B5816" w14:textId="77777777" w:rsidTr="007014C6">
        <w:trPr>
          <w:trHeight w:val="338"/>
          <w:jc w:val="center"/>
        </w:trPr>
        <w:tc>
          <w:tcPr>
            <w:tcW w:w="4793" w:type="dxa"/>
            <w:tcBorders>
              <w:top w:val="single" w:sz="4" w:space="0" w:color="9BC2E6"/>
              <w:left w:val="single" w:sz="4" w:space="0" w:color="9BC2E6"/>
              <w:bottom w:val="single" w:sz="4" w:space="0" w:color="9BC2E6"/>
              <w:right w:val="nil"/>
            </w:tcBorders>
            <w:shd w:val="clear" w:color="5B9BD5" w:fill="5B9BD5"/>
            <w:noWrap/>
            <w:vAlign w:val="bottom"/>
            <w:hideMark/>
          </w:tcPr>
          <w:p w14:paraId="4F5A9B43" w14:textId="77777777" w:rsidR="007014C6" w:rsidRPr="007014C6" w:rsidRDefault="007014C6" w:rsidP="007014C6">
            <w:pPr>
              <w:spacing w:after="0" w:line="240" w:lineRule="auto"/>
              <w:rPr>
                <w:rFonts w:ascii="Calibri" w:eastAsia="Times New Roman" w:hAnsi="Calibri" w:cs="Times New Roman"/>
                <w:b/>
                <w:bCs/>
                <w:color w:val="FFFFFF"/>
                <w:sz w:val="22"/>
                <w:szCs w:val="22"/>
                <w:lang w:eastAsia="en-IN"/>
              </w:rPr>
            </w:pPr>
            <w:r w:rsidRPr="007014C6">
              <w:rPr>
                <w:rFonts w:ascii="Calibri" w:eastAsia="Times New Roman" w:hAnsi="Calibri" w:cs="Times New Roman"/>
                <w:b/>
                <w:bCs/>
                <w:color w:val="FFFFFF"/>
                <w:sz w:val="22"/>
                <w:szCs w:val="22"/>
                <w:lang w:eastAsia="en-IN"/>
              </w:rPr>
              <w:t>Far Month</w:t>
            </w:r>
          </w:p>
        </w:tc>
        <w:tc>
          <w:tcPr>
            <w:tcW w:w="1237" w:type="dxa"/>
            <w:tcBorders>
              <w:top w:val="single" w:sz="4" w:space="0" w:color="9BC2E6"/>
              <w:left w:val="nil"/>
              <w:bottom w:val="single" w:sz="4" w:space="0" w:color="9BC2E6"/>
              <w:right w:val="nil"/>
            </w:tcBorders>
            <w:shd w:val="clear" w:color="5B9BD5" w:fill="5B9BD5"/>
            <w:noWrap/>
            <w:vAlign w:val="bottom"/>
            <w:hideMark/>
          </w:tcPr>
          <w:p w14:paraId="62033DBE" w14:textId="77777777" w:rsidR="007014C6" w:rsidRPr="007014C6" w:rsidRDefault="007014C6" w:rsidP="007014C6">
            <w:pPr>
              <w:spacing w:after="0" w:line="240" w:lineRule="auto"/>
              <w:rPr>
                <w:rFonts w:ascii="Calibri" w:eastAsia="Times New Roman" w:hAnsi="Calibri" w:cs="Times New Roman"/>
                <w:b/>
                <w:bCs/>
                <w:color w:val="FFFFFF"/>
                <w:sz w:val="22"/>
                <w:szCs w:val="22"/>
                <w:lang w:eastAsia="en-IN"/>
              </w:rPr>
            </w:pPr>
            <w:r w:rsidRPr="007014C6">
              <w:rPr>
                <w:rFonts w:ascii="Calibri" w:eastAsia="Times New Roman" w:hAnsi="Calibri" w:cs="Times New Roman"/>
                <w:b/>
                <w:bCs/>
                <w:color w:val="FFFFFF"/>
                <w:sz w:val="22"/>
                <w:szCs w:val="22"/>
                <w:lang w:eastAsia="en-IN"/>
              </w:rPr>
              <w:t>Daily</w:t>
            </w:r>
          </w:p>
        </w:tc>
        <w:tc>
          <w:tcPr>
            <w:tcW w:w="1237" w:type="dxa"/>
            <w:tcBorders>
              <w:top w:val="single" w:sz="4" w:space="0" w:color="9BC2E6"/>
              <w:left w:val="nil"/>
              <w:bottom w:val="single" w:sz="4" w:space="0" w:color="9BC2E6"/>
              <w:right w:val="nil"/>
            </w:tcBorders>
            <w:shd w:val="clear" w:color="5B9BD5" w:fill="5B9BD5"/>
            <w:noWrap/>
            <w:vAlign w:val="bottom"/>
            <w:hideMark/>
          </w:tcPr>
          <w:p w14:paraId="31648B26" w14:textId="77777777" w:rsidR="007014C6" w:rsidRPr="007014C6" w:rsidRDefault="007014C6" w:rsidP="007014C6">
            <w:pPr>
              <w:spacing w:after="0" w:line="240" w:lineRule="auto"/>
              <w:rPr>
                <w:rFonts w:ascii="Calibri" w:eastAsia="Times New Roman" w:hAnsi="Calibri" w:cs="Times New Roman"/>
                <w:b/>
                <w:bCs/>
                <w:color w:val="FFFFFF"/>
                <w:sz w:val="22"/>
                <w:szCs w:val="22"/>
                <w:lang w:eastAsia="en-IN"/>
              </w:rPr>
            </w:pPr>
            <w:r w:rsidRPr="007014C6">
              <w:rPr>
                <w:rFonts w:ascii="Calibri" w:eastAsia="Times New Roman" w:hAnsi="Calibri" w:cs="Times New Roman"/>
                <w:b/>
                <w:bCs/>
                <w:color w:val="FFFFFF"/>
                <w:sz w:val="22"/>
                <w:szCs w:val="22"/>
                <w:lang w:eastAsia="en-IN"/>
              </w:rPr>
              <w:t>Weekly</w:t>
            </w:r>
          </w:p>
        </w:tc>
        <w:tc>
          <w:tcPr>
            <w:tcW w:w="1367" w:type="dxa"/>
            <w:tcBorders>
              <w:top w:val="single" w:sz="4" w:space="0" w:color="9BC2E6"/>
              <w:left w:val="nil"/>
              <w:bottom w:val="single" w:sz="4" w:space="0" w:color="9BC2E6"/>
              <w:right w:val="single" w:sz="4" w:space="0" w:color="9BC2E6"/>
            </w:tcBorders>
            <w:shd w:val="clear" w:color="5B9BD5" w:fill="5B9BD5"/>
            <w:noWrap/>
            <w:vAlign w:val="bottom"/>
            <w:hideMark/>
          </w:tcPr>
          <w:p w14:paraId="793B0492" w14:textId="77777777" w:rsidR="007014C6" w:rsidRPr="007014C6" w:rsidRDefault="007014C6" w:rsidP="007014C6">
            <w:pPr>
              <w:spacing w:after="0" w:line="240" w:lineRule="auto"/>
              <w:rPr>
                <w:rFonts w:ascii="Calibri" w:eastAsia="Times New Roman" w:hAnsi="Calibri" w:cs="Times New Roman"/>
                <w:b/>
                <w:bCs/>
                <w:color w:val="FFFFFF"/>
                <w:sz w:val="22"/>
                <w:szCs w:val="22"/>
                <w:lang w:eastAsia="en-IN"/>
              </w:rPr>
            </w:pPr>
            <w:r w:rsidRPr="007014C6">
              <w:rPr>
                <w:rFonts w:ascii="Calibri" w:eastAsia="Times New Roman" w:hAnsi="Calibri" w:cs="Times New Roman"/>
                <w:b/>
                <w:bCs/>
                <w:color w:val="FFFFFF"/>
                <w:sz w:val="22"/>
                <w:szCs w:val="22"/>
                <w:lang w:eastAsia="en-IN"/>
              </w:rPr>
              <w:t>Monthly</w:t>
            </w:r>
          </w:p>
        </w:tc>
      </w:tr>
      <w:tr w:rsidR="007014C6" w:rsidRPr="007014C6" w14:paraId="14062D38" w14:textId="77777777" w:rsidTr="007014C6">
        <w:trPr>
          <w:trHeight w:val="338"/>
          <w:jc w:val="center"/>
        </w:trPr>
        <w:tc>
          <w:tcPr>
            <w:tcW w:w="4793" w:type="dxa"/>
            <w:tcBorders>
              <w:top w:val="single" w:sz="4" w:space="0" w:color="9BC2E6"/>
              <w:left w:val="single" w:sz="4" w:space="0" w:color="9BC2E6"/>
              <w:bottom w:val="single" w:sz="4" w:space="0" w:color="9BC2E6"/>
              <w:right w:val="nil"/>
            </w:tcBorders>
            <w:shd w:val="clear" w:color="DDEBF7" w:fill="DDEBF7"/>
            <w:noWrap/>
            <w:vAlign w:val="bottom"/>
            <w:hideMark/>
          </w:tcPr>
          <w:p w14:paraId="61DF385B" w14:textId="77777777" w:rsidR="007014C6" w:rsidRPr="007014C6" w:rsidRDefault="007014C6" w:rsidP="007014C6">
            <w:pPr>
              <w:spacing w:after="0" w:line="240" w:lineRule="auto"/>
              <w:rPr>
                <w:rFonts w:ascii="Calibri" w:eastAsia="Times New Roman" w:hAnsi="Calibri" w:cs="Times New Roman"/>
                <w:color w:val="000000"/>
                <w:sz w:val="22"/>
                <w:szCs w:val="22"/>
                <w:lang w:eastAsia="en-IN"/>
              </w:rPr>
            </w:pPr>
            <w:r w:rsidRPr="007014C6">
              <w:rPr>
                <w:rFonts w:ascii="Calibri" w:eastAsia="Times New Roman" w:hAnsi="Calibri" w:cs="Times New Roman"/>
                <w:color w:val="000000"/>
                <w:sz w:val="22"/>
                <w:szCs w:val="22"/>
                <w:lang w:eastAsia="en-IN"/>
              </w:rPr>
              <w:t>Mean of Excess Return</w:t>
            </w:r>
          </w:p>
        </w:tc>
        <w:tc>
          <w:tcPr>
            <w:tcW w:w="1237" w:type="dxa"/>
            <w:tcBorders>
              <w:top w:val="single" w:sz="4" w:space="0" w:color="9BC2E6"/>
              <w:left w:val="nil"/>
              <w:bottom w:val="single" w:sz="4" w:space="0" w:color="9BC2E6"/>
              <w:right w:val="nil"/>
            </w:tcBorders>
            <w:shd w:val="clear" w:color="DDEBF7" w:fill="DDEBF7"/>
            <w:noWrap/>
            <w:vAlign w:val="bottom"/>
            <w:hideMark/>
          </w:tcPr>
          <w:p w14:paraId="4B81D845" w14:textId="77777777" w:rsidR="007014C6" w:rsidRPr="007014C6" w:rsidRDefault="007014C6" w:rsidP="007014C6">
            <w:pPr>
              <w:spacing w:after="0" w:line="240" w:lineRule="auto"/>
              <w:jc w:val="right"/>
              <w:rPr>
                <w:rFonts w:ascii="Calibri" w:eastAsia="Times New Roman" w:hAnsi="Calibri" w:cs="Times New Roman"/>
                <w:color w:val="000000"/>
                <w:sz w:val="22"/>
                <w:szCs w:val="22"/>
                <w:lang w:eastAsia="en-IN"/>
              </w:rPr>
            </w:pPr>
            <w:r w:rsidRPr="007014C6">
              <w:rPr>
                <w:rFonts w:ascii="Calibri" w:eastAsia="Times New Roman" w:hAnsi="Calibri" w:cs="Times New Roman"/>
                <w:color w:val="000000"/>
                <w:sz w:val="22"/>
                <w:szCs w:val="22"/>
                <w:lang w:eastAsia="en-IN"/>
              </w:rPr>
              <w:t>0.183</w:t>
            </w:r>
          </w:p>
        </w:tc>
        <w:tc>
          <w:tcPr>
            <w:tcW w:w="1237" w:type="dxa"/>
            <w:tcBorders>
              <w:top w:val="single" w:sz="4" w:space="0" w:color="9BC2E6"/>
              <w:left w:val="nil"/>
              <w:bottom w:val="single" w:sz="4" w:space="0" w:color="9BC2E6"/>
              <w:right w:val="nil"/>
            </w:tcBorders>
            <w:shd w:val="clear" w:color="DDEBF7" w:fill="DDEBF7"/>
            <w:noWrap/>
            <w:vAlign w:val="bottom"/>
            <w:hideMark/>
          </w:tcPr>
          <w:p w14:paraId="4F52A768" w14:textId="77777777" w:rsidR="007014C6" w:rsidRPr="007014C6" w:rsidRDefault="007014C6" w:rsidP="007014C6">
            <w:pPr>
              <w:spacing w:after="0" w:line="240" w:lineRule="auto"/>
              <w:jc w:val="right"/>
              <w:rPr>
                <w:rFonts w:ascii="Calibri" w:eastAsia="Times New Roman" w:hAnsi="Calibri" w:cs="Times New Roman"/>
                <w:color w:val="000000"/>
                <w:sz w:val="22"/>
                <w:szCs w:val="22"/>
                <w:lang w:eastAsia="en-IN"/>
              </w:rPr>
            </w:pPr>
            <w:r w:rsidRPr="007014C6">
              <w:rPr>
                <w:rFonts w:ascii="Calibri" w:eastAsia="Times New Roman" w:hAnsi="Calibri" w:cs="Times New Roman"/>
                <w:color w:val="000000"/>
                <w:sz w:val="22"/>
                <w:szCs w:val="22"/>
                <w:lang w:eastAsia="en-IN"/>
              </w:rPr>
              <w:t>0.571</w:t>
            </w:r>
          </w:p>
        </w:tc>
        <w:tc>
          <w:tcPr>
            <w:tcW w:w="1367" w:type="dxa"/>
            <w:tcBorders>
              <w:top w:val="single" w:sz="4" w:space="0" w:color="9BC2E6"/>
              <w:left w:val="nil"/>
              <w:bottom w:val="single" w:sz="4" w:space="0" w:color="9BC2E6"/>
              <w:right w:val="single" w:sz="4" w:space="0" w:color="9BC2E6"/>
            </w:tcBorders>
            <w:shd w:val="clear" w:color="DDEBF7" w:fill="DDEBF7"/>
            <w:noWrap/>
            <w:vAlign w:val="bottom"/>
            <w:hideMark/>
          </w:tcPr>
          <w:p w14:paraId="30ED208A" w14:textId="77777777" w:rsidR="007014C6" w:rsidRPr="007014C6" w:rsidRDefault="007014C6" w:rsidP="007014C6">
            <w:pPr>
              <w:spacing w:after="0" w:line="240" w:lineRule="auto"/>
              <w:jc w:val="right"/>
              <w:rPr>
                <w:rFonts w:ascii="Calibri" w:eastAsia="Times New Roman" w:hAnsi="Calibri" w:cs="Times New Roman"/>
                <w:color w:val="000000"/>
                <w:sz w:val="22"/>
                <w:szCs w:val="22"/>
                <w:lang w:eastAsia="en-IN"/>
              </w:rPr>
            </w:pPr>
            <w:r w:rsidRPr="007014C6">
              <w:rPr>
                <w:rFonts w:ascii="Calibri" w:eastAsia="Times New Roman" w:hAnsi="Calibri" w:cs="Times New Roman"/>
                <w:color w:val="000000"/>
                <w:sz w:val="22"/>
                <w:szCs w:val="22"/>
                <w:lang w:eastAsia="en-IN"/>
              </w:rPr>
              <w:t>3.293</w:t>
            </w:r>
          </w:p>
        </w:tc>
      </w:tr>
      <w:tr w:rsidR="007014C6" w:rsidRPr="007014C6" w14:paraId="1CA3DDB8" w14:textId="77777777" w:rsidTr="007014C6">
        <w:trPr>
          <w:trHeight w:val="338"/>
          <w:jc w:val="center"/>
        </w:trPr>
        <w:tc>
          <w:tcPr>
            <w:tcW w:w="4793" w:type="dxa"/>
            <w:tcBorders>
              <w:top w:val="single" w:sz="4" w:space="0" w:color="9BC2E6"/>
              <w:left w:val="single" w:sz="4" w:space="0" w:color="9BC2E6"/>
              <w:bottom w:val="single" w:sz="4" w:space="0" w:color="9BC2E6"/>
              <w:right w:val="nil"/>
            </w:tcBorders>
            <w:shd w:val="clear" w:color="auto" w:fill="auto"/>
            <w:noWrap/>
            <w:vAlign w:val="bottom"/>
            <w:hideMark/>
          </w:tcPr>
          <w:p w14:paraId="4C018413" w14:textId="77777777" w:rsidR="007014C6" w:rsidRPr="007014C6" w:rsidRDefault="007014C6" w:rsidP="007014C6">
            <w:pPr>
              <w:spacing w:after="0" w:line="240" w:lineRule="auto"/>
              <w:rPr>
                <w:rFonts w:ascii="Calibri" w:eastAsia="Times New Roman" w:hAnsi="Calibri" w:cs="Times New Roman"/>
                <w:color w:val="000000"/>
                <w:sz w:val="22"/>
                <w:szCs w:val="22"/>
                <w:lang w:eastAsia="en-IN"/>
              </w:rPr>
            </w:pPr>
            <w:r w:rsidRPr="007014C6">
              <w:rPr>
                <w:rFonts w:ascii="Calibri" w:eastAsia="Times New Roman" w:hAnsi="Calibri" w:cs="Times New Roman"/>
                <w:color w:val="000000"/>
                <w:sz w:val="22"/>
                <w:szCs w:val="22"/>
                <w:lang w:eastAsia="en-IN"/>
              </w:rPr>
              <w:t>Standard Deviation of Unadjusted Returns</w:t>
            </w:r>
          </w:p>
        </w:tc>
        <w:tc>
          <w:tcPr>
            <w:tcW w:w="1237" w:type="dxa"/>
            <w:tcBorders>
              <w:top w:val="single" w:sz="4" w:space="0" w:color="9BC2E6"/>
              <w:left w:val="nil"/>
              <w:bottom w:val="single" w:sz="4" w:space="0" w:color="9BC2E6"/>
              <w:right w:val="nil"/>
            </w:tcBorders>
            <w:shd w:val="clear" w:color="auto" w:fill="auto"/>
            <w:noWrap/>
            <w:vAlign w:val="bottom"/>
            <w:hideMark/>
          </w:tcPr>
          <w:p w14:paraId="7134B8B9" w14:textId="77777777" w:rsidR="007014C6" w:rsidRPr="007014C6" w:rsidRDefault="007014C6" w:rsidP="007014C6">
            <w:pPr>
              <w:spacing w:after="0" w:line="240" w:lineRule="auto"/>
              <w:jc w:val="right"/>
              <w:rPr>
                <w:rFonts w:ascii="Calibri" w:eastAsia="Times New Roman" w:hAnsi="Calibri" w:cs="Times New Roman"/>
                <w:color w:val="000000"/>
                <w:sz w:val="22"/>
                <w:szCs w:val="22"/>
                <w:lang w:eastAsia="en-IN"/>
              </w:rPr>
            </w:pPr>
            <w:r w:rsidRPr="007014C6">
              <w:rPr>
                <w:rFonts w:ascii="Calibri" w:eastAsia="Times New Roman" w:hAnsi="Calibri" w:cs="Times New Roman"/>
                <w:color w:val="000000"/>
                <w:sz w:val="22"/>
                <w:szCs w:val="22"/>
                <w:lang w:eastAsia="en-IN"/>
              </w:rPr>
              <w:t>2.0115</w:t>
            </w:r>
          </w:p>
        </w:tc>
        <w:tc>
          <w:tcPr>
            <w:tcW w:w="1237" w:type="dxa"/>
            <w:tcBorders>
              <w:top w:val="single" w:sz="4" w:space="0" w:color="9BC2E6"/>
              <w:left w:val="nil"/>
              <w:bottom w:val="single" w:sz="4" w:space="0" w:color="9BC2E6"/>
              <w:right w:val="nil"/>
            </w:tcBorders>
            <w:shd w:val="clear" w:color="auto" w:fill="auto"/>
            <w:noWrap/>
            <w:vAlign w:val="bottom"/>
            <w:hideMark/>
          </w:tcPr>
          <w:p w14:paraId="0E9F79A9" w14:textId="77777777" w:rsidR="007014C6" w:rsidRPr="007014C6" w:rsidRDefault="007014C6" w:rsidP="007014C6">
            <w:pPr>
              <w:spacing w:after="0" w:line="240" w:lineRule="auto"/>
              <w:jc w:val="right"/>
              <w:rPr>
                <w:rFonts w:ascii="Calibri" w:eastAsia="Times New Roman" w:hAnsi="Calibri" w:cs="Times New Roman"/>
                <w:color w:val="000000"/>
                <w:sz w:val="22"/>
                <w:szCs w:val="22"/>
                <w:lang w:eastAsia="en-IN"/>
              </w:rPr>
            </w:pPr>
            <w:r w:rsidRPr="007014C6">
              <w:rPr>
                <w:rFonts w:ascii="Calibri" w:eastAsia="Times New Roman" w:hAnsi="Calibri" w:cs="Times New Roman"/>
                <w:color w:val="000000"/>
                <w:sz w:val="22"/>
                <w:szCs w:val="22"/>
                <w:lang w:eastAsia="en-IN"/>
              </w:rPr>
              <w:t>3.5876</w:t>
            </w:r>
          </w:p>
        </w:tc>
        <w:tc>
          <w:tcPr>
            <w:tcW w:w="1367" w:type="dxa"/>
            <w:tcBorders>
              <w:top w:val="single" w:sz="4" w:space="0" w:color="9BC2E6"/>
              <w:left w:val="nil"/>
              <w:bottom w:val="single" w:sz="4" w:space="0" w:color="9BC2E6"/>
              <w:right w:val="single" w:sz="4" w:space="0" w:color="9BC2E6"/>
            </w:tcBorders>
            <w:shd w:val="clear" w:color="auto" w:fill="auto"/>
            <w:noWrap/>
            <w:vAlign w:val="bottom"/>
            <w:hideMark/>
          </w:tcPr>
          <w:p w14:paraId="170B03F7" w14:textId="77777777" w:rsidR="007014C6" w:rsidRPr="007014C6" w:rsidRDefault="007014C6" w:rsidP="007014C6">
            <w:pPr>
              <w:spacing w:after="0" w:line="240" w:lineRule="auto"/>
              <w:jc w:val="right"/>
              <w:rPr>
                <w:rFonts w:ascii="Calibri" w:eastAsia="Times New Roman" w:hAnsi="Calibri" w:cs="Times New Roman"/>
                <w:color w:val="000000"/>
                <w:sz w:val="22"/>
                <w:szCs w:val="22"/>
                <w:lang w:eastAsia="en-IN"/>
              </w:rPr>
            </w:pPr>
            <w:r w:rsidRPr="007014C6">
              <w:rPr>
                <w:rFonts w:ascii="Calibri" w:eastAsia="Times New Roman" w:hAnsi="Calibri" w:cs="Times New Roman"/>
                <w:color w:val="000000"/>
                <w:sz w:val="22"/>
                <w:szCs w:val="22"/>
                <w:lang w:eastAsia="en-IN"/>
              </w:rPr>
              <w:t>3.7633</w:t>
            </w:r>
          </w:p>
        </w:tc>
      </w:tr>
      <w:tr w:rsidR="007014C6" w:rsidRPr="007014C6" w14:paraId="5426E1DA" w14:textId="77777777" w:rsidTr="007014C6">
        <w:trPr>
          <w:trHeight w:val="338"/>
          <w:jc w:val="center"/>
        </w:trPr>
        <w:tc>
          <w:tcPr>
            <w:tcW w:w="4793" w:type="dxa"/>
            <w:tcBorders>
              <w:top w:val="single" w:sz="4" w:space="0" w:color="9BC2E6"/>
              <w:left w:val="single" w:sz="4" w:space="0" w:color="9BC2E6"/>
              <w:bottom w:val="single" w:sz="4" w:space="0" w:color="9BC2E6"/>
              <w:right w:val="nil"/>
            </w:tcBorders>
            <w:shd w:val="clear" w:color="DDEBF7" w:fill="DDEBF7"/>
            <w:noWrap/>
            <w:vAlign w:val="bottom"/>
            <w:hideMark/>
          </w:tcPr>
          <w:p w14:paraId="557D9E28" w14:textId="77777777" w:rsidR="007014C6" w:rsidRPr="007014C6" w:rsidRDefault="007014C6" w:rsidP="007014C6">
            <w:pPr>
              <w:spacing w:after="0" w:line="240" w:lineRule="auto"/>
              <w:rPr>
                <w:rFonts w:ascii="Calibri" w:eastAsia="Times New Roman" w:hAnsi="Calibri" w:cs="Times New Roman"/>
                <w:color w:val="000000"/>
                <w:sz w:val="22"/>
                <w:szCs w:val="22"/>
                <w:lang w:eastAsia="en-IN"/>
              </w:rPr>
            </w:pPr>
            <w:r w:rsidRPr="007014C6">
              <w:rPr>
                <w:rFonts w:ascii="Calibri" w:eastAsia="Times New Roman" w:hAnsi="Calibri" w:cs="Times New Roman"/>
                <w:color w:val="000000"/>
                <w:sz w:val="22"/>
                <w:szCs w:val="22"/>
                <w:lang w:eastAsia="en-IN"/>
              </w:rPr>
              <w:t>Sharpe Ratio</w:t>
            </w:r>
          </w:p>
        </w:tc>
        <w:tc>
          <w:tcPr>
            <w:tcW w:w="1237" w:type="dxa"/>
            <w:tcBorders>
              <w:top w:val="single" w:sz="4" w:space="0" w:color="9BC2E6"/>
              <w:left w:val="nil"/>
              <w:bottom w:val="single" w:sz="4" w:space="0" w:color="9BC2E6"/>
              <w:right w:val="nil"/>
            </w:tcBorders>
            <w:shd w:val="clear" w:color="DDEBF7" w:fill="F8696B"/>
            <w:noWrap/>
            <w:vAlign w:val="bottom"/>
            <w:hideMark/>
          </w:tcPr>
          <w:p w14:paraId="4F2934DB" w14:textId="77777777" w:rsidR="007014C6" w:rsidRPr="007014C6" w:rsidRDefault="007014C6" w:rsidP="007014C6">
            <w:pPr>
              <w:spacing w:after="0" w:line="240" w:lineRule="auto"/>
              <w:jc w:val="right"/>
              <w:rPr>
                <w:rFonts w:ascii="Calibri" w:eastAsia="Times New Roman" w:hAnsi="Calibri" w:cs="Times New Roman"/>
                <w:color w:val="000000"/>
                <w:sz w:val="22"/>
                <w:szCs w:val="22"/>
                <w:lang w:eastAsia="en-IN"/>
              </w:rPr>
            </w:pPr>
            <w:r w:rsidRPr="007014C6">
              <w:rPr>
                <w:rFonts w:ascii="Calibri" w:eastAsia="Times New Roman" w:hAnsi="Calibri" w:cs="Times New Roman"/>
                <w:color w:val="000000"/>
                <w:sz w:val="22"/>
                <w:szCs w:val="22"/>
                <w:lang w:eastAsia="en-IN"/>
              </w:rPr>
              <w:t>0.090977</w:t>
            </w:r>
          </w:p>
        </w:tc>
        <w:tc>
          <w:tcPr>
            <w:tcW w:w="1237" w:type="dxa"/>
            <w:tcBorders>
              <w:top w:val="single" w:sz="4" w:space="0" w:color="9BC2E6"/>
              <w:left w:val="nil"/>
              <w:bottom w:val="single" w:sz="4" w:space="0" w:color="9BC2E6"/>
              <w:right w:val="nil"/>
            </w:tcBorders>
            <w:shd w:val="clear" w:color="DDEBF7" w:fill="FCFCFF"/>
            <w:noWrap/>
            <w:vAlign w:val="bottom"/>
            <w:hideMark/>
          </w:tcPr>
          <w:p w14:paraId="7ADD849B" w14:textId="77777777" w:rsidR="007014C6" w:rsidRPr="007014C6" w:rsidRDefault="007014C6" w:rsidP="007014C6">
            <w:pPr>
              <w:spacing w:after="0" w:line="240" w:lineRule="auto"/>
              <w:jc w:val="right"/>
              <w:rPr>
                <w:rFonts w:ascii="Calibri" w:eastAsia="Times New Roman" w:hAnsi="Calibri" w:cs="Times New Roman"/>
                <w:color w:val="000000"/>
                <w:sz w:val="22"/>
                <w:szCs w:val="22"/>
                <w:lang w:eastAsia="en-IN"/>
              </w:rPr>
            </w:pPr>
            <w:r w:rsidRPr="007014C6">
              <w:rPr>
                <w:rFonts w:ascii="Calibri" w:eastAsia="Times New Roman" w:hAnsi="Calibri" w:cs="Times New Roman"/>
                <w:color w:val="000000"/>
                <w:sz w:val="22"/>
                <w:szCs w:val="22"/>
                <w:lang w:eastAsia="en-IN"/>
              </w:rPr>
              <w:t>0.159159</w:t>
            </w:r>
          </w:p>
        </w:tc>
        <w:tc>
          <w:tcPr>
            <w:tcW w:w="1367" w:type="dxa"/>
            <w:tcBorders>
              <w:top w:val="single" w:sz="4" w:space="0" w:color="9BC2E6"/>
              <w:left w:val="nil"/>
              <w:bottom w:val="single" w:sz="4" w:space="0" w:color="9BC2E6"/>
              <w:right w:val="single" w:sz="4" w:space="0" w:color="9BC2E6"/>
            </w:tcBorders>
            <w:shd w:val="clear" w:color="DDEBF7" w:fill="63BE7B"/>
            <w:noWrap/>
            <w:vAlign w:val="bottom"/>
            <w:hideMark/>
          </w:tcPr>
          <w:p w14:paraId="1F35205A" w14:textId="77777777" w:rsidR="007014C6" w:rsidRPr="007014C6" w:rsidRDefault="007014C6" w:rsidP="007014C6">
            <w:pPr>
              <w:spacing w:after="0" w:line="240" w:lineRule="auto"/>
              <w:jc w:val="right"/>
              <w:rPr>
                <w:rFonts w:ascii="Calibri" w:eastAsia="Times New Roman" w:hAnsi="Calibri" w:cs="Times New Roman"/>
                <w:color w:val="000000"/>
                <w:sz w:val="22"/>
                <w:szCs w:val="22"/>
                <w:lang w:eastAsia="en-IN"/>
              </w:rPr>
            </w:pPr>
            <w:r w:rsidRPr="007014C6">
              <w:rPr>
                <w:rFonts w:ascii="Calibri" w:eastAsia="Times New Roman" w:hAnsi="Calibri" w:cs="Times New Roman"/>
                <w:color w:val="000000"/>
                <w:sz w:val="22"/>
                <w:szCs w:val="22"/>
                <w:lang w:eastAsia="en-IN"/>
              </w:rPr>
              <w:t>0.8750299</w:t>
            </w:r>
          </w:p>
        </w:tc>
      </w:tr>
    </w:tbl>
    <w:p w14:paraId="520FCA52" w14:textId="0F223B72" w:rsidR="007014C6" w:rsidRDefault="007014C6" w:rsidP="007014C6">
      <w:pPr>
        <w:jc w:val="center"/>
        <w:rPr>
          <w:rFonts w:ascii="CMCSC10" w:hAnsi="CMCSC10"/>
          <w:color w:val="1481AB" w:themeColor="accent1" w:themeShade="BF"/>
          <w:sz w:val="36"/>
          <w:szCs w:val="32"/>
        </w:rPr>
      </w:pPr>
    </w:p>
    <w:p w14:paraId="2F4F2EFA" w14:textId="77777777" w:rsidR="00443E97" w:rsidRDefault="00443E97" w:rsidP="007014C6">
      <w:pPr>
        <w:jc w:val="center"/>
        <w:rPr>
          <w:rFonts w:ascii="CMCSC10" w:hAnsi="CMCSC10"/>
          <w:color w:val="1481AB" w:themeColor="accent1" w:themeShade="BF"/>
          <w:sz w:val="36"/>
          <w:szCs w:val="32"/>
        </w:rPr>
      </w:pPr>
    </w:p>
    <w:p w14:paraId="1480E5DF" w14:textId="4AE79EE6" w:rsidR="00C7566B" w:rsidRDefault="009049D1" w:rsidP="00A74BFA">
      <w:pPr>
        <w:jc w:val="center"/>
        <w:rPr>
          <w:rFonts w:ascii="CMCSC10" w:hAnsi="CMCSC10"/>
          <w:b/>
          <w:bCs/>
          <w:color w:val="1481AB" w:themeColor="accent1" w:themeShade="BF"/>
          <w:sz w:val="40"/>
          <w:szCs w:val="40"/>
        </w:rPr>
      </w:pPr>
      <w:r>
        <w:rPr>
          <w:rFonts w:ascii="CMCSC10" w:hAnsi="CMCSC10"/>
          <w:b/>
          <w:bCs/>
          <w:noProof/>
          <w:color w:val="1481AB" w:themeColor="accent1" w:themeShade="BF"/>
          <w:sz w:val="40"/>
          <w:szCs w:val="40"/>
        </w:rPr>
        <w:drawing>
          <wp:inline distT="0" distB="0" distL="0" distR="0" wp14:anchorId="0D83DCD6" wp14:editId="33C0A9DE">
            <wp:extent cx="2465651" cy="12954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2465651" cy="1295430"/>
                    </a:xfrm>
                    <a:prstGeom prst="rect">
                      <a:avLst/>
                    </a:prstGeom>
                    <a:noFill/>
                    <a:ln>
                      <a:noFill/>
                    </a:ln>
                  </pic:spPr>
                </pic:pic>
              </a:graphicData>
            </a:graphic>
          </wp:inline>
        </w:drawing>
      </w:r>
      <w:r>
        <w:rPr>
          <w:rFonts w:ascii="CMCSC10" w:hAnsi="CMCSC10"/>
          <w:b/>
          <w:bCs/>
          <w:noProof/>
          <w:color w:val="1481AB" w:themeColor="accent1" w:themeShade="BF"/>
          <w:sz w:val="40"/>
          <w:szCs w:val="40"/>
        </w:rPr>
        <w:drawing>
          <wp:inline distT="0" distB="0" distL="0" distR="0" wp14:anchorId="2F1C09BE" wp14:editId="23EB69FD">
            <wp:extent cx="2512606" cy="13201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2512606" cy="1320100"/>
                    </a:xfrm>
                    <a:prstGeom prst="rect">
                      <a:avLst/>
                    </a:prstGeom>
                    <a:noFill/>
                    <a:ln>
                      <a:noFill/>
                    </a:ln>
                  </pic:spPr>
                </pic:pic>
              </a:graphicData>
            </a:graphic>
          </wp:inline>
        </w:drawing>
      </w:r>
    </w:p>
    <w:p w14:paraId="42F8DE8E" w14:textId="607EB9A3" w:rsidR="00F40422" w:rsidRDefault="009049D1" w:rsidP="009049D1">
      <w:pPr>
        <w:ind w:firstLine="720"/>
        <w:jc w:val="center"/>
        <w:rPr>
          <w:rFonts w:ascii="CMCSC10" w:hAnsi="CMCSC10"/>
          <w:color w:val="000000" w:themeColor="text1"/>
          <w:sz w:val="36"/>
          <w:szCs w:val="36"/>
          <w:u w:val="single"/>
        </w:rPr>
      </w:pPr>
      <w:r w:rsidRPr="00B841AB">
        <w:rPr>
          <w:rFonts w:ascii="CMCSC10" w:hAnsi="CMCSC10"/>
          <w:color w:val="000000" w:themeColor="text1"/>
          <w:sz w:val="36"/>
          <w:szCs w:val="36"/>
          <w:u w:val="single"/>
        </w:rPr>
        <w:t xml:space="preserve">Comparison of </w:t>
      </w:r>
      <w:r>
        <w:rPr>
          <w:rFonts w:ascii="CMCSC10" w:hAnsi="CMCSC10"/>
          <w:b/>
          <w:bCs/>
          <w:color w:val="000000" w:themeColor="text1"/>
          <w:sz w:val="36"/>
          <w:szCs w:val="36"/>
          <w:u w:val="single"/>
        </w:rPr>
        <w:t>Daily</w:t>
      </w:r>
      <w:r>
        <w:rPr>
          <w:rFonts w:ascii="CMCSC10" w:hAnsi="CMCSC10"/>
          <w:color w:val="000000" w:themeColor="text1"/>
          <w:sz w:val="36"/>
          <w:szCs w:val="36"/>
          <w:u w:val="single"/>
        </w:rPr>
        <w:t xml:space="preserve"> Risk-Unadjusted and</w:t>
      </w:r>
      <w:r w:rsidRPr="00B841AB">
        <w:rPr>
          <w:rFonts w:ascii="CMCSC10" w:hAnsi="CMCSC10"/>
          <w:color w:val="000000" w:themeColor="text1"/>
          <w:sz w:val="36"/>
          <w:szCs w:val="36"/>
          <w:u w:val="single"/>
        </w:rPr>
        <w:t xml:space="preserve"> </w:t>
      </w:r>
      <w:r w:rsidRPr="00FE1794">
        <w:rPr>
          <w:rFonts w:ascii="CMCSC10" w:hAnsi="CMCSC10"/>
          <w:color w:val="000000" w:themeColor="text1"/>
          <w:sz w:val="36"/>
          <w:szCs w:val="36"/>
          <w:u w:val="single"/>
        </w:rPr>
        <w:t>Risk- Adjusted</w:t>
      </w:r>
      <w:r w:rsidRPr="00B841AB">
        <w:rPr>
          <w:rFonts w:ascii="CMCSC10" w:hAnsi="CMCSC10"/>
          <w:b/>
          <w:bCs/>
          <w:color w:val="000000" w:themeColor="text1"/>
          <w:sz w:val="36"/>
          <w:szCs w:val="36"/>
          <w:u w:val="single"/>
        </w:rPr>
        <w:t xml:space="preserve"> </w:t>
      </w:r>
      <w:r w:rsidRPr="00B841AB">
        <w:rPr>
          <w:rFonts w:ascii="CMCSC10" w:hAnsi="CMCSC10"/>
          <w:color w:val="000000" w:themeColor="text1"/>
          <w:sz w:val="36"/>
          <w:szCs w:val="36"/>
          <w:u w:val="single"/>
        </w:rPr>
        <w:t>Returns</w:t>
      </w:r>
      <w:r>
        <w:rPr>
          <w:rFonts w:ascii="CMCSC10" w:hAnsi="CMCSC10"/>
          <w:color w:val="000000" w:themeColor="text1"/>
          <w:sz w:val="36"/>
          <w:szCs w:val="36"/>
          <w:u w:val="single"/>
        </w:rPr>
        <w:t xml:space="preserve"> for </w:t>
      </w:r>
      <w:r>
        <w:rPr>
          <w:rFonts w:ascii="CMCSC10" w:hAnsi="CMCSC10"/>
          <w:b/>
          <w:bCs/>
          <w:color w:val="000000" w:themeColor="text1"/>
          <w:sz w:val="36"/>
          <w:szCs w:val="36"/>
          <w:u w:val="single"/>
        </w:rPr>
        <w:t xml:space="preserve">Far </w:t>
      </w:r>
      <w:r>
        <w:rPr>
          <w:rFonts w:ascii="CMCSC10" w:hAnsi="CMCSC10"/>
          <w:color w:val="000000" w:themeColor="text1"/>
          <w:sz w:val="36"/>
          <w:szCs w:val="36"/>
          <w:u w:val="single"/>
        </w:rPr>
        <w:t>Month Frequency</w:t>
      </w:r>
      <w:r w:rsidRPr="00B841AB">
        <w:rPr>
          <w:rFonts w:ascii="CMCSC10" w:hAnsi="CMCSC10"/>
          <w:color w:val="000000" w:themeColor="text1"/>
          <w:sz w:val="36"/>
          <w:szCs w:val="36"/>
          <w:u w:val="single"/>
        </w:rPr>
        <w:t xml:space="preserve"> </w:t>
      </w:r>
    </w:p>
    <w:p w14:paraId="78A48A10" w14:textId="77777777" w:rsidR="00F40422" w:rsidRDefault="00F40422" w:rsidP="009049D1">
      <w:pPr>
        <w:ind w:firstLine="720"/>
        <w:jc w:val="center"/>
        <w:rPr>
          <w:rFonts w:ascii="CMCSC10" w:hAnsi="CMCSC10"/>
          <w:color w:val="000000" w:themeColor="text1"/>
          <w:sz w:val="36"/>
          <w:szCs w:val="36"/>
          <w:u w:val="single"/>
        </w:rPr>
      </w:pPr>
    </w:p>
    <w:p w14:paraId="7B979421" w14:textId="6071A37E" w:rsidR="009049D1" w:rsidRDefault="00F40422" w:rsidP="009049D1">
      <w:pPr>
        <w:ind w:firstLine="720"/>
        <w:jc w:val="center"/>
        <w:rPr>
          <w:rFonts w:ascii="CMCSC10" w:hAnsi="CMCSC10"/>
          <w:color w:val="000000" w:themeColor="text1"/>
          <w:sz w:val="36"/>
          <w:szCs w:val="36"/>
          <w:u w:val="single"/>
        </w:rPr>
      </w:pPr>
      <w:r>
        <w:rPr>
          <w:rFonts w:ascii="CMCSC10" w:hAnsi="CMCSC10"/>
          <w:b/>
          <w:bCs/>
          <w:noProof/>
          <w:color w:val="1481AB" w:themeColor="accent1" w:themeShade="BF"/>
          <w:sz w:val="40"/>
          <w:szCs w:val="40"/>
        </w:rPr>
        <w:lastRenderedPageBreak/>
        <w:drawing>
          <wp:inline distT="0" distB="0" distL="0" distR="0" wp14:anchorId="3CBE13A5" wp14:editId="3620CD07">
            <wp:extent cx="2481927" cy="137015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2501752" cy="1381100"/>
                    </a:xfrm>
                    <a:prstGeom prst="rect">
                      <a:avLst/>
                    </a:prstGeom>
                    <a:noFill/>
                    <a:ln>
                      <a:noFill/>
                    </a:ln>
                  </pic:spPr>
                </pic:pic>
              </a:graphicData>
            </a:graphic>
          </wp:inline>
        </w:drawing>
      </w:r>
      <w:r>
        <w:rPr>
          <w:rFonts w:ascii="CMCSC10" w:hAnsi="CMCSC10"/>
          <w:b/>
          <w:bCs/>
          <w:noProof/>
          <w:color w:val="1481AB" w:themeColor="accent1" w:themeShade="BF"/>
          <w:sz w:val="40"/>
          <w:szCs w:val="40"/>
        </w:rPr>
        <w:drawing>
          <wp:inline distT="0" distB="0" distL="0" distR="0" wp14:anchorId="60C5DF6B" wp14:editId="0FC7AB4E">
            <wp:extent cx="2419909" cy="133852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82314" cy="1373040"/>
                    </a:xfrm>
                    <a:prstGeom prst="rect">
                      <a:avLst/>
                    </a:prstGeom>
                    <a:noFill/>
                    <a:ln>
                      <a:noFill/>
                    </a:ln>
                  </pic:spPr>
                </pic:pic>
              </a:graphicData>
            </a:graphic>
          </wp:inline>
        </w:drawing>
      </w:r>
    </w:p>
    <w:p w14:paraId="6B0AF405" w14:textId="319FBFCA" w:rsidR="00F40422" w:rsidRDefault="00F40422" w:rsidP="00F40422">
      <w:pPr>
        <w:ind w:firstLine="720"/>
        <w:jc w:val="center"/>
        <w:rPr>
          <w:rFonts w:ascii="CMCSC10" w:hAnsi="CMCSC10"/>
          <w:color w:val="000000" w:themeColor="text1"/>
          <w:sz w:val="36"/>
          <w:szCs w:val="36"/>
          <w:u w:val="single"/>
        </w:rPr>
      </w:pPr>
      <w:r w:rsidRPr="00B841AB">
        <w:rPr>
          <w:rFonts w:ascii="CMCSC10" w:hAnsi="CMCSC10"/>
          <w:color w:val="000000" w:themeColor="text1"/>
          <w:sz w:val="36"/>
          <w:szCs w:val="36"/>
          <w:u w:val="single"/>
        </w:rPr>
        <w:t xml:space="preserve">Comparison of </w:t>
      </w:r>
      <w:r>
        <w:rPr>
          <w:rFonts w:ascii="CMCSC10" w:hAnsi="CMCSC10"/>
          <w:b/>
          <w:bCs/>
          <w:color w:val="000000" w:themeColor="text1"/>
          <w:sz w:val="36"/>
          <w:szCs w:val="36"/>
          <w:u w:val="single"/>
        </w:rPr>
        <w:t>Weekly</w:t>
      </w:r>
      <w:r>
        <w:rPr>
          <w:rFonts w:ascii="CMCSC10" w:hAnsi="CMCSC10"/>
          <w:color w:val="000000" w:themeColor="text1"/>
          <w:sz w:val="36"/>
          <w:szCs w:val="36"/>
          <w:u w:val="single"/>
        </w:rPr>
        <w:t xml:space="preserve"> Risk-Unadjusted and</w:t>
      </w:r>
      <w:r w:rsidRPr="00B841AB">
        <w:rPr>
          <w:rFonts w:ascii="CMCSC10" w:hAnsi="CMCSC10"/>
          <w:color w:val="000000" w:themeColor="text1"/>
          <w:sz w:val="36"/>
          <w:szCs w:val="36"/>
          <w:u w:val="single"/>
        </w:rPr>
        <w:t xml:space="preserve"> </w:t>
      </w:r>
      <w:r w:rsidRPr="00FE1794">
        <w:rPr>
          <w:rFonts w:ascii="CMCSC10" w:hAnsi="CMCSC10"/>
          <w:color w:val="000000" w:themeColor="text1"/>
          <w:sz w:val="36"/>
          <w:szCs w:val="36"/>
          <w:u w:val="single"/>
        </w:rPr>
        <w:t>Risk- Adjusted</w:t>
      </w:r>
      <w:r w:rsidRPr="00B841AB">
        <w:rPr>
          <w:rFonts w:ascii="CMCSC10" w:hAnsi="CMCSC10"/>
          <w:b/>
          <w:bCs/>
          <w:color w:val="000000" w:themeColor="text1"/>
          <w:sz w:val="36"/>
          <w:szCs w:val="36"/>
          <w:u w:val="single"/>
        </w:rPr>
        <w:t xml:space="preserve"> </w:t>
      </w:r>
      <w:r w:rsidRPr="00B841AB">
        <w:rPr>
          <w:rFonts w:ascii="CMCSC10" w:hAnsi="CMCSC10"/>
          <w:color w:val="000000" w:themeColor="text1"/>
          <w:sz w:val="36"/>
          <w:szCs w:val="36"/>
          <w:u w:val="single"/>
        </w:rPr>
        <w:t>Returns</w:t>
      </w:r>
      <w:r>
        <w:rPr>
          <w:rFonts w:ascii="CMCSC10" w:hAnsi="CMCSC10"/>
          <w:color w:val="000000" w:themeColor="text1"/>
          <w:sz w:val="36"/>
          <w:szCs w:val="36"/>
          <w:u w:val="single"/>
        </w:rPr>
        <w:t xml:space="preserve"> for </w:t>
      </w:r>
      <w:r>
        <w:rPr>
          <w:rFonts w:ascii="CMCSC10" w:hAnsi="CMCSC10"/>
          <w:b/>
          <w:bCs/>
          <w:color w:val="000000" w:themeColor="text1"/>
          <w:sz w:val="36"/>
          <w:szCs w:val="36"/>
          <w:u w:val="single"/>
        </w:rPr>
        <w:t xml:space="preserve">Far </w:t>
      </w:r>
      <w:r>
        <w:rPr>
          <w:rFonts w:ascii="CMCSC10" w:hAnsi="CMCSC10"/>
          <w:color w:val="000000" w:themeColor="text1"/>
          <w:sz w:val="36"/>
          <w:szCs w:val="36"/>
          <w:u w:val="single"/>
        </w:rPr>
        <w:t>Month Frequency</w:t>
      </w:r>
      <w:r w:rsidRPr="00B841AB">
        <w:rPr>
          <w:rFonts w:ascii="CMCSC10" w:hAnsi="CMCSC10"/>
          <w:color w:val="000000" w:themeColor="text1"/>
          <w:sz w:val="36"/>
          <w:szCs w:val="36"/>
          <w:u w:val="single"/>
        </w:rPr>
        <w:t xml:space="preserve"> </w:t>
      </w:r>
    </w:p>
    <w:p w14:paraId="32C7BBAA" w14:textId="6441D7BE" w:rsidR="009049D1" w:rsidRDefault="009049D1" w:rsidP="00226990">
      <w:pPr>
        <w:rPr>
          <w:rFonts w:ascii="CMCSC10" w:hAnsi="CMCSC10"/>
          <w:b/>
          <w:bCs/>
          <w:color w:val="1481AB" w:themeColor="accent1" w:themeShade="BF"/>
          <w:sz w:val="40"/>
          <w:szCs w:val="40"/>
        </w:rPr>
      </w:pPr>
    </w:p>
    <w:p w14:paraId="78BAA5A4" w14:textId="58648AD2" w:rsidR="00980CC9" w:rsidRDefault="00484E69" w:rsidP="002B2640">
      <w:pPr>
        <w:jc w:val="center"/>
        <w:rPr>
          <w:rFonts w:ascii="CMCSC10" w:hAnsi="CMCSC10"/>
          <w:b/>
          <w:bCs/>
          <w:color w:val="1481AB" w:themeColor="accent1" w:themeShade="BF"/>
          <w:sz w:val="40"/>
          <w:szCs w:val="40"/>
        </w:rPr>
      </w:pPr>
      <w:r>
        <w:rPr>
          <w:rFonts w:ascii="CMCSC10" w:hAnsi="CMCSC10"/>
          <w:b/>
          <w:bCs/>
          <w:noProof/>
          <w:color w:val="1481AB" w:themeColor="accent1" w:themeShade="BF"/>
          <w:sz w:val="40"/>
          <w:szCs w:val="40"/>
        </w:rPr>
        <w:drawing>
          <wp:inline distT="0" distB="0" distL="0" distR="0" wp14:anchorId="7C0B0716" wp14:editId="11D65DF4">
            <wp:extent cx="2298700" cy="1219324"/>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cstate="print">
                      <a:extLst>
                        <a:ext uri="{28A0092B-C50C-407E-A947-70E740481C1C}">
                          <a14:useLocalDpi xmlns:a14="http://schemas.microsoft.com/office/drawing/2010/main" val="0"/>
                        </a:ext>
                      </a:extLst>
                    </a:blip>
                    <a:stretch>
                      <a:fillRect/>
                    </a:stretch>
                  </pic:blipFill>
                  <pic:spPr bwMode="auto">
                    <a:xfrm>
                      <a:off x="0" y="0"/>
                      <a:ext cx="2314673" cy="1227797"/>
                    </a:xfrm>
                    <a:prstGeom prst="rect">
                      <a:avLst/>
                    </a:prstGeom>
                    <a:noFill/>
                    <a:ln>
                      <a:noFill/>
                    </a:ln>
                  </pic:spPr>
                </pic:pic>
              </a:graphicData>
            </a:graphic>
          </wp:inline>
        </w:drawing>
      </w:r>
      <w:r w:rsidR="002959AD">
        <w:rPr>
          <w:rFonts w:ascii="CMCSC10" w:hAnsi="CMCSC10"/>
          <w:b/>
          <w:bCs/>
          <w:noProof/>
          <w:color w:val="1481AB" w:themeColor="accent1" w:themeShade="BF"/>
          <w:sz w:val="40"/>
          <w:szCs w:val="40"/>
        </w:rPr>
        <w:drawing>
          <wp:inline distT="0" distB="0" distL="0" distR="0" wp14:anchorId="322C55C4" wp14:editId="7130DEEA">
            <wp:extent cx="2157940" cy="1135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185685" cy="1149978"/>
                    </a:xfrm>
                    <a:prstGeom prst="rect">
                      <a:avLst/>
                    </a:prstGeom>
                    <a:noFill/>
                    <a:ln>
                      <a:noFill/>
                    </a:ln>
                  </pic:spPr>
                </pic:pic>
              </a:graphicData>
            </a:graphic>
          </wp:inline>
        </w:drawing>
      </w:r>
    </w:p>
    <w:p w14:paraId="246C3033" w14:textId="436FA708" w:rsidR="00A45759" w:rsidRDefault="00A45759" w:rsidP="00A45759">
      <w:pPr>
        <w:ind w:firstLine="720"/>
        <w:jc w:val="center"/>
        <w:rPr>
          <w:rFonts w:ascii="CMCSC10" w:hAnsi="CMCSC10"/>
          <w:color w:val="000000" w:themeColor="text1"/>
          <w:sz w:val="36"/>
          <w:szCs w:val="36"/>
          <w:u w:val="single"/>
        </w:rPr>
      </w:pPr>
      <w:r w:rsidRPr="00B841AB">
        <w:rPr>
          <w:rFonts w:ascii="CMCSC10" w:hAnsi="CMCSC10"/>
          <w:color w:val="000000" w:themeColor="text1"/>
          <w:sz w:val="36"/>
          <w:szCs w:val="36"/>
          <w:u w:val="single"/>
        </w:rPr>
        <w:t xml:space="preserve">Comparison of </w:t>
      </w:r>
      <w:r>
        <w:rPr>
          <w:rFonts w:ascii="CMCSC10" w:hAnsi="CMCSC10"/>
          <w:b/>
          <w:bCs/>
          <w:color w:val="000000" w:themeColor="text1"/>
          <w:sz w:val="36"/>
          <w:szCs w:val="36"/>
          <w:u w:val="single"/>
        </w:rPr>
        <w:t>Monthly</w:t>
      </w:r>
      <w:r w:rsidR="00EC5DBF">
        <w:rPr>
          <w:rFonts w:ascii="CMCSC10" w:hAnsi="CMCSC10"/>
          <w:b/>
          <w:bCs/>
          <w:color w:val="000000" w:themeColor="text1"/>
          <w:sz w:val="36"/>
          <w:szCs w:val="36"/>
          <w:u w:val="single"/>
        </w:rPr>
        <w:t xml:space="preserve"> </w:t>
      </w:r>
      <w:r>
        <w:rPr>
          <w:rFonts w:ascii="CMCSC10" w:hAnsi="CMCSC10"/>
          <w:color w:val="000000" w:themeColor="text1"/>
          <w:sz w:val="36"/>
          <w:szCs w:val="36"/>
          <w:u w:val="single"/>
        </w:rPr>
        <w:t>Risk-Unadjusted and</w:t>
      </w:r>
      <w:r w:rsidRPr="00B841AB">
        <w:rPr>
          <w:rFonts w:ascii="CMCSC10" w:hAnsi="CMCSC10"/>
          <w:color w:val="000000" w:themeColor="text1"/>
          <w:sz w:val="36"/>
          <w:szCs w:val="36"/>
          <w:u w:val="single"/>
        </w:rPr>
        <w:t xml:space="preserve"> </w:t>
      </w:r>
      <w:r w:rsidRPr="00FE1794">
        <w:rPr>
          <w:rFonts w:ascii="CMCSC10" w:hAnsi="CMCSC10"/>
          <w:color w:val="000000" w:themeColor="text1"/>
          <w:sz w:val="36"/>
          <w:szCs w:val="36"/>
          <w:u w:val="single"/>
        </w:rPr>
        <w:t>Risk- Adjusted</w:t>
      </w:r>
      <w:r w:rsidRPr="00B841AB">
        <w:rPr>
          <w:rFonts w:ascii="CMCSC10" w:hAnsi="CMCSC10"/>
          <w:b/>
          <w:bCs/>
          <w:color w:val="000000" w:themeColor="text1"/>
          <w:sz w:val="36"/>
          <w:szCs w:val="36"/>
          <w:u w:val="single"/>
        </w:rPr>
        <w:t xml:space="preserve"> </w:t>
      </w:r>
      <w:r w:rsidRPr="00B841AB">
        <w:rPr>
          <w:rFonts w:ascii="CMCSC10" w:hAnsi="CMCSC10"/>
          <w:color w:val="000000" w:themeColor="text1"/>
          <w:sz w:val="36"/>
          <w:szCs w:val="36"/>
          <w:u w:val="single"/>
        </w:rPr>
        <w:t>Returns</w:t>
      </w:r>
      <w:r>
        <w:rPr>
          <w:rFonts w:ascii="CMCSC10" w:hAnsi="CMCSC10"/>
          <w:color w:val="000000" w:themeColor="text1"/>
          <w:sz w:val="36"/>
          <w:szCs w:val="36"/>
          <w:u w:val="single"/>
        </w:rPr>
        <w:t xml:space="preserve"> for </w:t>
      </w:r>
      <w:r>
        <w:rPr>
          <w:rFonts w:ascii="CMCSC10" w:hAnsi="CMCSC10"/>
          <w:b/>
          <w:bCs/>
          <w:color w:val="000000" w:themeColor="text1"/>
          <w:sz w:val="36"/>
          <w:szCs w:val="36"/>
          <w:u w:val="single"/>
        </w:rPr>
        <w:t xml:space="preserve">Far </w:t>
      </w:r>
      <w:r>
        <w:rPr>
          <w:rFonts w:ascii="CMCSC10" w:hAnsi="CMCSC10"/>
          <w:color w:val="000000" w:themeColor="text1"/>
          <w:sz w:val="36"/>
          <w:szCs w:val="36"/>
          <w:u w:val="single"/>
        </w:rPr>
        <w:t>Month Frequency</w:t>
      </w:r>
      <w:r w:rsidRPr="00B841AB">
        <w:rPr>
          <w:rFonts w:ascii="CMCSC10" w:hAnsi="CMCSC10"/>
          <w:color w:val="000000" w:themeColor="text1"/>
          <w:sz w:val="36"/>
          <w:szCs w:val="36"/>
          <w:u w:val="single"/>
        </w:rPr>
        <w:t xml:space="preserve"> </w:t>
      </w:r>
    </w:p>
    <w:p w14:paraId="3B2A72B0" w14:textId="77777777" w:rsidR="009405BA" w:rsidRDefault="009405BA" w:rsidP="00872B44">
      <w:pPr>
        <w:rPr>
          <w:rFonts w:ascii="CMCSC10" w:hAnsi="CMCSC10"/>
          <w:b/>
          <w:bCs/>
          <w:color w:val="1481AB" w:themeColor="accent1" w:themeShade="BF"/>
          <w:sz w:val="40"/>
          <w:szCs w:val="40"/>
        </w:rPr>
      </w:pPr>
    </w:p>
    <w:p w14:paraId="383F96F3" w14:textId="35EF5F5E" w:rsidR="008858B1" w:rsidRDefault="009A419E" w:rsidP="00872B44">
      <w:pPr>
        <w:rPr>
          <w:rFonts w:ascii="CMCSC10" w:hAnsi="CMCSC10"/>
          <w:color w:val="1481AB" w:themeColor="accent1" w:themeShade="BF"/>
          <w:sz w:val="36"/>
          <w:szCs w:val="32"/>
        </w:rPr>
      </w:pPr>
      <w:r>
        <w:rPr>
          <w:rFonts w:ascii="CMCSC10" w:hAnsi="CMCSC10"/>
          <w:color w:val="1481AB" w:themeColor="accent1" w:themeShade="BF"/>
          <w:sz w:val="36"/>
          <w:szCs w:val="32"/>
        </w:rPr>
        <w:t>Observations:</w:t>
      </w:r>
    </w:p>
    <w:p w14:paraId="7D9E70C5" w14:textId="16B598DB" w:rsidR="009A419E" w:rsidRPr="00D2270D" w:rsidRDefault="00D2270D" w:rsidP="007006B9">
      <w:pPr>
        <w:pStyle w:val="ListParagraph"/>
        <w:numPr>
          <w:ilvl w:val="0"/>
          <w:numId w:val="8"/>
        </w:numPr>
        <w:rPr>
          <w:rFonts w:ascii="CMCSC10" w:hAnsi="CMCSC10"/>
          <w:color w:val="1481AB" w:themeColor="accent1" w:themeShade="BF"/>
          <w:sz w:val="36"/>
          <w:szCs w:val="32"/>
        </w:rPr>
      </w:pPr>
      <w:r>
        <w:rPr>
          <w:rFonts w:ascii="CMCSC10" w:hAnsi="CMCSC10"/>
          <w:sz w:val="36"/>
          <w:szCs w:val="36"/>
        </w:rPr>
        <w:t>The returns that have been calculated with consideration of risk associated with them (through the means of ‘Excess Returns’</w:t>
      </w:r>
      <w:r w:rsidR="00070EDA">
        <w:rPr>
          <w:rFonts w:ascii="CMCSC10" w:hAnsi="CMCSC10"/>
          <w:sz w:val="36"/>
          <w:szCs w:val="36"/>
        </w:rPr>
        <w:t xml:space="preserve"> are </w:t>
      </w:r>
      <w:r w:rsidR="00070EDA" w:rsidRPr="00085427">
        <w:rPr>
          <w:rFonts w:ascii="CMCSC10" w:hAnsi="CMCSC10"/>
          <w:color w:val="1C6194" w:themeColor="accent2" w:themeShade="BF"/>
          <w:sz w:val="36"/>
          <w:szCs w:val="36"/>
        </w:rPr>
        <w:t>lesser</w:t>
      </w:r>
      <w:r w:rsidR="00070EDA">
        <w:rPr>
          <w:rFonts w:ascii="CMCSC10" w:hAnsi="CMCSC10"/>
          <w:sz w:val="36"/>
          <w:szCs w:val="36"/>
        </w:rPr>
        <w:t xml:space="preserve"> than the unadjusted returns.</w:t>
      </w:r>
    </w:p>
    <w:p w14:paraId="305758CD" w14:textId="7E1A6408" w:rsidR="00D2270D" w:rsidRPr="00070EDA" w:rsidRDefault="00070EDA" w:rsidP="007006B9">
      <w:pPr>
        <w:pStyle w:val="ListParagraph"/>
        <w:numPr>
          <w:ilvl w:val="0"/>
          <w:numId w:val="8"/>
        </w:numPr>
        <w:rPr>
          <w:rFonts w:ascii="CMCSC10" w:hAnsi="CMCSC10"/>
          <w:color w:val="1481AB" w:themeColor="accent1" w:themeShade="BF"/>
          <w:sz w:val="36"/>
          <w:szCs w:val="32"/>
        </w:rPr>
      </w:pPr>
      <w:r>
        <w:rPr>
          <w:rFonts w:ascii="CMCSC10" w:hAnsi="CMCSC10"/>
          <w:sz w:val="36"/>
          <w:szCs w:val="36"/>
        </w:rPr>
        <w:t xml:space="preserve">These Adjusted Returns help an investor to understand the </w:t>
      </w:r>
      <w:r w:rsidRPr="00085427">
        <w:rPr>
          <w:rFonts w:ascii="CMCSC10" w:hAnsi="CMCSC10"/>
          <w:color w:val="1C6194" w:themeColor="accent2" w:themeShade="BF"/>
          <w:sz w:val="36"/>
          <w:szCs w:val="36"/>
        </w:rPr>
        <w:t xml:space="preserve">risk associated </w:t>
      </w:r>
      <w:r>
        <w:rPr>
          <w:rFonts w:ascii="CMCSC10" w:hAnsi="CMCSC10"/>
          <w:sz w:val="36"/>
          <w:szCs w:val="36"/>
        </w:rPr>
        <w:t>as they take the T-Bill Rates into account.</w:t>
      </w:r>
    </w:p>
    <w:p w14:paraId="557C811D" w14:textId="19143D58" w:rsidR="00070EDA" w:rsidRPr="00070EDA" w:rsidRDefault="00070EDA" w:rsidP="007006B9">
      <w:pPr>
        <w:pStyle w:val="ListParagraph"/>
        <w:numPr>
          <w:ilvl w:val="0"/>
          <w:numId w:val="8"/>
        </w:numPr>
        <w:rPr>
          <w:rFonts w:ascii="CMCSC10" w:hAnsi="CMCSC10"/>
          <w:color w:val="1481AB" w:themeColor="accent1" w:themeShade="BF"/>
          <w:sz w:val="36"/>
          <w:szCs w:val="32"/>
        </w:rPr>
      </w:pPr>
      <w:r>
        <w:rPr>
          <w:rFonts w:ascii="CMCSC10" w:hAnsi="CMCSC10"/>
          <w:sz w:val="36"/>
          <w:szCs w:val="36"/>
        </w:rPr>
        <w:t xml:space="preserve">The </w:t>
      </w:r>
      <w:r w:rsidRPr="001F7BC8">
        <w:rPr>
          <w:rFonts w:ascii="CMCSC10" w:hAnsi="CMCSC10"/>
          <w:color w:val="1C6194" w:themeColor="accent2" w:themeShade="BF"/>
          <w:sz w:val="36"/>
          <w:szCs w:val="36"/>
        </w:rPr>
        <w:t xml:space="preserve">standard deviation </w:t>
      </w:r>
      <w:r>
        <w:rPr>
          <w:rFonts w:ascii="CMCSC10" w:hAnsi="CMCSC10"/>
          <w:sz w:val="36"/>
          <w:szCs w:val="36"/>
        </w:rPr>
        <w:t>in both these returns are comparable.</w:t>
      </w:r>
    </w:p>
    <w:p w14:paraId="64C3026E" w14:textId="34BF7B26" w:rsidR="00070EDA" w:rsidRPr="00070EDA" w:rsidRDefault="00070EDA" w:rsidP="007006B9">
      <w:pPr>
        <w:pStyle w:val="ListParagraph"/>
        <w:numPr>
          <w:ilvl w:val="0"/>
          <w:numId w:val="8"/>
        </w:numPr>
        <w:rPr>
          <w:rFonts w:ascii="CMCSC10" w:hAnsi="CMCSC10"/>
          <w:color w:val="1481AB" w:themeColor="accent1" w:themeShade="BF"/>
          <w:sz w:val="36"/>
          <w:szCs w:val="32"/>
        </w:rPr>
      </w:pPr>
      <w:r>
        <w:rPr>
          <w:rFonts w:ascii="CMCSC10" w:hAnsi="CMCSC10"/>
          <w:sz w:val="36"/>
          <w:szCs w:val="36"/>
        </w:rPr>
        <w:t xml:space="preserve">Highest Volatility is present in </w:t>
      </w:r>
      <w:r w:rsidRPr="001F7BC8">
        <w:rPr>
          <w:rFonts w:ascii="CMCSC10" w:hAnsi="CMCSC10"/>
          <w:color w:val="1C6194" w:themeColor="accent2" w:themeShade="BF"/>
          <w:sz w:val="36"/>
          <w:szCs w:val="36"/>
        </w:rPr>
        <w:t xml:space="preserve">daily </w:t>
      </w:r>
      <w:r>
        <w:rPr>
          <w:rFonts w:ascii="CMCSC10" w:hAnsi="CMCSC10"/>
          <w:sz w:val="36"/>
          <w:szCs w:val="36"/>
        </w:rPr>
        <w:t xml:space="preserve">(followed by Weekly and Monthly) </w:t>
      </w:r>
      <w:r w:rsidR="00FA1E36">
        <w:rPr>
          <w:rFonts w:ascii="CMCSC10" w:hAnsi="CMCSC10"/>
          <w:sz w:val="36"/>
          <w:szCs w:val="36"/>
        </w:rPr>
        <w:t xml:space="preserve">frequency </w:t>
      </w:r>
      <w:r>
        <w:rPr>
          <w:rFonts w:ascii="CMCSC10" w:hAnsi="CMCSC10"/>
          <w:sz w:val="36"/>
          <w:szCs w:val="36"/>
        </w:rPr>
        <w:t>for Futures.</w:t>
      </w:r>
    </w:p>
    <w:p w14:paraId="12B49B43" w14:textId="7DCF9256" w:rsidR="00070EDA" w:rsidRPr="00070EDA" w:rsidRDefault="00070EDA" w:rsidP="00070EDA">
      <w:pPr>
        <w:pStyle w:val="ListParagraph"/>
        <w:numPr>
          <w:ilvl w:val="0"/>
          <w:numId w:val="8"/>
        </w:numPr>
        <w:rPr>
          <w:rFonts w:ascii="CMCSC10" w:hAnsi="CMCSC10"/>
          <w:color w:val="1481AB" w:themeColor="accent1" w:themeShade="BF"/>
          <w:sz w:val="36"/>
          <w:szCs w:val="32"/>
        </w:rPr>
      </w:pPr>
      <w:r>
        <w:rPr>
          <w:rFonts w:ascii="CMCSC10" w:hAnsi="CMCSC10"/>
          <w:sz w:val="36"/>
          <w:szCs w:val="36"/>
        </w:rPr>
        <w:lastRenderedPageBreak/>
        <w:t xml:space="preserve">Highest Volatility is present in </w:t>
      </w:r>
      <w:r w:rsidRPr="001F7BC8">
        <w:rPr>
          <w:rFonts w:ascii="CMCSC10" w:hAnsi="CMCSC10"/>
          <w:color w:val="1C6194" w:themeColor="accent2" w:themeShade="BF"/>
          <w:sz w:val="36"/>
          <w:szCs w:val="36"/>
        </w:rPr>
        <w:t>daily</w:t>
      </w:r>
      <w:r>
        <w:rPr>
          <w:rFonts w:ascii="CMCSC10" w:hAnsi="CMCSC10"/>
          <w:sz w:val="36"/>
          <w:szCs w:val="36"/>
        </w:rPr>
        <w:t xml:space="preserve"> (followed by Weekly and Monthly) </w:t>
      </w:r>
      <w:proofErr w:type="gramStart"/>
      <w:r w:rsidR="00FA1E36">
        <w:rPr>
          <w:rFonts w:ascii="CMCSC10" w:hAnsi="CMCSC10"/>
          <w:sz w:val="36"/>
          <w:szCs w:val="36"/>
        </w:rPr>
        <w:t xml:space="preserve">frequency  </w:t>
      </w:r>
      <w:r>
        <w:rPr>
          <w:rFonts w:ascii="CMCSC10" w:hAnsi="CMCSC10"/>
          <w:sz w:val="36"/>
          <w:szCs w:val="36"/>
        </w:rPr>
        <w:t>for</w:t>
      </w:r>
      <w:proofErr w:type="gramEnd"/>
      <w:r>
        <w:rPr>
          <w:rFonts w:ascii="CMCSC10" w:hAnsi="CMCSC10"/>
          <w:sz w:val="36"/>
          <w:szCs w:val="36"/>
        </w:rPr>
        <w:t xml:space="preserve"> Risk-Adjusted Ratio.</w:t>
      </w:r>
    </w:p>
    <w:p w14:paraId="1F3D6337" w14:textId="32DB270E" w:rsidR="00070EDA" w:rsidRPr="00085427" w:rsidRDefault="00070EDA" w:rsidP="00070EDA">
      <w:pPr>
        <w:pStyle w:val="ListParagraph"/>
        <w:numPr>
          <w:ilvl w:val="0"/>
          <w:numId w:val="8"/>
        </w:numPr>
        <w:rPr>
          <w:rFonts w:ascii="CMCSC10" w:hAnsi="CMCSC10"/>
          <w:color w:val="1481AB" w:themeColor="accent1" w:themeShade="BF"/>
          <w:sz w:val="36"/>
          <w:szCs w:val="32"/>
        </w:rPr>
      </w:pPr>
      <w:r>
        <w:rPr>
          <w:rFonts w:ascii="CMCSC10" w:hAnsi="CMCSC10"/>
          <w:sz w:val="36"/>
          <w:szCs w:val="36"/>
        </w:rPr>
        <w:t xml:space="preserve">Mean yield has been </w:t>
      </w:r>
      <w:r w:rsidRPr="001F7BC8">
        <w:rPr>
          <w:rFonts w:ascii="CMCSC10" w:hAnsi="CMCSC10"/>
          <w:color w:val="1C6194" w:themeColor="accent2" w:themeShade="BF"/>
          <w:sz w:val="36"/>
          <w:szCs w:val="36"/>
        </w:rPr>
        <w:t>positive</w:t>
      </w:r>
      <w:r>
        <w:rPr>
          <w:rFonts w:ascii="CMCSC10" w:hAnsi="CMCSC10"/>
          <w:sz w:val="36"/>
          <w:szCs w:val="36"/>
        </w:rPr>
        <w:t xml:space="preserve"> for both risk-adjusted stock returns and risk adjusted futures for all three of daily, weekly and monthly frequencies.</w:t>
      </w:r>
    </w:p>
    <w:p w14:paraId="38225B50" w14:textId="54EA2738" w:rsidR="00FA1E36" w:rsidRPr="009405BA" w:rsidRDefault="00085427" w:rsidP="00872B44">
      <w:pPr>
        <w:pStyle w:val="ListParagraph"/>
        <w:numPr>
          <w:ilvl w:val="0"/>
          <w:numId w:val="8"/>
        </w:numPr>
        <w:rPr>
          <w:rFonts w:ascii="CMCSC10" w:hAnsi="CMCSC10"/>
          <w:color w:val="1481AB" w:themeColor="accent1" w:themeShade="BF"/>
          <w:sz w:val="36"/>
          <w:szCs w:val="32"/>
        </w:rPr>
      </w:pPr>
      <w:r>
        <w:rPr>
          <w:rFonts w:ascii="CMCSC10" w:hAnsi="CMCSC10"/>
          <w:sz w:val="36"/>
          <w:szCs w:val="36"/>
        </w:rPr>
        <w:t xml:space="preserve">The </w:t>
      </w:r>
      <w:r w:rsidRPr="001F7BC8">
        <w:rPr>
          <w:rFonts w:ascii="CMCSC10" w:hAnsi="CMCSC10"/>
          <w:color w:val="1C6194" w:themeColor="accent2" w:themeShade="BF"/>
          <w:sz w:val="36"/>
          <w:szCs w:val="36"/>
        </w:rPr>
        <w:t xml:space="preserve">Sharpe Ratio </w:t>
      </w:r>
      <w:r>
        <w:rPr>
          <w:rFonts w:ascii="CMCSC10" w:hAnsi="CMCSC10"/>
          <w:sz w:val="36"/>
          <w:szCs w:val="36"/>
        </w:rPr>
        <w:t xml:space="preserve">Calculations help us in understanding the associated risk. As far as Futures are considered, </w:t>
      </w:r>
      <w:r w:rsidRPr="001F7BC8">
        <w:rPr>
          <w:rFonts w:ascii="CMCSC10" w:hAnsi="CMCSC10"/>
          <w:color w:val="1C6194" w:themeColor="accent2" w:themeShade="BF"/>
          <w:sz w:val="36"/>
          <w:szCs w:val="36"/>
        </w:rPr>
        <w:t xml:space="preserve">Monthly </w:t>
      </w:r>
      <w:r>
        <w:rPr>
          <w:rFonts w:ascii="CMCSC10" w:hAnsi="CMCSC10"/>
          <w:sz w:val="36"/>
          <w:szCs w:val="36"/>
        </w:rPr>
        <w:t>frequency has proved to be the best for all three of Near, Next and Far Month.</w:t>
      </w:r>
    </w:p>
    <w:p w14:paraId="049ABB13" w14:textId="4738D0FE" w:rsidR="00CE3BD7" w:rsidRDefault="00CE3BD7" w:rsidP="00872B44">
      <w:pPr>
        <w:rPr>
          <w:rFonts w:ascii="CMCSC10" w:hAnsi="CMCSC10"/>
          <w:b/>
          <w:bCs/>
          <w:color w:val="1481AB" w:themeColor="accent1" w:themeShade="BF"/>
          <w:sz w:val="40"/>
          <w:szCs w:val="40"/>
        </w:rPr>
      </w:pPr>
      <w:r>
        <w:rPr>
          <w:rFonts w:ascii="CMCSC10" w:hAnsi="CMCSC10"/>
          <w:color w:val="1481AB" w:themeColor="accent1" w:themeShade="BF"/>
          <w:sz w:val="36"/>
          <w:szCs w:val="32"/>
        </w:rPr>
        <w:t>Action:</w:t>
      </w:r>
    </w:p>
    <w:p w14:paraId="50C295B1" w14:textId="51558B09" w:rsidR="008858B1" w:rsidRPr="00C86875" w:rsidRDefault="00C86875" w:rsidP="007006B9">
      <w:pPr>
        <w:pStyle w:val="ListParagraph"/>
        <w:numPr>
          <w:ilvl w:val="0"/>
          <w:numId w:val="8"/>
        </w:numPr>
        <w:rPr>
          <w:rFonts w:ascii="CMCSC10" w:hAnsi="CMCSC10"/>
          <w:b/>
          <w:bCs/>
          <w:color w:val="1481AB" w:themeColor="accent1" w:themeShade="BF"/>
          <w:sz w:val="40"/>
          <w:szCs w:val="40"/>
        </w:rPr>
      </w:pPr>
      <w:r>
        <w:rPr>
          <w:rFonts w:ascii="CMCSC10" w:hAnsi="CMCSC10"/>
          <w:sz w:val="36"/>
          <w:szCs w:val="36"/>
        </w:rPr>
        <w:t xml:space="preserve">As far as Futures are considered, the </w:t>
      </w:r>
      <w:r w:rsidRPr="00C86875">
        <w:rPr>
          <w:rFonts w:ascii="CMCSC10" w:hAnsi="CMCSC10"/>
          <w:color w:val="1C6194" w:themeColor="accent2" w:themeShade="BF"/>
          <w:sz w:val="36"/>
          <w:szCs w:val="36"/>
        </w:rPr>
        <w:t xml:space="preserve">Near Month contracts on the Monthly frequency </w:t>
      </w:r>
      <w:r>
        <w:rPr>
          <w:rFonts w:ascii="CMCSC10" w:hAnsi="CMCSC10"/>
          <w:sz w:val="36"/>
          <w:szCs w:val="36"/>
        </w:rPr>
        <w:t xml:space="preserve">have proved to give the best results for excess returns. Since they also, have a good Sharpe Ratio, </w:t>
      </w:r>
      <w:r w:rsidRPr="00C86875">
        <w:rPr>
          <w:rFonts w:ascii="CMCSC10" w:hAnsi="CMCSC10"/>
          <w:color w:val="1C6194" w:themeColor="accent2" w:themeShade="BF"/>
          <w:sz w:val="36"/>
          <w:szCs w:val="36"/>
        </w:rPr>
        <w:t>investing in these is recommended</w:t>
      </w:r>
      <w:r>
        <w:rPr>
          <w:rFonts w:ascii="CMCSC10" w:hAnsi="CMCSC10"/>
          <w:sz w:val="36"/>
          <w:szCs w:val="36"/>
        </w:rPr>
        <w:t>.</w:t>
      </w:r>
    </w:p>
    <w:p w14:paraId="59C3A778" w14:textId="2364BA07" w:rsidR="00C86875" w:rsidRPr="00381BA3" w:rsidRDefault="00381BA3" w:rsidP="007006B9">
      <w:pPr>
        <w:pStyle w:val="ListParagraph"/>
        <w:numPr>
          <w:ilvl w:val="0"/>
          <w:numId w:val="8"/>
        </w:numPr>
        <w:rPr>
          <w:rFonts w:ascii="CMCSC10" w:hAnsi="CMCSC10"/>
          <w:b/>
          <w:bCs/>
          <w:color w:val="1481AB" w:themeColor="accent1" w:themeShade="BF"/>
          <w:sz w:val="40"/>
          <w:szCs w:val="40"/>
        </w:rPr>
      </w:pPr>
      <w:r>
        <w:rPr>
          <w:rFonts w:ascii="CMCSC10" w:hAnsi="CMCSC10"/>
          <w:sz w:val="36"/>
          <w:szCs w:val="36"/>
        </w:rPr>
        <w:t xml:space="preserve">Since the Sharpe Ratios have proved that Monthly frequency pose less </w:t>
      </w:r>
      <w:r w:rsidR="00405B14">
        <w:rPr>
          <w:rFonts w:ascii="CMCSC10" w:hAnsi="CMCSC10"/>
          <w:sz w:val="36"/>
          <w:szCs w:val="36"/>
        </w:rPr>
        <w:t>risk for the same returns</w:t>
      </w:r>
      <w:r>
        <w:rPr>
          <w:rFonts w:ascii="CMCSC10" w:hAnsi="CMCSC10"/>
          <w:sz w:val="36"/>
          <w:szCs w:val="36"/>
        </w:rPr>
        <w:t xml:space="preserve">, investors are advised to </w:t>
      </w:r>
      <w:r w:rsidRPr="00405B14">
        <w:rPr>
          <w:rFonts w:ascii="CMCSC10" w:hAnsi="CMCSC10"/>
          <w:color w:val="1C6194" w:themeColor="accent2" w:themeShade="BF"/>
          <w:sz w:val="36"/>
          <w:szCs w:val="36"/>
        </w:rPr>
        <w:t>hold stock for longer periods</w:t>
      </w:r>
      <w:r>
        <w:rPr>
          <w:rFonts w:ascii="CMCSC10" w:hAnsi="CMCSC10"/>
          <w:sz w:val="36"/>
          <w:szCs w:val="36"/>
        </w:rPr>
        <w:t>.</w:t>
      </w:r>
    </w:p>
    <w:p w14:paraId="5A701A53" w14:textId="35D7F797" w:rsidR="00CE3BD7" w:rsidRPr="00754389" w:rsidRDefault="00381BA3" w:rsidP="00872B44">
      <w:pPr>
        <w:pStyle w:val="ListParagraph"/>
        <w:numPr>
          <w:ilvl w:val="0"/>
          <w:numId w:val="8"/>
        </w:numPr>
        <w:rPr>
          <w:rFonts w:ascii="CMCSC10" w:hAnsi="CMCSC10"/>
          <w:b/>
          <w:bCs/>
          <w:color w:val="1481AB" w:themeColor="accent1" w:themeShade="BF"/>
          <w:sz w:val="40"/>
          <w:szCs w:val="40"/>
        </w:rPr>
      </w:pPr>
      <w:r>
        <w:rPr>
          <w:rFonts w:ascii="CMCSC10" w:hAnsi="CMCSC10"/>
          <w:sz w:val="36"/>
          <w:szCs w:val="36"/>
        </w:rPr>
        <w:t xml:space="preserve">Since the adjusted returns haven’t been negative for both the Equity and Futures, they are </w:t>
      </w:r>
      <w:r w:rsidRPr="00923576">
        <w:rPr>
          <w:rFonts w:ascii="CMCSC10" w:hAnsi="CMCSC10"/>
          <w:color w:val="1C6194" w:themeColor="accent2" w:themeShade="BF"/>
          <w:sz w:val="36"/>
          <w:szCs w:val="36"/>
        </w:rPr>
        <w:t>a better choice than T-Bills.</w:t>
      </w:r>
    </w:p>
    <w:p w14:paraId="63F5EEF5" w14:textId="77777777" w:rsidR="000D0E16" w:rsidRPr="006709EC" w:rsidRDefault="000D0E16" w:rsidP="006709EC">
      <w:pPr>
        <w:rPr>
          <w:rFonts w:ascii="CMCSC10" w:hAnsi="CMCSC10"/>
          <w:b/>
          <w:bCs/>
          <w:color w:val="1481AB" w:themeColor="accent1" w:themeShade="BF"/>
          <w:sz w:val="40"/>
          <w:szCs w:val="40"/>
        </w:rPr>
      </w:pPr>
    </w:p>
    <w:p w14:paraId="2264C292" w14:textId="4C26C9F9" w:rsidR="00980CC9" w:rsidRDefault="00980CC9" w:rsidP="00872B44">
      <w:pPr>
        <w:rPr>
          <w:rFonts w:ascii="CMCSC10" w:hAnsi="CMCSC10"/>
          <w:b/>
          <w:bCs/>
          <w:color w:val="1481AB" w:themeColor="accent1" w:themeShade="BF"/>
          <w:sz w:val="40"/>
          <w:szCs w:val="40"/>
        </w:rPr>
      </w:pPr>
      <w:r>
        <w:rPr>
          <w:rFonts w:ascii="CMCSC10" w:hAnsi="CMCSC10"/>
          <w:b/>
          <w:bCs/>
          <w:color w:val="1481AB" w:themeColor="accent1" w:themeShade="BF"/>
          <w:sz w:val="40"/>
          <w:szCs w:val="40"/>
        </w:rPr>
        <w:t xml:space="preserve">9 </w:t>
      </w:r>
      <w:r w:rsidR="00872B44">
        <w:rPr>
          <w:rFonts w:ascii="CMCSC10" w:hAnsi="CMCSC10"/>
          <w:b/>
          <w:bCs/>
          <w:color w:val="1481AB" w:themeColor="accent1" w:themeShade="BF"/>
          <w:sz w:val="40"/>
          <w:szCs w:val="40"/>
        </w:rPr>
        <w:t>Comparisons</w:t>
      </w:r>
      <w:r w:rsidR="0052151B">
        <w:rPr>
          <w:rFonts w:ascii="CMCSC10" w:hAnsi="CMCSC10"/>
          <w:b/>
          <w:bCs/>
          <w:color w:val="1481AB" w:themeColor="accent1" w:themeShade="BF"/>
          <w:sz w:val="40"/>
          <w:szCs w:val="40"/>
        </w:rPr>
        <w:t xml:space="preserve"> of Returns</w:t>
      </w:r>
    </w:p>
    <w:p w14:paraId="4059502C" w14:textId="532160DD" w:rsidR="000E300C" w:rsidRDefault="00CD70C7" w:rsidP="0052151B">
      <w:pPr>
        <w:rPr>
          <w:rFonts w:ascii="CMCSC10" w:hAnsi="CMCSC10"/>
          <w:sz w:val="36"/>
          <w:szCs w:val="36"/>
        </w:rPr>
      </w:pPr>
      <w:r>
        <w:rPr>
          <w:rFonts w:ascii="CMCSC10" w:hAnsi="CMCSC10"/>
          <w:sz w:val="36"/>
          <w:szCs w:val="36"/>
        </w:rPr>
        <w:t>The following tables show the</w:t>
      </w:r>
      <w:r w:rsidR="00A55CB5">
        <w:rPr>
          <w:rFonts w:ascii="CMCSC10" w:hAnsi="CMCSC10"/>
          <w:sz w:val="36"/>
          <w:szCs w:val="36"/>
        </w:rPr>
        <w:t xml:space="preserve"> </w:t>
      </w:r>
      <w:r w:rsidR="00A55CB5" w:rsidRPr="002814F5">
        <w:rPr>
          <w:rFonts w:ascii="CMCSC10" w:hAnsi="CMCSC10"/>
          <w:color w:val="1C6194" w:themeColor="accent2" w:themeShade="BF"/>
          <w:sz w:val="36"/>
          <w:szCs w:val="36"/>
        </w:rPr>
        <w:t>Risk-Adjusted</w:t>
      </w:r>
      <w:r w:rsidRPr="002814F5">
        <w:rPr>
          <w:rFonts w:ascii="CMCSC10" w:hAnsi="CMCSC10"/>
          <w:color w:val="1C6194" w:themeColor="accent2" w:themeShade="BF"/>
          <w:sz w:val="36"/>
          <w:szCs w:val="36"/>
        </w:rPr>
        <w:t xml:space="preserve"> </w:t>
      </w:r>
      <w:r>
        <w:rPr>
          <w:rFonts w:ascii="CMCSC10" w:hAnsi="CMCSC10"/>
          <w:sz w:val="36"/>
          <w:szCs w:val="36"/>
        </w:rPr>
        <w:t>data for Daily, Weekly and Monthly Contracts for Near, Next and Far Months</w:t>
      </w:r>
      <w:r w:rsidR="00D94138">
        <w:rPr>
          <w:rFonts w:ascii="CMCSC10" w:hAnsi="CMCSC10"/>
          <w:sz w:val="36"/>
          <w:szCs w:val="36"/>
        </w:rPr>
        <w:t xml:space="preserve"> for Futures as well as for Underlying Asset Returns</w:t>
      </w:r>
      <w:r>
        <w:rPr>
          <w:rFonts w:ascii="CMCSC10" w:hAnsi="CMCSC10"/>
          <w:sz w:val="36"/>
          <w:szCs w:val="36"/>
        </w:rPr>
        <w:t>:</w:t>
      </w:r>
    </w:p>
    <w:p w14:paraId="428DE28A" w14:textId="77777777" w:rsidR="00C3131C" w:rsidRDefault="00C3131C" w:rsidP="0052151B">
      <w:pPr>
        <w:rPr>
          <w:rFonts w:ascii="CMCSC10" w:hAnsi="CMCSC10"/>
          <w:color w:val="1481AB" w:themeColor="accent1" w:themeShade="BF"/>
          <w:sz w:val="36"/>
          <w:szCs w:val="32"/>
        </w:rPr>
      </w:pPr>
    </w:p>
    <w:tbl>
      <w:tblPr>
        <w:tblW w:w="9200" w:type="dxa"/>
        <w:tblLook w:val="04A0" w:firstRow="1" w:lastRow="0" w:firstColumn="1" w:lastColumn="0" w:noHBand="0" w:noVBand="1"/>
      </w:tblPr>
      <w:tblGrid>
        <w:gridCol w:w="2700"/>
        <w:gridCol w:w="1420"/>
        <w:gridCol w:w="1460"/>
        <w:gridCol w:w="1260"/>
        <w:gridCol w:w="2360"/>
      </w:tblGrid>
      <w:tr w:rsidR="000E300C" w:rsidRPr="000E300C" w14:paraId="04BD6689" w14:textId="77777777" w:rsidTr="000E300C">
        <w:trPr>
          <w:trHeight w:val="288"/>
        </w:trPr>
        <w:tc>
          <w:tcPr>
            <w:tcW w:w="2700" w:type="dxa"/>
            <w:tcBorders>
              <w:top w:val="single" w:sz="4" w:space="0" w:color="9BC2E6"/>
              <w:left w:val="single" w:sz="4" w:space="0" w:color="9BC2E6"/>
              <w:bottom w:val="single" w:sz="4" w:space="0" w:color="9BC2E6"/>
              <w:right w:val="nil"/>
            </w:tcBorders>
            <w:shd w:val="clear" w:color="5B9BD5" w:fill="5B9BD5"/>
            <w:noWrap/>
            <w:vAlign w:val="bottom"/>
            <w:hideMark/>
          </w:tcPr>
          <w:p w14:paraId="5FB5E297" w14:textId="77777777" w:rsidR="000E300C" w:rsidRPr="000E300C" w:rsidRDefault="000E300C" w:rsidP="000E300C">
            <w:pPr>
              <w:spacing w:after="0" w:line="240" w:lineRule="auto"/>
              <w:rPr>
                <w:rFonts w:ascii="Calibri" w:eastAsia="Times New Roman" w:hAnsi="Calibri" w:cs="Calibri"/>
                <w:b/>
                <w:bCs/>
                <w:color w:val="FFFFFF"/>
                <w:sz w:val="22"/>
                <w:szCs w:val="22"/>
                <w:lang w:eastAsia="en-IN"/>
              </w:rPr>
            </w:pPr>
            <w:r w:rsidRPr="000E300C">
              <w:rPr>
                <w:rFonts w:ascii="Calibri" w:eastAsia="Times New Roman" w:hAnsi="Calibri" w:cs="Calibri"/>
                <w:b/>
                <w:bCs/>
                <w:color w:val="FFFFFF"/>
                <w:sz w:val="22"/>
                <w:szCs w:val="22"/>
                <w:lang w:eastAsia="en-IN"/>
              </w:rPr>
              <w:t>Daily</w:t>
            </w:r>
          </w:p>
        </w:tc>
        <w:tc>
          <w:tcPr>
            <w:tcW w:w="1420" w:type="dxa"/>
            <w:tcBorders>
              <w:top w:val="single" w:sz="4" w:space="0" w:color="9BC2E6"/>
              <w:left w:val="nil"/>
              <w:bottom w:val="single" w:sz="4" w:space="0" w:color="9BC2E6"/>
              <w:right w:val="nil"/>
            </w:tcBorders>
            <w:shd w:val="clear" w:color="5B9BD5" w:fill="5B9BD5"/>
            <w:noWrap/>
            <w:vAlign w:val="bottom"/>
            <w:hideMark/>
          </w:tcPr>
          <w:p w14:paraId="5FC29704" w14:textId="77777777" w:rsidR="000E300C" w:rsidRPr="000E300C" w:rsidRDefault="000E300C" w:rsidP="000E300C">
            <w:pPr>
              <w:spacing w:after="0" w:line="240" w:lineRule="auto"/>
              <w:rPr>
                <w:rFonts w:ascii="Calibri" w:eastAsia="Times New Roman" w:hAnsi="Calibri" w:cs="Calibri"/>
                <w:b/>
                <w:bCs/>
                <w:color w:val="FFFFFF"/>
                <w:sz w:val="22"/>
                <w:szCs w:val="22"/>
                <w:lang w:eastAsia="en-IN"/>
              </w:rPr>
            </w:pPr>
            <w:r w:rsidRPr="000E300C">
              <w:rPr>
                <w:rFonts w:ascii="Calibri" w:eastAsia="Times New Roman" w:hAnsi="Calibri" w:cs="Calibri"/>
                <w:b/>
                <w:bCs/>
                <w:color w:val="FFFFFF"/>
                <w:sz w:val="22"/>
                <w:szCs w:val="22"/>
                <w:lang w:eastAsia="en-IN"/>
              </w:rPr>
              <w:t>Near Month</w:t>
            </w:r>
          </w:p>
        </w:tc>
        <w:tc>
          <w:tcPr>
            <w:tcW w:w="1460" w:type="dxa"/>
            <w:tcBorders>
              <w:top w:val="single" w:sz="4" w:space="0" w:color="9BC2E6"/>
              <w:left w:val="nil"/>
              <w:bottom w:val="single" w:sz="4" w:space="0" w:color="9BC2E6"/>
              <w:right w:val="nil"/>
            </w:tcBorders>
            <w:shd w:val="clear" w:color="5B9BD5" w:fill="5B9BD5"/>
            <w:noWrap/>
            <w:vAlign w:val="bottom"/>
            <w:hideMark/>
          </w:tcPr>
          <w:p w14:paraId="47285E54" w14:textId="77777777" w:rsidR="000E300C" w:rsidRPr="000E300C" w:rsidRDefault="000E300C" w:rsidP="000E300C">
            <w:pPr>
              <w:spacing w:after="0" w:line="240" w:lineRule="auto"/>
              <w:rPr>
                <w:rFonts w:ascii="Calibri" w:eastAsia="Times New Roman" w:hAnsi="Calibri" w:cs="Calibri"/>
                <w:b/>
                <w:bCs/>
                <w:color w:val="FFFFFF"/>
                <w:sz w:val="22"/>
                <w:szCs w:val="22"/>
                <w:lang w:eastAsia="en-IN"/>
              </w:rPr>
            </w:pPr>
            <w:r w:rsidRPr="000E300C">
              <w:rPr>
                <w:rFonts w:ascii="Calibri" w:eastAsia="Times New Roman" w:hAnsi="Calibri" w:cs="Calibri"/>
                <w:b/>
                <w:bCs/>
                <w:color w:val="FFFFFF"/>
                <w:sz w:val="22"/>
                <w:szCs w:val="22"/>
                <w:lang w:eastAsia="en-IN"/>
              </w:rPr>
              <w:t xml:space="preserve">Next Month </w:t>
            </w:r>
          </w:p>
        </w:tc>
        <w:tc>
          <w:tcPr>
            <w:tcW w:w="1260" w:type="dxa"/>
            <w:tcBorders>
              <w:top w:val="single" w:sz="4" w:space="0" w:color="9BC2E6"/>
              <w:left w:val="nil"/>
              <w:bottom w:val="single" w:sz="4" w:space="0" w:color="9BC2E6"/>
              <w:right w:val="nil"/>
            </w:tcBorders>
            <w:shd w:val="clear" w:color="5B9BD5" w:fill="5B9BD5"/>
            <w:noWrap/>
            <w:vAlign w:val="bottom"/>
            <w:hideMark/>
          </w:tcPr>
          <w:p w14:paraId="72B7893D" w14:textId="77777777" w:rsidR="000E300C" w:rsidRPr="000E300C" w:rsidRDefault="000E300C" w:rsidP="000E300C">
            <w:pPr>
              <w:spacing w:after="0" w:line="240" w:lineRule="auto"/>
              <w:rPr>
                <w:rFonts w:ascii="Calibri" w:eastAsia="Times New Roman" w:hAnsi="Calibri" w:cs="Calibri"/>
                <w:b/>
                <w:bCs/>
                <w:color w:val="FFFFFF"/>
                <w:sz w:val="22"/>
                <w:szCs w:val="22"/>
                <w:lang w:eastAsia="en-IN"/>
              </w:rPr>
            </w:pPr>
            <w:r w:rsidRPr="000E300C">
              <w:rPr>
                <w:rFonts w:ascii="Calibri" w:eastAsia="Times New Roman" w:hAnsi="Calibri" w:cs="Calibri"/>
                <w:b/>
                <w:bCs/>
                <w:color w:val="FFFFFF"/>
                <w:sz w:val="22"/>
                <w:szCs w:val="22"/>
                <w:lang w:eastAsia="en-IN"/>
              </w:rPr>
              <w:t>Far Month</w:t>
            </w:r>
          </w:p>
        </w:tc>
        <w:tc>
          <w:tcPr>
            <w:tcW w:w="2360" w:type="dxa"/>
            <w:tcBorders>
              <w:top w:val="single" w:sz="4" w:space="0" w:color="9BC2E6"/>
              <w:left w:val="nil"/>
              <w:bottom w:val="single" w:sz="4" w:space="0" w:color="9BC2E6"/>
              <w:right w:val="single" w:sz="4" w:space="0" w:color="9BC2E6"/>
            </w:tcBorders>
            <w:shd w:val="clear" w:color="5B9BD5" w:fill="5B9BD5"/>
            <w:noWrap/>
            <w:vAlign w:val="bottom"/>
            <w:hideMark/>
          </w:tcPr>
          <w:p w14:paraId="0618E95E" w14:textId="77777777" w:rsidR="000E300C" w:rsidRPr="000E300C" w:rsidRDefault="000E300C" w:rsidP="000E300C">
            <w:pPr>
              <w:spacing w:after="0" w:line="240" w:lineRule="auto"/>
              <w:rPr>
                <w:rFonts w:ascii="Calibri" w:eastAsia="Times New Roman" w:hAnsi="Calibri" w:cs="Calibri"/>
                <w:b/>
                <w:bCs/>
                <w:color w:val="FFFFFF"/>
                <w:sz w:val="22"/>
                <w:szCs w:val="22"/>
                <w:lang w:eastAsia="en-IN"/>
              </w:rPr>
            </w:pPr>
            <w:r w:rsidRPr="000E300C">
              <w:rPr>
                <w:rFonts w:ascii="Calibri" w:eastAsia="Times New Roman" w:hAnsi="Calibri" w:cs="Calibri"/>
                <w:b/>
                <w:bCs/>
                <w:color w:val="FFFFFF"/>
                <w:sz w:val="22"/>
                <w:szCs w:val="22"/>
                <w:lang w:eastAsia="en-IN"/>
              </w:rPr>
              <w:t>Underlying Assets</w:t>
            </w:r>
          </w:p>
        </w:tc>
      </w:tr>
      <w:tr w:rsidR="000E300C" w:rsidRPr="000E300C" w14:paraId="1BE01565" w14:textId="77777777" w:rsidTr="000E300C">
        <w:trPr>
          <w:trHeight w:val="288"/>
        </w:trPr>
        <w:tc>
          <w:tcPr>
            <w:tcW w:w="2700" w:type="dxa"/>
            <w:tcBorders>
              <w:top w:val="single" w:sz="4" w:space="0" w:color="9BC2E6"/>
              <w:left w:val="single" w:sz="4" w:space="0" w:color="9BC2E6"/>
              <w:bottom w:val="single" w:sz="4" w:space="0" w:color="9BC2E6"/>
              <w:right w:val="nil"/>
            </w:tcBorders>
            <w:shd w:val="clear" w:color="DDEBF7" w:fill="DDEBF7"/>
            <w:noWrap/>
            <w:vAlign w:val="bottom"/>
            <w:hideMark/>
          </w:tcPr>
          <w:p w14:paraId="71134FC3" w14:textId="77777777" w:rsidR="000E300C" w:rsidRPr="000E300C" w:rsidRDefault="000E300C" w:rsidP="000E300C">
            <w:pPr>
              <w:spacing w:after="0" w:line="240" w:lineRule="auto"/>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 xml:space="preserve">Maximum </w:t>
            </w:r>
          </w:p>
        </w:tc>
        <w:tc>
          <w:tcPr>
            <w:tcW w:w="1420" w:type="dxa"/>
            <w:tcBorders>
              <w:top w:val="single" w:sz="4" w:space="0" w:color="9BC2E6"/>
              <w:left w:val="nil"/>
              <w:bottom w:val="single" w:sz="4" w:space="0" w:color="9BC2E6"/>
              <w:right w:val="nil"/>
            </w:tcBorders>
            <w:shd w:val="clear" w:color="DDEBF7" w:fill="DDEBF7"/>
            <w:noWrap/>
            <w:vAlign w:val="bottom"/>
            <w:hideMark/>
          </w:tcPr>
          <w:p w14:paraId="0CE7DC50"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12.856</w:t>
            </w:r>
          </w:p>
        </w:tc>
        <w:tc>
          <w:tcPr>
            <w:tcW w:w="1460" w:type="dxa"/>
            <w:tcBorders>
              <w:top w:val="single" w:sz="4" w:space="0" w:color="9BC2E6"/>
              <w:left w:val="nil"/>
              <w:bottom w:val="single" w:sz="4" w:space="0" w:color="9BC2E6"/>
              <w:right w:val="nil"/>
            </w:tcBorders>
            <w:shd w:val="clear" w:color="DDEBF7" w:fill="DDEBF7"/>
            <w:noWrap/>
            <w:vAlign w:val="bottom"/>
            <w:hideMark/>
          </w:tcPr>
          <w:p w14:paraId="35FB8EE7"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12.729</w:t>
            </w:r>
          </w:p>
        </w:tc>
        <w:tc>
          <w:tcPr>
            <w:tcW w:w="1260" w:type="dxa"/>
            <w:tcBorders>
              <w:top w:val="single" w:sz="4" w:space="0" w:color="9BC2E6"/>
              <w:left w:val="nil"/>
              <w:bottom w:val="single" w:sz="4" w:space="0" w:color="9BC2E6"/>
              <w:right w:val="nil"/>
            </w:tcBorders>
            <w:shd w:val="clear" w:color="DDEBF7" w:fill="DDEBF7"/>
            <w:noWrap/>
            <w:vAlign w:val="bottom"/>
            <w:hideMark/>
          </w:tcPr>
          <w:p w14:paraId="0EA60358"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12.714</w:t>
            </w:r>
          </w:p>
        </w:tc>
        <w:tc>
          <w:tcPr>
            <w:tcW w:w="2360" w:type="dxa"/>
            <w:tcBorders>
              <w:top w:val="single" w:sz="4" w:space="0" w:color="9BC2E6"/>
              <w:left w:val="nil"/>
              <w:bottom w:val="single" w:sz="4" w:space="0" w:color="9BC2E6"/>
              <w:right w:val="single" w:sz="4" w:space="0" w:color="9BC2E6"/>
            </w:tcBorders>
            <w:shd w:val="clear" w:color="DDEBF7" w:fill="DDEBF7"/>
            <w:noWrap/>
            <w:vAlign w:val="bottom"/>
            <w:hideMark/>
          </w:tcPr>
          <w:p w14:paraId="11DB0F21"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7.801</w:t>
            </w:r>
          </w:p>
        </w:tc>
      </w:tr>
      <w:tr w:rsidR="000E300C" w:rsidRPr="000E300C" w14:paraId="4C16559C" w14:textId="77777777" w:rsidTr="000E300C">
        <w:trPr>
          <w:trHeight w:val="288"/>
        </w:trPr>
        <w:tc>
          <w:tcPr>
            <w:tcW w:w="2700" w:type="dxa"/>
            <w:tcBorders>
              <w:top w:val="single" w:sz="4" w:space="0" w:color="9BC2E6"/>
              <w:left w:val="single" w:sz="4" w:space="0" w:color="9BC2E6"/>
              <w:bottom w:val="single" w:sz="4" w:space="0" w:color="9BC2E6"/>
              <w:right w:val="nil"/>
            </w:tcBorders>
            <w:shd w:val="clear" w:color="auto" w:fill="auto"/>
            <w:noWrap/>
            <w:vAlign w:val="bottom"/>
            <w:hideMark/>
          </w:tcPr>
          <w:p w14:paraId="7EA18433" w14:textId="77777777" w:rsidR="000E300C" w:rsidRPr="000E300C" w:rsidRDefault="000E300C" w:rsidP="000E300C">
            <w:pPr>
              <w:spacing w:after="0" w:line="240" w:lineRule="auto"/>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Minimum</w:t>
            </w:r>
          </w:p>
        </w:tc>
        <w:tc>
          <w:tcPr>
            <w:tcW w:w="1420" w:type="dxa"/>
            <w:tcBorders>
              <w:top w:val="single" w:sz="4" w:space="0" w:color="9BC2E6"/>
              <w:left w:val="nil"/>
              <w:bottom w:val="single" w:sz="4" w:space="0" w:color="9BC2E6"/>
              <w:right w:val="nil"/>
            </w:tcBorders>
            <w:shd w:val="clear" w:color="auto" w:fill="auto"/>
            <w:noWrap/>
            <w:vAlign w:val="bottom"/>
            <w:hideMark/>
          </w:tcPr>
          <w:p w14:paraId="1559A7CB"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-8.921</w:t>
            </w:r>
          </w:p>
        </w:tc>
        <w:tc>
          <w:tcPr>
            <w:tcW w:w="1460" w:type="dxa"/>
            <w:tcBorders>
              <w:top w:val="single" w:sz="4" w:space="0" w:color="9BC2E6"/>
              <w:left w:val="nil"/>
              <w:bottom w:val="single" w:sz="4" w:space="0" w:color="9BC2E6"/>
              <w:right w:val="nil"/>
            </w:tcBorders>
            <w:shd w:val="clear" w:color="auto" w:fill="auto"/>
            <w:noWrap/>
            <w:vAlign w:val="bottom"/>
            <w:hideMark/>
          </w:tcPr>
          <w:p w14:paraId="2B86D59D"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-9.042</w:t>
            </w:r>
          </w:p>
        </w:tc>
        <w:tc>
          <w:tcPr>
            <w:tcW w:w="1260" w:type="dxa"/>
            <w:tcBorders>
              <w:top w:val="single" w:sz="4" w:space="0" w:color="9BC2E6"/>
              <w:left w:val="nil"/>
              <w:bottom w:val="single" w:sz="4" w:space="0" w:color="9BC2E6"/>
              <w:right w:val="nil"/>
            </w:tcBorders>
            <w:shd w:val="clear" w:color="auto" w:fill="auto"/>
            <w:noWrap/>
            <w:vAlign w:val="bottom"/>
            <w:hideMark/>
          </w:tcPr>
          <w:p w14:paraId="6EBDAAB8"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-8.549</w:t>
            </w:r>
          </w:p>
        </w:tc>
        <w:tc>
          <w:tcPr>
            <w:tcW w:w="2360" w:type="dxa"/>
            <w:tcBorders>
              <w:top w:val="single" w:sz="4" w:space="0" w:color="9BC2E6"/>
              <w:left w:val="nil"/>
              <w:bottom w:val="single" w:sz="4" w:space="0" w:color="9BC2E6"/>
              <w:right w:val="single" w:sz="4" w:space="0" w:color="9BC2E6"/>
            </w:tcBorders>
            <w:shd w:val="clear" w:color="auto" w:fill="auto"/>
            <w:noWrap/>
            <w:vAlign w:val="bottom"/>
            <w:hideMark/>
          </w:tcPr>
          <w:p w14:paraId="7D4B4801"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-8.502</w:t>
            </w:r>
          </w:p>
        </w:tc>
      </w:tr>
      <w:tr w:rsidR="000E300C" w:rsidRPr="000E300C" w14:paraId="7F799F97" w14:textId="77777777" w:rsidTr="000E300C">
        <w:trPr>
          <w:trHeight w:val="288"/>
        </w:trPr>
        <w:tc>
          <w:tcPr>
            <w:tcW w:w="2700" w:type="dxa"/>
            <w:tcBorders>
              <w:top w:val="single" w:sz="4" w:space="0" w:color="9BC2E6"/>
              <w:left w:val="single" w:sz="4" w:space="0" w:color="9BC2E6"/>
              <w:bottom w:val="single" w:sz="4" w:space="0" w:color="9BC2E6"/>
              <w:right w:val="nil"/>
            </w:tcBorders>
            <w:shd w:val="clear" w:color="DDEBF7" w:fill="DDEBF7"/>
            <w:noWrap/>
            <w:vAlign w:val="bottom"/>
            <w:hideMark/>
          </w:tcPr>
          <w:p w14:paraId="0FDF1645" w14:textId="77777777" w:rsidR="000E300C" w:rsidRPr="000E300C" w:rsidRDefault="000E300C" w:rsidP="000E300C">
            <w:pPr>
              <w:spacing w:after="0" w:line="240" w:lineRule="auto"/>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Mean of Excess Returns</w:t>
            </w:r>
          </w:p>
        </w:tc>
        <w:tc>
          <w:tcPr>
            <w:tcW w:w="1420" w:type="dxa"/>
            <w:tcBorders>
              <w:top w:val="single" w:sz="4" w:space="0" w:color="9BC2E6"/>
              <w:left w:val="nil"/>
              <w:bottom w:val="single" w:sz="4" w:space="0" w:color="9BC2E6"/>
              <w:right w:val="nil"/>
            </w:tcBorders>
            <w:shd w:val="clear" w:color="DDEBF7" w:fill="DDEBF7"/>
            <w:noWrap/>
            <w:vAlign w:val="bottom"/>
            <w:hideMark/>
          </w:tcPr>
          <w:p w14:paraId="7C660B50"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0.186</w:t>
            </w:r>
          </w:p>
        </w:tc>
        <w:tc>
          <w:tcPr>
            <w:tcW w:w="1460" w:type="dxa"/>
            <w:tcBorders>
              <w:top w:val="single" w:sz="4" w:space="0" w:color="9BC2E6"/>
              <w:left w:val="nil"/>
              <w:bottom w:val="single" w:sz="4" w:space="0" w:color="9BC2E6"/>
              <w:right w:val="nil"/>
            </w:tcBorders>
            <w:shd w:val="clear" w:color="DDEBF7" w:fill="DDEBF7"/>
            <w:noWrap/>
            <w:vAlign w:val="bottom"/>
            <w:hideMark/>
          </w:tcPr>
          <w:p w14:paraId="71CCE961"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0.185</w:t>
            </w:r>
          </w:p>
        </w:tc>
        <w:tc>
          <w:tcPr>
            <w:tcW w:w="1260" w:type="dxa"/>
            <w:tcBorders>
              <w:top w:val="single" w:sz="4" w:space="0" w:color="9BC2E6"/>
              <w:left w:val="nil"/>
              <w:bottom w:val="single" w:sz="4" w:space="0" w:color="9BC2E6"/>
              <w:right w:val="nil"/>
            </w:tcBorders>
            <w:shd w:val="clear" w:color="DDEBF7" w:fill="DDEBF7"/>
            <w:noWrap/>
            <w:vAlign w:val="bottom"/>
            <w:hideMark/>
          </w:tcPr>
          <w:p w14:paraId="5D222F0A"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0.183</w:t>
            </w:r>
          </w:p>
        </w:tc>
        <w:tc>
          <w:tcPr>
            <w:tcW w:w="2360" w:type="dxa"/>
            <w:tcBorders>
              <w:top w:val="single" w:sz="4" w:space="0" w:color="9BC2E6"/>
              <w:left w:val="nil"/>
              <w:bottom w:val="single" w:sz="4" w:space="0" w:color="9BC2E6"/>
              <w:right w:val="single" w:sz="4" w:space="0" w:color="9BC2E6"/>
            </w:tcBorders>
            <w:shd w:val="clear" w:color="DDEBF7" w:fill="DDEBF7"/>
            <w:noWrap/>
            <w:vAlign w:val="bottom"/>
            <w:hideMark/>
          </w:tcPr>
          <w:p w14:paraId="037375C4"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0.166</w:t>
            </w:r>
          </w:p>
        </w:tc>
      </w:tr>
      <w:tr w:rsidR="000E300C" w:rsidRPr="000E300C" w14:paraId="43E6545E" w14:textId="77777777" w:rsidTr="000E300C">
        <w:trPr>
          <w:trHeight w:val="288"/>
        </w:trPr>
        <w:tc>
          <w:tcPr>
            <w:tcW w:w="2700" w:type="dxa"/>
            <w:tcBorders>
              <w:top w:val="single" w:sz="4" w:space="0" w:color="9BC2E6"/>
              <w:left w:val="single" w:sz="4" w:space="0" w:color="9BC2E6"/>
              <w:bottom w:val="single" w:sz="4" w:space="0" w:color="9BC2E6"/>
              <w:right w:val="nil"/>
            </w:tcBorders>
            <w:shd w:val="clear" w:color="auto" w:fill="auto"/>
            <w:noWrap/>
            <w:vAlign w:val="bottom"/>
            <w:hideMark/>
          </w:tcPr>
          <w:p w14:paraId="77EC5751" w14:textId="77777777" w:rsidR="000E300C" w:rsidRPr="000E300C" w:rsidRDefault="000E300C" w:rsidP="000E300C">
            <w:pPr>
              <w:spacing w:after="0" w:line="240" w:lineRule="auto"/>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Std. Deviation</w:t>
            </w:r>
          </w:p>
        </w:tc>
        <w:tc>
          <w:tcPr>
            <w:tcW w:w="1420" w:type="dxa"/>
            <w:tcBorders>
              <w:top w:val="single" w:sz="4" w:space="0" w:color="9BC2E6"/>
              <w:left w:val="nil"/>
              <w:bottom w:val="single" w:sz="4" w:space="0" w:color="9BC2E6"/>
              <w:right w:val="nil"/>
            </w:tcBorders>
            <w:shd w:val="clear" w:color="auto" w:fill="auto"/>
            <w:noWrap/>
            <w:vAlign w:val="bottom"/>
            <w:hideMark/>
          </w:tcPr>
          <w:p w14:paraId="40DEBB2F"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1.996</w:t>
            </w:r>
          </w:p>
        </w:tc>
        <w:tc>
          <w:tcPr>
            <w:tcW w:w="1460" w:type="dxa"/>
            <w:tcBorders>
              <w:top w:val="single" w:sz="4" w:space="0" w:color="9BC2E6"/>
              <w:left w:val="nil"/>
              <w:bottom w:val="single" w:sz="4" w:space="0" w:color="9BC2E6"/>
              <w:right w:val="nil"/>
            </w:tcBorders>
            <w:shd w:val="clear" w:color="auto" w:fill="auto"/>
            <w:noWrap/>
            <w:vAlign w:val="bottom"/>
            <w:hideMark/>
          </w:tcPr>
          <w:p w14:paraId="3BBFBE2F"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2.024</w:t>
            </w:r>
          </w:p>
        </w:tc>
        <w:tc>
          <w:tcPr>
            <w:tcW w:w="1260" w:type="dxa"/>
            <w:tcBorders>
              <w:top w:val="single" w:sz="4" w:space="0" w:color="9BC2E6"/>
              <w:left w:val="nil"/>
              <w:bottom w:val="single" w:sz="4" w:space="0" w:color="9BC2E6"/>
              <w:right w:val="nil"/>
            </w:tcBorders>
            <w:shd w:val="clear" w:color="auto" w:fill="auto"/>
            <w:noWrap/>
            <w:vAlign w:val="bottom"/>
            <w:hideMark/>
          </w:tcPr>
          <w:p w14:paraId="45EFEF2F"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sz w:val="22"/>
                <w:szCs w:val="22"/>
                <w:lang w:eastAsia="en-IN"/>
              </w:rPr>
              <w:t>2.012</w:t>
            </w:r>
          </w:p>
        </w:tc>
        <w:tc>
          <w:tcPr>
            <w:tcW w:w="2360" w:type="dxa"/>
            <w:tcBorders>
              <w:top w:val="single" w:sz="4" w:space="0" w:color="9BC2E6"/>
              <w:left w:val="nil"/>
              <w:bottom w:val="single" w:sz="4" w:space="0" w:color="9BC2E6"/>
              <w:right w:val="single" w:sz="4" w:space="0" w:color="9BC2E6"/>
            </w:tcBorders>
            <w:shd w:val="clear" w:color="auto" w:fill="auto"/>
            <w:noWrap/>
            <w:vAlign w:val="bottom"/>
            <w:hideMark/>
          </w:tcPr>
          <w:p w14:paraId="20B7BD4F"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1.804</w:t>
            </w:r>
          </w:p>
        </w:tc>
      </w:tr>
      <w:tr w:rsidR="000E300C" w:rsidRPr="000E300C" w14:paraId="3472916C" w14:textId="77777777" w:rsidTr="000E300C">
        <w:trPr>
          <w:trHeight w:val="288"/>
        </w:trPr>
        <w:tc>
          <w:tcPr>
            <w:tcW w:w="2700" w:type="dxa"/>
            <w:tcBorders>
              <w:top w:val="single" w:sz="4" w:space="0" w:color="9BC2E6"/>
              <w:left w:val="single" w:sz="4" w:space="0" w:color="9BC2E6"/>
              <w:bottom w:val="single" w:sz="4" w:space="0" w:color="9BC2E6"/>
              <w:right w:val="nil"/>
            </w:tcBorders>
            <w:shd w:val="clear" w:color="DDEBF7" w:fill="DDEBF7"/>
            <w:noWrap/>
            <w:vAlign w:val="bottom"/>
            <w:hideMark/>
          </w:tcPr>
          <w:p w14:paraId="763F7DBA" w14:textId="77777777" w:rsidR="000E300C" w:rsidRPr="000E300C" w:rsidRDefault="000E300C" w:rsidP="000E300C">
            <w:pPr>
              <w:spacing w:after="0" w:line="240" w:lineRule="auto"/>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Sharpe Ratio</w:t>
            </w:r>
          </w:p>
        </w:tc>
        <w:tc>
          <w:tcPr>
            <w:tcW w:w="1420" w:type="dxa"/>
            <w:tcBorders>
              <w:top w:val="single" w:sz="4" w:space="0" w:color="9BC2E6"/>
              <w:left w:val="nil"/>
              <w:bottom w:val="single" w:sz="4" w:space="0" w:color="9BC2E6"/>
              <w:right w:val="nil"/>
            </w:tcBorders>
            <w:shd w:val="clear" w:color="DDEBF7" w:fill="DDEBF7"/>
            <w:noWrap/>
            <w:vAlign w:val="bottom"/>
            <w:hideMark/>
          </w:tcPr>
          <w:p w14:paraId="7CC731C4"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0.093182</w:t>
            </w:r>
          </w:p>
        </w:tc>
        <w:tc>
          <w:tcPr>
            <w:tcW w:w="1460" w:type="dxa"/>
            <w:tcBorders>
              <w:top w:val="single" w:sz="4" w:space="0" w:color="9BC2E6"/>
              <w:left w:val="nil"/>
              <w:bottom w:val="single" w:sz="4" w:space="0" w:color="9BC2E6"/>
              <w:right w:val="nil"/>
            </w:tcBorders>
            <w:shd w:val="clear" w:color="DDEBF7" w:fill="DDEBF7"/>
            <w:noWrap/>
            <w:vAlign w:val="bottom"/>
            <w:hideMark/>
          </w:tcPr>
          <w:p w14:paraId="00CD2D4F"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0.091403</w:t>
            </w:r>
          </w:p>
        </w:tc>
        <w:tc>
          <w:tcPr>
            <w:tcW w:w="1260" w:type="dxa"/>
            <w:tcBorders>
              <w:top w:val="single" w:sz="4" w:space="0" w:color="9BC2E6"/>
              <w:left w:val="nil"/>
              <w:bottom w:val="single" w:sz="4" w:space="0" w:color="9BC2E6"/>
              <w:right w:val="nil"/>
            </w:tcBorders>
            <w:shd w:val="clear" w:color="DDEBF7" w:fill="DDEBF7"/>
            <w:noWrap/>
            <w:vAlign w:val="bottom"/>
            <w:hideMark/>
          </w:tcPr>
          <w:p w14:paraId="5A4FE1FA"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0.090977</w:t>
            </w:r>
          </w:p>
        </w:tc>
        <w:tc>
          <w:tcPr>
            <w:tcW w:w="2360" w:type="dxa"/>
            <w:tcBorders>
              <w:top w:val="single" w:sz="4" w:space="0" w:color="9BC2E6"/>
              <w:left w:val="nil"/>
              <w:bottom w:val="single" w:sz="4" w:space="0" w:color="9BC2E6"/>
              <w:right w:val="single" w:sz="4" w:space="0" w:color="9BC2E6"/>
            </w:tcBorders>
            <w:shd w:val="clear" w:color="DDEBF7" w:fill="DDEBF7"/>
            <w:noWrap/>
            <w:vAlign w:val="bottom"/>
            <w:hideMark/>
          </w:tcPr>
          <w:p w14:paraId="459D0917"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0.092222</w:t>
            </w:r>
          </w:p>
        </w:tc>
      </w:tr>
    </w:tbl>
    <w:p w14:paraId="17BF8F27" w14:textId="77777777" w:rsidR="00C3131C" w:rsidRDefault="00C3131C" w:rsidP="00872B44">
      <w:pPr>
        <w:rPr>
          <w:rFonts w:ascii="CMCSC10" w:hAnsi="CMCSC10"/>
          <w:b/>
          <w:bCs/>
          <w:color w:val="1481AB" w:themeColor="accent1" w:themeShade="BF"/>
          <w:sz w:val="40"/>
          <w:szCs w:val="40"/>
        </w:rPr>
      </w:pPr>
    </w:p>
    <w:tbl>
      <w:tblPr>
        <w:tblW w:w="9200" w:type="dxa"/>
        <w:tblLook w:val="04A0" w:firstRow="1" w:lastRow="0" w:firstColumn="1" w:lastColumn="0" w:noHBand="0" w:noVBand="1"/>
      </w:tblPr>
      <w:tblGrid>
        <w:gridCol w:w="2700"/>
        <w:gridCol w:w="1420"/>
        <w:gridCol w:w="1460"/>
        <w:gridCol w:w="1260"/>
        <w:gridCol w:w="2360"/>
      </w:tblGrid>
      <w:tr w:rsidR="000E300C" w:rsidRPr="000E300C" w14:paraId="5656FF2F" w14:textId="77777777" w:rsidTr="000E300C">
        <w:trPr>
          <w:trHeight w:val="288"/>
        </w:trPr>
        <w:tc>
          <w:tcPr>
            <w:tcW w:w="2700" w:type="dxa"/>
            <w:tcBorders>
              <w:top w:val="single" w:sz="4" w:space="0" w:color="9BC2E6"/>
              <w:left w:val="single" w:sz="4" w:space="0" w:color="9BC2E6"/>
              <w:bottom w:val="single" w:sz="4" w:space="0" w:color="9BC2E6"/>
              <w:right w:val="nil"/>
            </w:tcBorders>
            <w:shd w:val="clear" w:color="5B9BD5" w:fill="5B9BD5"/>
            <w:noWrap/>
            <w:vAlign w:val="bottom"/>
            <w:hideMark/>
          </w:tcPr>
          <w:p w14:paraId="7E2AC65D" w14:textId="77777777" w:rsidR="000E300C" w:rsidRPr="000E300C" w:rsidRDefault="000E300C" w:rsidP="000E300C">
            <w:pPr>
              <w:spacing w:after="0" w:line="240" w:lineRule="auto"/>
              <w:rPr>
                <w:rFonts w:ascii="Calibri" w:eastAsia="Times New Roman" w:hAnsi="Calibri" w:cs="Calibri"/>
                <w:b/>
                <w:bCs/>
                <w:color w:val="FFFFFF"/>
                <w:sz w:val="22"/>
                <w:szCs w:val="22"/>
                <w:lang w:eastAsia="en-IN"/>
              </w:rPr>
            </w:pPr>
            <w:r w:rsidRPr="000E300C">
              <w:rPr>
                <w:rFonts w:ascii="Calibri" w:eastAsia="Times New Roman" w:hAnsi="Calibri" w:cs="Calibri"/>
                <w:b/>
                <w:bCs/>
                <w:color w:val="FFFFFF"/>
                <w:sz w:val="22"/>
                <w:szCs w:val="22"/>
                <w:lang w:eastAsia="en-IN"/>
              </w:rPr>
              <w:t>Weekly</w:t>
            </w:r>
          </w:p>
        </w:tc>
        <w:tc>
          <w:tcPr>
            <w:tcW w:w="1420" w:type="dxa"/>
            <w:tcBorders>
              <w:top w:val="single" w:sz="4" w:space="0" w:color="9BC2E6"/>
              <w:left w:val="nil"/>
              <w:bottom w:val="single" w:sz="4" w:space="0" w:color="9BC2E6"/>
              <w:right w:val="nil"/>
            </w:tcBorders>
            <w:shd w:val="clear" w:color="5B9BD5" w:fill="5B9BD5"/>
            <w:noWrap/>
            <w:vAlign w:val="bottom"/>
            <w:hideMark/>
          </w:tcPr>
          <w:p w14:paraId="4A08E46E" w14:textId="77777777" w:rsidR="000E300C" w:rsidRPr="000E300C" w:rsidRDefault="000E300C" w:rsidP="000E300C">
            <w:pPr>
              <w:spacing w:after="0" w:line="240" w:lineRule="auto"/>
              <w:rPr>
                <w:rFonts w:ascii="Calibri" w:eastAsia="Times New Roman" w:hAnsi="Calibri" w:cs="Calibri"/>
                <w:b/>
                <w:bCs/>
                <w:color w:val="FFFFFF"/>
                <w:sz w:val="22"/>
                <w:szCs w:val="22"/>
                <w:lang w:eastAsia="en-IN"/>
              </w:rPr>
            </w:pPr>
            <w:r w:rsidRPr="000E300C">
              <w:rPr>
                <w:rFonts w:ascii="Calibri" w:eastAsia="Times New Roman" w:hAnsi="Calibri" w:cs="Calibri"/>
                <w:b/>
                <w:bCs/>
                <w:color w:val="FFFFFF"/>
                <w:sz w:val="22"/>
                <w:szCs w:val="22"/>
                <w:lang w:eastAsia="en-IN"/>
              </w:rPr>
              <w:t>Near Month</w:t>
            </w:r>
          </w:p>
        </w:tc>
        <w:tc>
          <w:tcPr>
            <w:tcW w:w="1460" w:type="dxa"/>
            <w:tcBorders>
              <w:top w:val="single" w:sz="4" w:space="0" w:color="9BC2E6"/>
              <w:left w:val="nil"/>
              <w:bottom w:val="single" w:sz="4" w:space="0" w:color="9BC2E6"/>
              <w:right w:val="nil"/>
            </w:tcBorders>
            <w:shd w:val="clear" w:color="5B9BD5" w:fill="5B9BD5"/>
            <w:noWrap/>
            <w:vAlign w:val="bottom"/>
            <w:hideMark/>
          </w:tcPr>
          <w:p w14:paraId="52303989" w14:textId="77777777" w:rsidR="000E300C" w:rsidRPr="000E300C" w:rsidRDefault="000E300C" w:rsidP="000E300C">
            <w:pPr>
              <w:spacing w:after="0" w:line="240" w:lineRule="auto"/>
              <w:rPr>
                <w:rFonts w:ascii="Calibri" w:eastAsia="Times New Roman" w:hAnsi="Calibri" w:cs="Calibri"/>
                <w:b/>
                <w:bCs/>
                <w:color w:val="FFFFFF"/>
                <w:sz w:val="22"/>
                <w:szCs w:val="22"/>
                <w:lang w:eastAsia="en-IN"/>
              </w:rPr>
            </w:pPr>
            <w:r w:rsidRPr="000E300C">
              <w:rPr>
                <w:rFonts w:ascii="Calibri" w:eastAsia="Times New Roman" w:hAnsi="Calibri" w:cs="Calibri"/>
                <w:b/>
                <w:bCs/>
                <w:color w:val="FFFFFF"/>
                <w:sz w:val="22"/>
                <w:szCs w:val="22"/>
                <w:lang w:eastAsia="en-IN"/>
              </w:rPr>
              <w:t xml:space="preserve">Next Month </w:t>
            </w:r>
          </w:p>
        </w:tc>
        <w:tc>
          <w:tcPr>
            <w:tcW w:w="1260" w:type="dxa"/>
            <w:tcBorders>
              <w:top w:val="single" w:sz="4" w:space="0" w:color="9BC2E6"/>
              <w:left w:val="nil"/>
              <w:bottom w:val="single" w:sz="4" w:space="0" w:color="9BC2E6"/>
              <w:right w:val="nil"/>
            </w:tcBorders>
            <w:shd w:val="clear" w:color="5B9BD5" w:fill="5B9BD5"/>
            <w:noWrap/>
            <w:vAlign w:val="bottom"/>
            <w:hideMark/>
          </w:tcPr>
          <w:p w14:paraId="1F1C13FD" w14:textId="77777777" w:rsidR="000E300C" w:rsidRPr="000E300C" w:rsidRDefault="000E300C" w:rsidP="000E300C">
            <w:pPr>
              <w:spacing w:after="0" w:line="240" w:lineRule="auto"/>
              <w:rPr>
                <w:rFonts w:ascii="Calibri" w:eastAsia="Times New Roman" w:hAnsi="Calibri" w:cs="Calibri"/>
                <w:b/>
                <w:bCs/>
                <w:color w:val="FFFFFF"/>
                <w:sz w:val="22"/>
                <w:szCs w:val="22"/>
                <w:lang w:eastAsia="en-IN"/>
              </w:rPr>
            </w:pPr>
            <w:r w:rsidRPr="000E300C">
              <w:rPr>
                <w:rFonts w:ascii="Calibri" w:eastAsia="Times New Roman" w:hAnsi="Calibri" w:cs="Calibri"/>
                <w:b/>
                <w:bCs/>
                <w:color w:val="FFFFFF"/>
                <w:sz w:val="22"/>
                <w:szCs w:val="22"/>
                <w:lang w:eastAsia="en-IN"/>
              </w:rPr>
              <w:t>Far Month</w:t>
            </w:r>
          </w:p>
        </w:tc>
        <w:tc>
          <w:tcPr>
            <w:tcW w:w="2360" w:type="dxa"/>
            <w:tcBorders>
              <w:top w:val="single" w:sz="4" w:space="0" w:color="9BC2E6"/>
              <w:left w:val="nil"/>
              <w:bottom w:val="single" w:sz="4" w:space="0" w:color="9BC2E6"/>
              <w:right w:val="single" w:sz="4" w:space="0" w:color="9BC2E6"/>
            </w:tcBorders>
            <w:shd w:val="clear" w:color="5B9BD5" w:fill="5B9BD5"/>
            <w:noWrap/>
            <w:vAlign w:val="bottom"/>
            <w:hideMark/>
          </w:tcPr>
          <w:p w14:paraId="133794E0" w14:textId="77777777" w:rsidR="000E300C" w:rsidRPr="000E300C" w:rsidRDefault="000E300C" w:rsidP="000E300C">
            <w:pPr>
              <w:spacing w:after="0" w:line="240" w:lineRule="auto"/>
              <w:rPr>
                <w:rFonts w:ascii="Calibri" w:eastAsia="Times New Roman" w:hAnsi="Calibri" w:cs="Calibri"/>
                <w:b/>
                <w:bCs/>
                <w:color w:val="FFFFFF"/>
                <w:sz w:val="22"/>
                <w:szCs w:val="22"/>
                <w:lang w:eastAsia="en-IN"/>
              </w:rPr>
            </w:pPr>
            <w:r w:rsidRPr="000E300C">
              <w:rPr>
                <w:rFonts w:ascii="Calibri" w:eastAsia="Times New Roman" w:hAnsi="Calibri" w:cs="Calibri"/>
                <w:b/>
                <w:bCs/>
                <w:color w:val="FFFFFF"/>
                <w:sz w:val="22"/>
                <w:szCs w:val="22"/>
                <w:lang w:eastAsia="en-IN"/>
              </w:rPr>
              <w:t>Underlying Assets</w:t>
            </w:r>
          </w:p>
        </w:tc>
      </w:tr>
      <w:tr w:rsidR="000E300C" w:rsidRPr="000E300C" w14:paraId="1D51319D" w14:textId="77777777" w:rsidTr="000E300C">
        <w:trPr>
          <w:trHeight w:val="288"/>
        </w:trPr>
        <w:tc>
          <w:tcPr>
            <w:tcW w:w="2700" w:type="dxa"/>
            <w:tcBorders>
              <w:top w:val="single" w:sz="4" w:space="0" w:color="9BC2E6"/>
              <w:left w:val="single" w:sz="4" w:space="0" w:color="9BC2E6"/>
              <w:bottom w:val="single" w:sz="4" w:space="0" w:color="9BC2E6"/>
              <w:right w:val="nil"/>
            </w:tcBorders>
            <w:shd w:val="clear" w:color="DDEBF7" w:fill="DDEBF7"/>
            <w:noWrap/>
            <w:vAlign w:val="bottom"/>
            <w:hideMark/>
          </w:tcPr>
          <w:p w14:paraId="6288958C" w14:textId="77777777" w:rsidR="000E300C" w:rsidRPr="000E300C" w:rsidRDefault="000E300C" w:rsidP="000E300C">
            <w:pPr>
              <w:spacing w:after="0" w:line="240" w:lineRule="auto"/>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 xml:space="preserve">Maximum </w:t>
            </w:r>
          </w:p>
        </w:tc>
        <w:tc>
          <w:tcPr>
            <w:tcW w:w="1420" w:type="dxa"/>
            <w:tcBorders>
              <w:top w:val="single" w:sz="4" w:space="0" w:color="9BC2E6"/>
              <w:left w:val="nil"/>
              <w:bottom w:val="single" w:sz="4" w:space="0" w:color="9BC2E6"/>
              <w:right w:val="nil"/>
            </w:tcBorders>
            <w:shd w:val="clear" w:color="DDEBF7" w:fill="DDEBF7"/>
            <w:noWrap/>
            <w:vAlign w:val="bottom"/>
            <w:hideMark/>
          </w:tcPr>
          <w:p w14:paraId="2CDE1625"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7.808</w:t>
            </w:r>
          </w:p>
        </w:tc>
        <w:tc>
          <w:tcPr>
            <w:tcW w:w="1460" w:type="dxa"/>
            <w:tcBorders>
              <w:top w:val="single" w:sz="4" w:space="0" w:color="9BC2E6"/>
              <w:left w:val="nil"/>
              <w:bottom w:val="single" w:sz="4" w:space="0" w:color="9BC2E6"/>
              <w:right w:val="nil"/>
            </w:tcBorders>
            <w:shd w:val="clear" w:color="DDEBF7" w:fill="DDEBF7"/>
            <w:noWrap/>
            <w:vAlign w:val="bottom"/>
            <w:hideMark/>
          </w:tcPr>
          <w:p w14:paraId="5F044DB3"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7.479</w:t>
            </w:r>
          </w:p>
        </w:tc>
        <w:tc>
          <w:tcPr>
            <w:tcW w:w="1260" w:type="dxa"/>
            <w:tcBorders>
              <w:top w:val="single" w:sz="4" w:space="0" w:color="9BC2E6"/>
              <w:left w:val="nil"/>
              <w:bottom w:val="single" w:sz="4" w:space="0" w:color="9BC2E6"/>
              <w:right w:val="nil"/>
            </w:tcBorders>
            <w:shd w:val="clear" w:color="DDEBF7" w:fill="DDEBF7"/>
            <w:noWrap/>
            <w:vAlign w:val="bottom"/>
            <w:hideMark/>
          </w:tcPr>
          <w:p w14:paraId="4325B813"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8.309</w:t>
            </w:r>
          </w:p>
        </w:tc>
        <w:tc>
          <w:tcPr>
            <w:tcW w:w="2360" w:type="dxa"/>
            <w:tcBorders>
              <w:top w:val="single" w:sz="4" w:space="0" w:color="9BC2E6"/>
              <w:left w:val="nil"/>
              <w:bottom w:val="single" w:sz="4" w:space="0" w:color="9BC2E6"/>
              <w:right w:val="single" w:sz="4" w:space="0" w:color="9BC2E6"/>
            </w:tcBorders>
            <w:shd w:val="clear" w:color="DDEBF7" w:fill="DDEBF7"/>
            <w:noWrap/>
            <w:vAlign w:val="bottom"/>
            <w:hideMark/>
          </w:tcPr>
          <w:p w14:paraId="191387E6"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7.748</w:t>
            </w:r>
          </w:p>
        </w:tc>
      </w:tr>
      <w:tr w:rsidR="000E300C" w:rsidRPr="000E300C" w14:paraId="19079161" w14:textId="77777777" w:rsidTr="000E300C">
        <w:trPr>
          <w:trHeight w:val="288"/>
        </w:trPr>
        <w:tc>
          <w:tcPr>
            <w:tcW w:w="2700" w:type="dxa"/>
            <w:tcBorders>
              <w:top w:val="single" w:sz="4" w:space="0" w:color="9BC2E6"/>
              <w:left w:val="single" w:sz="4" w:space="0" w:color="9BC2E6"/>
              <w:bottom w:val="single" w:sz="4" w:space="0" w:color="9BC2E6"/>
              <w:right w:val="nil"/>
            </w:tcBorders>
            <w:shd w:val="clear" w:color="auto" w:fill="auto"/>
            <w:noWrap/>
            <w:vAlign w:val="bottom"/>
            <w:hideMark/>
          </w:tcPr>
          <w:p w14:paraId="4EE90A35" w14:textId="77777777" w:rsidR="000E300C" w:rsidRPr="000E300C" w:rsidRDefault="000E300C" w:rsidP="000E300C">
            <w:pPr>
              <w:spacing w:after="0" w:line="240" w:lineRule="auto"/>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Minimum</w:t>
            </w:r>
          </w:p>
        </w:tc>
        <w:tc>
          <w:tcPr>
            <w:tcW w:w="1420" w:type="dxa"/>
            <w:tcBorders>
              <w:top w:val="single" w:sz="4" w:space="0" w:color="9BC2E6"/>
              <w:left w:val="nil"/>
              <w:bottom w:val="single" w:sz="4" w:space="0" w:color="9BC2E6"/>
              <w:right w:val="nil"/>
            </w:tcBorders>
            <w:shd w:val="clear" w:color="auto" w:fill="auto"/>
            <w:noWrap/>
            <w:vAlign w:val="bottom"/>
            <w:hideMark/>
          </w:tcPr>
          <w:p w14:paraId="5D39799B"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-8.951</w:t>
            </w:r>
          </w:p>
        </w:tc>
        <w:tc>
          <w:tcPr>
            <w:tcW w:w="1460" w:type="dxa"/>
            <w:tcBorders>
              <w:top w:val="single" w:sz="4" w:space="0" w:color="9BC2E6"/>
              <w:left w:val="nil"/>
              <w:bottom w:val="single" w:sz="4" w:space="0" w:color="9BC2E6"/>
              <w:right w:val="nil"/>
            </w:tcBorders>
            <w:shd w:val="clear" w:color="auto" w:fill="auto"/>
            <w:noWrap/>
            <w:vAlign w:val="bottom"/>
            <w:hideMark/>
          </w:tcPr>
          <w:p w14:paraId="00FB0DCC"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-8.997</w:t>
            </w:r>
          </w:p>
        </w:tc>
        <w:tc>
          <w:tcPr>
            <w:tcW w:w="1260" w:type="dxa"/>
            <w:tcBorders>
              <w:top w:val="single" w:sz="4" w:space="0" w:color="9BC2E6"/>
              <w:left w:val="nil"/>
              <w:bottom w:val="single" w:sz="4" w:space="0" w:color="9BC2E6"/>
              <w:right w:val="nil"/>
            </w:tcBorders>
            <w:shd w:val="clear" w:color="auto" w:fill="auto"/>
            <w:noWrap/>
            <w:vAlign w:val="bottom"/>
            <w:hideMark/>
          </w:tcPr>
          <w:p w14:paraId="3A4D0076"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-8.926</w:t>
            </w:r>
          </w:p>
        </w:tc>
        <w:tc>
          <w:tcPr>
            <w:tcW w:w="2360" w:type="dxa"/>
            <w:tcBorders>
              <w:top w:val="single" w:sz="4" w:space="0" w:color="9BC2E6"/>
              <w:left w:val="nil"/>
              <w:bottom w:val="single" w:sz="4" w:space="0" w:color="9BC2E6"/>
              <w:right w:val="single" w:sz="4" w:space="0" w:color="9BC2E6"/>
            </w:tcBorders>
            <w:shd w:val="clear" w:color="auto" w:fill="auto"/>
            <w:noWrap/>
            <w:vAlign w:val="bottom"/>
            <w:hideMark/>
          </w:tcPr>
          <w:p w14:paraId="37176EEF"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-8.842</w:t>
            </w:r>
          </w:p>
        </w:tc>
      </w:tr>
      <w:tr w:rsidR="000E300C" w:rsidRPr="000E300C" w14:paraId="2BE4B957" w14:textId="77777777" w:rsidTr="000E300C">
        <w:trPr>
          <w:trHeight w:val="288"/>
        </w:trPr>
        <w:tc>
          <w:tcPr>
            <w:tcW w:w="2700" w:type="dxa"/>
            <w:tcBorders>
              <w:top w:val="single" w:sz="4" w:space="0" w:color="9BC2E6"/>
              <w:left w:val="single" w:sz="4" w:space="0" w:color="9BC2E6"/>
              <w:bottom w:val="single" w:sz="4" w:space="0" w:color="9BC2E6"/>
              <w:right w:val="nil"/>
            </w:tcBorders>
            <w:shd w:val="clear" w:color="DDEBF7" w:fill="DDEBF7"/>
            <w:noWrap/>
            <w:vAlign w:val="bottom"/>
            <w:hideMark/>
          </w:tcPr>
          <w:p w14:paraId="526105D0" w14:textId="77777777" w:rsidR="000E300C" w:rsidRPr="000E300C" w:rsidRDefault="000E300C" w:rsidP="000E300C">
            <w:pPr>
              <w:spacing w:after="0" w:line="240" w:lineRule="auto"/>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Mean of Excess Returns</w:t>
            </w:r>
          </w:p>
        </w:tc>
        <w:tc>
          <w:tcPr>
            <w:tcW w:w="1420" w:type="dxa"/>
            <w:tcBorders>
              <w:top w:val="single" w:sz="4" w:space="0" w:color="9BC2E6"/>
              <w:left w:val="nil"/>
              <w:bottom w:val="single" w:sz="4" w:space="0" w:color="9BC2E6"/>
              <w:right w:val="nil"/>
            </w:tcBorders>
            <w:shd w:val="clear" w:color="DDEBF7" w:fill="DDEBF7"/>
            <w:noWrap/>
            <w:vAlign w:val="bottom"/>
            <w:hideMark/>
          </w:tcPr>
          <w:p w14:paraId="6F28D2A7"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0.573</w:t>
            </w:r>
          </w:p>
        </w:tc>
        <w:tc>
          <w:tcPr>
            <w:tcW w:w="1460" w:type="dxa"/>
            <w:tcBorders>
              <w:top w:val="single" w:sz="4" w:space="0" w:color="9BC2E6"/>
              <w:left w:val="nil"/>
              <w:bottom w:val="single" w:sz="4" w:space="0" w:color="9BC2E6"/>
              <w:right w:val="nil"/>
            </w:tcBorders>
            <w:shd w:val="clear" w:color="DDEBF7" w:fill="DDEBF7"/>
            <w:noWrap/>
            <w:vAlign w:val="bottom"/>
            <w:hideMark/>
          </w:tcPr>
          <w:p w14:paraId="0C26458F"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0.576</w:t>
            </w:r>
          </w:p>
        </w:tc>
        <w:tc>
          <w:tcPr>
            <w:tcW w:w="1260" w:type="dxa"/>
            <w:tcBorders>
              <w:top w:val="single" w:sz="4" w:space="0" w:color="9BC2E6"/>
              <w:left w:val="nil"/>
              <w:bottom w:val="single" w:sz="4" w:space="0" w:color="9BC2E6"/>
              <w:right w:val="nil"/>
            </w:tcBorders>
            <w:shd w:val="clear" w:color="DDEBF7" w:fill="DDEBF7"/>
            <w:noWrap/>
            <w:vAlign w:val="bottom"/>
            <w:hideMark/>
          </w:tcPr>
          <w:p w14:paraId="33474036"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0.571</w:t>
            </w:r>
          </w:p>
        </w:tc>
        <w:tc>
          <w:tcPr>
            <w:tcW w:w="2360" w:type="dxa"/>
            <w:tcBorders>
              <w:top w:val="single" w:sz="4" w:space="0" w:color="9BC2E6"/>
              <w:left w:val="nil"/>
              <w:bottom w:val="single" w:sz="4" w:space="0" w:color="9BC2E6"/>
              <w:right w:val="single" w:sz="4" w:space="0" w:color="9BC2E6"/>
            </w:tcBorders>
            <w:shd w:val="clear" w:color="DDEBF7" w:fill="DDEBF7"/>
            <w:noWrap/>
            <w:vAlign w:val="bottom"/>
            <w:hideMark/>
          </w:tcPr>
          <w:p w14:paraId="4F773979"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0.579</w:t>
            </w:r>
          </w:p>
        </w:tc>
      </w:tr>
      <w:tr w:rsidR="000E300C" w:rsidRPr="000E300C" w14:paraId="1D401BFF" w14:textId="77777777" w:rsidTr="000E300C">
        <w:trPr>
          <w:trHeight w:val="288"/>
        </w:trPr>
        <w:tc>
          <w:tcPr>
            <w:tcW w:w="2700" w:type="dxa"/>
            <w:tcBorders>
              <w:top w:val="single" w:sz="4" w:space="0" w:color="9BC2E6"/>
              <w:left w:val="single" w:sz="4" w:space="0" w:color="9BC2E6"/>
              <w:bottom w:val="single" w:sz="4" w:space="0" w:color="9BC2E6"/>
              <w:right w:val="nil"/>
            </w:tcBorders>
            <w:shd w:val="clear" w:color="auto" w:fill="auto"/>
            <w:noWrap/>
            <w:vAlign w:val="bottom"/>
            <w:hideMark/>
          </w:tcPr>
          <w:p w14:paraId="00A7050B" w14:textId="77777777" w:rsidR="000E300C" w:rsidRPr="000E300C" w:rsidRDefault="000E300C" w:rsidP="000E300C">
            <w:pPr>
              <w:spacing w:after="0" w:line="240" w:lineRule="auto"/>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Std. Deviation</w:t>
            </w:r>
          </w:p>
        </w:tc>
        <w:tc>
          <w:tcPr>
            <w:tcW w:w="1420" w:type="dxa"/>
            <w:tcBorders>
              <w:top w:val="single" w:sz="4" w:space="0" w:color="9BC2E6"/>
              <w:left w:val="nil"/>
              <w:bottom w:val="single" w:sz="4" w:space="0" w:color="9BC2E6"/>
              <w:right w:val="nil"/>
            </w:tcBorders>
            <w:shd w:val="clear" w:color="auto" w:fill="auto"/>
            <w:noWrap/>
            <w:vAlign w:val="bottom"/>
            <w:hideMark/>
          </w:tcPr>
          <w:p w14:paraId="22792095"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3.35</w:t>
            </w:r>
          </w:p>
        </w:tc>
        <w:tc>
          <w:tcPr>
            <w:tcW w:w="1460" w:type="dxa"/>
            <w:tcBorders>
              <w:top w:val="single" w:sz="4" w:space="0" w:color="9BC2E6"/>
              <w:left w:val="nil"/>
              <w:bottom w:val="single" w:sz="4" w:space="0" w:color="9BC2E6"/>
              <w:right w:val="nil"/>
            </w:tcBorders>
            <w:shd w:val="clear" w:color="auto" w:fill="auto"/>
            <w:noWrap/>
            <w:vAlign w:val="bottom"/>
            <w:hideMark/>
          </w:tcPr>
          <w:p w14:paraId="1BE3C6B4"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3.366</w:t>
            </w:r>
          </w:p>
        </w:tc>
        <w:tc>
          <w:tcPr>
            <w:tcW w:w="1260" w:type="dxa"/>
            <w:tcBorders>
              <w:top w:val="single" w:sz="4" w:space="0" w:color="9BC2E6"/>
              <w:left w:val="nil"/>
              <w:bottom w:val="single" w:sz="4" w:space="0" w:color="9BC2E6"/>
              <w:right w:val="nil"/>
            </w:tcBorders>
            <w:shd w:val="clear" w:color="auto" w:fill="auto"/>
            <w:noWrap/>
            <w:vAlign w:val="bottom"/>
            <w:hideMark/>
          </w:tcPr>
          <w:p w14:paraId="0C4AACD1"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3.362</w:t>
            </w:r>
          </w:p>
        </w:tc>
        <w:tc>
          <w:tcPr>
            <w:tcW w:w="2360" w:type="dxa"/>
            <w:tcBorders>
              <w:top w:val="single" w:sz="4" w:space="0" w:color="9BC2E6"/>
              <w:left w:val="nil"/>
              <w:bottom w:val="single" w:sz="4" w:space="0" w:color="9BC2E6"/>
              <w:right w:val="single" w:sz="4" w:space="0" w:color="9BC2E6"/>
            </w:tcBorders>
            <w:shd w:val="clear" w:color="auto" w:fill="auto"/>
            <w:noWrap/>
            <w:vAlign w:val="bottom"/>
            <w:hideMark/>
          </w:tcPr>
          <w:p w14:paraId="27D47959"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3.344</w:t>
            </w:r>
          </w:p>
        </w:tc>
      </w:tr>
      <w:tr w:rsidR="000E300C" w:rsidRPr="000E300C" w14:paraId="615E9EB9" w14:textId="77777777" w:rsidTr="000E300C">
        <w:trPr>
          <w:trHeight w:val="288"/>
        </w:trPr>
        <w:tc>
          <w:tcPr>
            <w:tcW w:w="2700" w:type="dxa"/>
            <w:tcBorders>
              <w:top w:val="single" w:sz="4" w:space="0" w:color="9BC2E6"/>
              <w:left w:val="single" w:sz="4" w:space="0" w:color="9BC2E6"/>
              <w:bottom w:val="single" w:sz="4" w:space="0" w:color="9BC2E6"/>
              <w:right w:val="nil"/>
            </w:tcBorders>
            <w:shd w:val="clear" w:color="DDEBF7" w:fill="DDEBF7"/>
            <w:noWrap/>
            <w:vAlign w:val="bottom"/>
            <w:hideMark/>
          </w:tcPr>
          <w:p w14:paraId="3F7EBA80" w14:textId="77777777" w:rsidR="000E300C" w:rsidRPr="000E300C" w:rsidRDefault="000E300C" w:rsidP="000E300C">
            <w:pPr>
              <w:spacing w:after="0" w:line="240" w:lineRule="auto"/>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Sharpe Ratio</w:t>
            </w:r>
          </w:p>
        </w:tc>
        <w:tc>
          <w:tcPr>
            <w:tcW w:w="1420" w:type="dxa"/>
            <w:tcBorders>
              <w:top w:val="single" w:sz="4" w:space="0" w:color="9BC2E6"/>
              <w:left w:val="nil"/>
              <w:bottom w:val="single" w:sz="4" w:space="0" w:color="9BC2E6"/>
              <w:right w:val="nil"/>
            </w:tcBorders>
            <w:shd w:val="clear" w:color="DDEBF7" w:fill="DDEBF7"/>
            <w:noWrap/>
            <w:vAlign w:val="bottom"/>
            <w:hideMark/>
          </w:tcPr>
          <w:p w14:paraId="7BC58CD0"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0.160554</w:t>
            </w:r>
          </w:p>
        </w:tc>
        <w:tc>
          <w:tcPr>
            <w:tcW w:w="1460" w:type="dxa"/>
            <w:tcBorders>
              <w:top w:val="single" w:sz="4" w:space="0" w:color="9BC2E6"/>
              <w:left w:val="nil"/>
              <w:bottom w:val="single" w:sz="4" w:space="0" w:color="9BC2E6"/>
              <w:right w:val="nil"/>
            </w:tcBorders>
            <w:shd w:val="clear" w:color="DDEBF7" w:fill="DDEBF7"/>
            <w:noWrap/>
            <w:vAlign w:val="bottom"/>
            <w:hideMark/>
          </w:tcPr>
          <w:p w14:paraId="64B7F4A8"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0.160388</w:t>
            </w:r>
          </w:p>
        </w:tc>
        <w:tc>
          <w:tcPr>
            <w:tcW w:w="1260" w:type="dxa"/>
            <w:tcBorders>
              <w:top w:val="single" w:sz="4" w:space="0" w:color="9BC2E6"/>
              <w:left w:val="nil"/>
              <w:bottom w:val="single" w:sz="4" w:space="0" w:color="9BC2E6"/>
              <w:right w:val="nil"/>
            </w:tcBorders>
            <w:shd w:val="clear" w:color="DDEBF7" w:fill="DDEBF7"/>
            <w:noWrap/>
            <w:vAlign w:val="bottom"/>
            <w:hideMark/>
          </w:tcPr>
          <w:p w14:paraId="0031BCDB"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0.159159</w:t>
            </w:r>
          </w:p>
        </w:tc>
        <w:tc>
          <w:tcPr>
            <w:tcW w:w="2360" w:type="dxa"/>
            <w:tcBorders>
              <w:top w:val="single" w:sz="4" w:space="0" w:color="9BC2E6"/>
              <w:left w:val="nil"/>
              <w:bottom w:val="single" w:sz="4" w:space="0" w:color="9BC2E6"/>
              <w:right w:val="single" w:sz="4" w:space="0" w:color="9BC2E6"/>
            </w:tcBorders>
            <w:shd w:val="clear" w:color="DDEBF7" w:fill="DDEBF7"/>
            <w:noWrap/>
            <w:vAlign w:val="bottom"/>
            <w:hideMark/>
          </w:tcPr>
          <w:p w14:paraId="0F26DFA6"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0.167389</w:t>
            </w:r>
          </w:p>
        </w:tc>
      </w:tr>
    </w:tbl>
    <w:p w14:paraId="0D6A7CA1" w14:textId="40822B81" w:rsidR="000E300C" w:rsidRDefault="000E300C" w:rsidP="00872B44">
      <w:pPr>
        <w:rPr>
          <w:rFonts w:ascii="CMCSC10" w:hAnsi="CMCSC10"/>
          <w:b/>
          <w:bCs/>
          <w:color w:val="1481AB" w:themeColor="accent1" w:themeShade="BF"/>
          <w:sz w:val="40"/>
          <w:szCs w:val="40"/>
        </w:rPr>
      </w:pPr>
    </w:p>
    <w:tbl>
      <w:tblPr>
        <w:tblW w:w="9200" w:type="dxa"/>
        <w:tblLook w:val="04A0" w:firstRow="1" w:lastRow="0" w:firstColumn="1" w:lastColumn="0" w:noHBand="0" w:noVBand="1"/>
      </w:tblPr>
      <w:tblGrid>
        <w:gridCol w:w="2700"/>
        <w:gridCol w:w="1420"/>
        <w:gridCol w:w="1460"/>
        <w:gridCol w:w="1260"/>
        <w:gridCol w:w="2360"/>
      </w:tblGrid>
      <w:tr w:rsidR="000E300C" w:rsidRPr="000E300C" w14:paraId="58BBA95B" w14:textId="77777777" w:rsidTr="000E300C">
        <w:trPr>
          <w:trHeight w:val="288"/>
        </w:trPr>
        <w:tc>
          <w:tcPr>
            <w:tcW w:w="2700" w:type="dxa"/>
            <w:tcBorders>
              <w:top w:val="single" w:sz="4" w:space="0" w:color="9BC2E6"/>
              <w:left w:val="single" w:sz="4" w:space="0" w:color="9BC2E6"/>
              <w:bottom w:val="single" w:sz="4" w:space="0" w:color="9BC2E6"/>
              <w:right w:val="nil"/>
            </w:tcBorders>
            <w:shd w:val="clear" w:color="5B9BD5" w:fill="5B9BD5"/>
            <w:noWrap/>
            <w:vAlign w:val="bottom"/>
            <w:hideMark/>
          </w:tcPr>
          <w:p w14:paraId="08D7F992" w14:textId="77777777" w:rsidR="000E300C" w:rsidRPr="000E300C" w:rsidRDefault="000E300C" w:rsidP="000E300C">
            <w:pPr>
              <w:spacing w:after="0" w:line="240" w:lineRule="auto"/>
              <w:rPr>
                <w:rFonts w:ascii="Calibri" w:eastAsia="Times New Roman" w:hAnsi="Calibri" w:cs="Calibri"/>
                <w:b/>
                <w:bCs/>
                <w:color w:val="FFFFFF"/>
                <w:sz w:val="22"/>
                <w:szCs w:val="22"/>
                <w:lang w:eastAsia="en-IN"/>
              </w:rPr>
            </w:pPr>
            <w:r w:rsidRPr="000E300C">
              <w:rPr>
                <w:rFonts w:ascii="Calibri" w:eastAsia="Times New Roman" w:hAnsi="Calibri" w:cs="Calibri"/>
                <w:b/>
                <w:bCs/>
                <w:color w:val="FFFFFF"/>
                <w:sz w:val="22"/>
                <w:szCs w:val="22"/>
                <w:lang w:eastAsia="en-IN"/>
              </w:rPr>
              <w:t>Monthly</w:t>
            </w:r>
          </w:p>
        </w:tc>
        <w:tc>
          <w:tcPr>
            <w:tcW w:w="1420" w:type="dxa"/>
            <w:tcBorders>
              <w:top w:val="single" w:sz="4" w:space="0" w:color="9BC2E6"/>
              <w:left w:val="nil"/>
              <w:bottom w:val="single" w:sz="4" w:space="0" w:color="9BC2E6"/>
              <w:right w:val="nil"/>
            </w:tcBorders>
            <w:shd w:val="clear" w:color="5B9BD5" w:fill="5B9BD5"/>
            <w:noWrap/>
            <w:vAlign w:val="bottom"/>
            <w:hideMark/>
          </w:tcPr>
          <w:p w14:paraId="608E094A" w14:textId="77777777" w:rsidR="000E300C" w:rsidRPr="000E300C" w:rsidRDefault="000E300C" w:rsidP="000E300C">
            <w:pPr>
              <w:spacing w:after="0" w:line="240" w:lineRule="auto"/>
              <w:rPr>
                <w:rFonts w:ascii="Calibri" w:eastAsia="Times New Roman" w:hAnsi="Calibri" w:cs="Calibri"/>
                <w:b/>
                <w:bCs/>
                <w:color w:val="FFFFFF"/>
                <w:sz w:val="22"/>
                <w:szCs w:val="22"/>
                <w:lang w:eastAsia="en-IN"/>
              </w:rPr>
            </w:pPr>
            <w:r w:rsidRPr="000E300C">
              <w:rPr>
                <w:rFonts w:ascii="Calibri" w:eastAsia="Times New Roman" w:hAnsi="Calibri" w:cs="Calibri"/>
                <w:b/>
                <w:bCs/>
                <w:color w:val="FFFFFF"/>
                <w:sz w:val="22"/>
                <w:szCs w:val="22"/>
                <w:lang w:eastAsia="en-IN"/>
              </w:rPr>
              <w:t>Near Month</w:t>
            </w:r>
          </w:p>
        </w:tc>
        <w:tc>
          <w:tcPr>
            <w:tcW w:w="1460" w:type="dxa"/>
            <w:tcBorders>
              <w:top w:val="single" w:sz="4" w:space="0" w:color="9BC2E6"/>
              <w:left w:val="nil"/>
              <w:bottom w:val="single" w:sz="4" w:space="0" w:color="9BC2E6"/>
              <w:right w:val="nil"/>
            </w:tcBorders>
            <w:shd w:val="clear" w:color="5B9BD5" w:fill="5B9BD5"/>
            <w:noWrap/>
            <w:vAlign w:val="bottom"/>
            <w:hideMark/>
          </w:tcPr>
          <w:p w14:paraId="44073F03" w14:textId="77777777" w:rsidR="000E300C" w:rsidRPr="000E300C" w:rsidRDefault="000E300C" w:rsidP="000E300C">
            <w:pPr>
              <w:spacing w:after="0" w:line="240" w:lineRule="auto"/>
              <w:rPr>
                <w:rFonts w:ascii="Calibri" w:eastAsia="Times New Roman" w:hAnsi="Calibri" w:cs="Calibri"/>
                <w:b/>
                <w:bCs/>
                <w:color w:val="FFFFFF"/>
                <w:sz w:val="22"/>
                <w:szCs w:val="22"/>
                <w:lang w:eastAsia="en-IN"/>
              </w:rPr>
            </w:pPr>
            <w:r w:rsidRPr="000E300C">
              <w:rPr>
                <w:rFonts w:ascii="Calibri" w:eastAsia="Times New Roman" w:hAnsi="Calibri" w:cs="Calibri"/>
                <w:b/>
                <w:bCs/>
                <w:color w:val="FFFFFF"/>
                <w:sz w:val="22"/>
                <w:szCs w:val="22"/>
                <w:lang w:eastAsia="en-IN"/>
              </w:rPr>
              <w:t xml:space="preserve">Next Month </w:t>
            </w:r>
          </w:p>
        </w:tc>
        <w:tc>
          <w:tcPr>
            <w:tcW w:w="1260" w:type="dxa"/>
            <w:tcBorders>
              <w:top w:val="single" w:sz="4" w:space="0" w:color="9BC2E6"/>
              <w:left w:val="nil"/>
              <w:bottom w:val="single" w:sz="4" w:space="0" w:color="9BC2E6"/>
              <w:right w:val="nil"/>
            </w:tcBorders>
            <w:shd w:val="clear" w:color="5B9BD5" w:fill="5B9BD5"/>
            <w:noWrap/>
            <w:vAlign w:val="bottom"/>
            <w:hideMark/>
          </w:tcPr>
          <w:p w14:paraId="65093BD7" w14:textId="77777777" w:rsidR="000E300C" w:rsidRPr="000E300C" w:rsidRDefault="000E300C" w:rsidP="000E300C">
            <w:pPr>
              <w:spacing w:after="0" w:line="240" w:lineRule="auto"/>
              <w:rPr>
                <w:rFonts w:ascii="Calibri" w:eastAsia="Times New Roman" w:hAnsi="Calibri" w:cs="Calibri"/>
                <w:b/>
                <w:bCs/>
                <w:color w:val="FFFFFF"/>
                <w:sz w:val="22"/>
                <w:szCs w:val="22"/>
                <w:lang w:eastAsia="en-IN"/>
              </w:rPr>
            </w:pPr>
            <w:r w:rsidRPr="000E300C">
              <w:rPr>
                <w:rFonts w:ascii="Calibri" w:eastAsia="Times New Roman" w:hAnsi="Calibri" w:cs="Calibri"/>
                <w:b/>
                <w:bCs/>
                <w:color w:val="FFFFFF"/>
                <w:sz w:val="22"/>
                <w:szCs w:val="22"/>
                <w:lang w:eastAsia="en-IN"/>
              </w:rPr>
              <w:t>Far Month</w:t>
            </w:r>
          </w:p>
        </w:tc>
        <w:tc>
          <w:tcPr>
            <w:tcW w:w="2360" w:type="dxa"/>
            <w:tcBorders>
              <w:top w:val="single" w:sz="4" w:space="0" w:color="9BC2E6"/>
              <w:left w:val="nil"/>
              <w:bottom w:val="single" w:sz="4" w:space="0" w:color="9BC2E6"/>
              <w:right w:val="single" w:sz="4" w:space="0" w:color="9BC2E6"/>
            </w:tcBorders>
            <w:shd w:val="clear" w:color="5B9BD5" w:fill="5B9BD5"/>
            <w:noWrap/>
            <w:vAlign w:val="bottom"/>
            <w:hideMark/>
          </w:tcPr>
          <w:p w14:paraId="2E499A92" w14:textId="77777777" w:rsidR="000E300C" w:rsidRPr="000E300C" w:rsidRDefault="000E300C" w:rsidP="000E300C">
            <w:pPr>
              <w:spacing w:after="0" w:line="240" w:lineRule="auto"/>
              <w:rPr>
                <w:rFonts w:ascii="Calibri" w:eastAsia="Times New Roman" w:hAnsi="Calibri" w:cs="Calibri"/>
                <w:b/>
                <w:bCs/>
                <w:color w:val="FFFFFF"/>
                <w:sz w:val="22"/>
                <w:szCs w:val="22"/>
                <w:lang w:eastAsia="en-IN"/>
              </w:rPr>
            </w:pPr>
            <w:r w:rsidRPr="000E300C">
              <w:rPr>
                <w:rFonts w:ascii="Calibri" w:eastAsia="Times New Roman" w:hAnsi="Calibri" w:cs="Calibri"/>
                <w:b/>
                <w:bCs/>
                <w:color w:val="FFFFFF"/>
                <w:sz w:val="22"/>
                <w:szCs w:val="22"/>
                <w:lang w:eastAsia="en-IN"/>
              </w:rPr>
              <w:t>Underlying Assets</w:t>
            </w:r>
          </w:p>
        </w:tc>
      </w:tr>
      <w:tr w:rsidR="000E300C" w:rsidRPr="000E300C" w14:paraId="56B372F5" w14:textId="77777777" w:rsidTr="000E300C">
        <w:trPr>
          <w:trHeight w:val="288"/>
        </w:trPr>
        <w:tc>
          <w:tcPr>
            <w:tcW w:w="2700" w:type="dxa"/>
            <w:tcBorders>
              <w:top w:val="single" w:sz="4" w:space="0" w:color="9BC2E6"/>
              <w:left w:val="single" w:sz="4" w:space="0" w:color="9BC2E6"/>
              <w:bottom w:val="single" w:sz="4" w:space="0" w:color="9BC2E6"/>
              <w:right w:val="nil"/>
            </w:tcBorders>
            <w:shd w:val="clear" w:color="DDEBF7" w:fill="DDEBF7"/>
            <w:noWrap/>
            <w:vAlign w:val="bottom"/>
            <w:hideMark/>
          </w:tcPr>
          <w:p w14:paraId="325CEB7D" w14:textId="77777777" w:rsidR="000E300C" w:rsidRPr="000E300C" w:rsidRDefault="000E300C" w:rsidP="000E300C">
            <w:pPr>
              <w:spacing w:after="0" w:line="240" w:lineRule="auto"/>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 xml:space="preserve">Maximum </w:t>
            </w:r>
          </w:p>
        </w:tc>
        <w:tc>
          <w:tcPr>
            <w:tcW w:w="1420" w:type="dxa"/>
            <w:tcBorders>
              <w:top w:val="single" w:sz="4" w:space="0" w:color="9BC2E6"/>
              <w:left w:val="nil"/>
              <w:bottom w:val="single" w:sz="4" w:space="0" w:color="9BC2E6"/>
              <w:right w:val="nil"/>
            </w:tcBorders>
            <w:shd w:val="clear" w:color="DDEBF7" w:fill="DDEBF7"/>
            <w:noWrap/>
            <w:vAlign w:val="bottom"/>
            <w:hideMark/>
          </w:tcPr>
          <w:p w14:paraId="31C2F5AD"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9.642</w:t>
            </w:r>
          </w:p>
        </w:tc>
        <w:tc>
          <w:tcPr>
            <w:tcW w:w="1460" w:type="dxa"/>
            <w:tcBorders>
              <w:top w:val="single" w:sz="4" w:space="0" w:color="9BC2E6"/>
              <w:left w:val="nil"/>
              <w:bottom w:val="single" w:sz="4" w:space="0" w:color="9BC2E6"/>
              <w:right w:val="nil"/>
            </w:tcBorders>
            <w:shd w:val="clear" w:color="DDEBF7" w:fill="DDEBF7"/>
            <w:noWrap/>
            <w:vAlign w:val="bottom"/>
            <w:hideMark/>
          </w:tcPr>
          <w:p w14:paraId="1F57AA78"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9.927</w:t>
            </w:r>
          </w:p>
        </w:tc>
        <w:tc>
          <w:tcPr>
            <w:tcW w:w="1260" w:type="dxa"/>
            <w:tcBorders>
              <w:top w:val="single" w:sz="4" w:space="0" w:color="9BC2E6"/>
              <w:left w:val="nil"/>
              <w:bottom w:val="single" w:sz="4" w:space="0" w:color="9BC2E6"/>
              <w:right w:val="nil"/>
            </w:tcBorders>
            <w:shd w:val="clear" w:color="DDEBF7" w:fill="DDEBF7"/>
            <w:noWrap/>
            <w:vAlign w:val="bottom"/>
            <w:hideMark/>
          </w:tcPr>
          <w:p w14:paraId="01336F0D"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9.668</w:t>
            </w:r>
          </w:p>
        </w:tc>
        <w:tc>
          <w:tcPr>
            <w:tcW w:w="2360" w:type="dxa"/>
            <w:tcBorders>
              <w:top w:val="single" w:sz="4" w:space="0" w:color="9BC2E6"/>
              <w:left w:val="nil"/>
              <w:bottom w:val="single" w:sz="4" w:space="0" w:color="9BC2E6"/>
              <w:right w:val="single" w:sz="4" w:space="0" w:color="9BC2E6"/>
            </w:tcBorders>
            <w:shd w:val="clear" w:color="DDEBF7" w:fill="DDEBF7"/>
            <w:noWrap/>
            <w:vAlign w:val="bottom"/>
            <w:hideMark/>
          </w:tcPr>
          <w:p w14:paraId="2D37F4B4"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9.82</w:t>
            </w:r>
          </w:p>
        </w:tc>
      </w:tr>
      <w:tr w:rsidR="000E300C" w:rsidRPr="000E300C" w14:paraId="5D29C7EA" w14:textId="77777777" w:rsidTr="000E300C">
        <w:trPr>
          <w:trHeight w:val="288"/>
        </w:trPr>
        <w:tc>
          <w:tcPr>
            <w:tcW w:w="2700" w:type="dxa"/>
            <w:tcBorders>
              <w:top w:val="single" w:sz="4" w:space="0" w:color="9BC2E6"/>
              <w:left w:val="single" w:sz="4" w:space="0" w:color="9BC2E6"/>
              <w:bottom w:val="single" w:sz="4" w:space="0" w:color="9BC2E6"/>
              <w:right w:val="nil"/>
            </w:tcBorders>
            <w:shd w:val="clear" w:color="auto" w:fill="auto"/>
            <w:noWrap/>
            <w:vAlign w:val="bottom"/>
            <w:hideMark/>
          </w:tcPr>
          <w:p w14:paraId="3D4E16FB" w14:textId="77777777" w:rsidR="000E300C" w:rsidRPr="000E300C" w:rsidRDefault="000E300C" w:rsidP="000E300C">
            <w:pPr>
              <w:spacing w:after="0" w:line="240" w:lineRule="auto"/>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Minimum</w:t>
            </w:r>
          </w:p>
        </w:tc>
        <w:tc>
          <w:tcPr>
            <w:tcW w:w="1420" w:type="dxa"/>
            <w:tcBorders>
              <w:top w:val="single" w:sz="4" w:space="0" w:color="9BC2E6"/>
              <w:left w:val="nil"/>
              <w:bottom w:val="single" w:sz="4" w:space="0" w:color="9BC2E6"/>
              <w:right w:val="nil"/>
            </w:tcBorders>
            <w:shd w:val="clear" w:color="auto" w:fill="auto"/>
            <w:noWrap/>
            <w:vAlign w:val="bottom"/>
            <w:hideMark/>
          </w:tcPr>
          <w:p w14:paraId="77D4619D"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-3.59</w:t>
            </w:r>
          </w:p>
        </w:tc>
        <w:tc>
          <w:tcPr>
            <w:tcW w:w="1460" w:type="dxa"/>
            <w:tcBorders>
              <w:top w:val="single" w:sz="4" w:space="0" w:color="9BC2E6"/>
              <w:left w:val="nil"/>
              <w:bottom w:val="single" w:sz="4" w:space="0" w:color="9BC2E6"/>
              <w:right w:val="nil"/>
            </w:tcBorders>
            <w:shd w:val="clear" w:color="auto" w:fill="auto"/>
            <w:noWrap/>
            <w:vAlign w:val="bottom"/>
            <w:hideMark/>
          </w:tcPr>
          <w:p w14:paraId="29B1BA59"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-3.645</w:t>
            </w:r>
          </w:p>
        </w:tc>
        <w:tc>
          <w:tcPr>
            <w:tcW w:w="1260" w:type="dxa"/>
            <w:tcBorders>
              <w:top w:val="single" w:sz="4" w:space="0" w:color="9BC2E6"/>
              <w:left w:val="nil"/>
              <w:bottom w:val="single" w:sz="4" w:space="0" w:color="9BC2E6"/>
              <w:right w:val="nil"/>
            </w:tcBorders>
            <w:shd w:val="clear" w:color="auto" w:fill="auto"/>
            <w:noWrap/>
            <w:vAlign w:val="bottom"/>
            <w:hideMark/>
          </w:tcPr>
          <w:p w14:paraId="2246BAFB"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-3.208</w:t>
            </w:r>
          </w:p>
        </w:tc>
        <w:tc>
          <w:tcPr>
            <w:tcW w:w="2360" w:type="dxa"/>
            <w:tcBorders>
              <w:top w:val="single" w:sz="4" w:space="0" w:color="9BC2E6"/>
              <w:left w:val="nil"/>
              <w:bottom w:val="single" w:sz="4" w:space="0" w:color="9BC2E6"/>
              <w:right w:val="single" w:sz="4" w:space="0" w:color="9BC2E6"/>
            </w:tcBorders>
            <w:shd w:val="clear" w:color="auto" w:fill="auto"/>
            <w:noWrap/>
            <w:vAlign w:val="bottom"/>
            <w:hideMark/>
          </w:tcPr>
          <w:p w14:paraId="0E7FF013"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-3.707</w:t>
            </w:r>
          </w:p>
        </w:tc>
      </w:tr>
      <w:tr w:rsidR="000E300C" w:rsidRPr="000E300C" w14:paraId="62D5D581" w14:textId="77777777" w:rsidTr="000E300C">
        <w:trPr>
          <w:trHeight w:val="288"/>
        </w:trPr>
        <w:tc>
          <w:tcPr>
            <w:tcW w:w="2700" w:type="dxa"/>
            <w:tcBorders>
              <w:top w:val="single" w:sz="4" w:space="0" w:color="9BC2E6"/>
              <w:left w:val="single" w:sz="4" w:space="0" w:color="9BC2E6"/>
              <w:bottom w:val="single" w:sz="4" w:space="0" w:color="9BC2E6"/>
              <w:right w:val="nil"/>
            </w:tcBorders>
            <w:shd w:val="clear" w:color="DDEBF7" w:fill="DDEBF7"/>
            <w:noWrap/>
            <w:vAlign w:val="bottom"/>
            <w:hideMark/>
          </w:tcPr>
          <w:p w14:paraId="26E752FF" w14:textId="77777777" w:rsidR="000E300C" w:rsidRPr="000E300C" w:rsidRDefault="000E300C" w:rsidP="000E300C">
            <w:pPr>
              <w:spacing w:after="0" w:line="240" w:lineRule="auto"/>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Mean of Excess Returns</w:t>
            </w:r>
          </w:p>
        </w:tc>
        <w:tc>
          <w:tcPr>
            <w:tcW w:w="1420" w:type="dxa"/>
            <w:tcBorders>
              <w:top w:val="single" w:sz="4" w:space="0" w:color="9BC2E6"/>
              <w:left w:val="nil"/>
              <w:bottom w:val="single" w:sz="4" w:space="0" w:color="9BC2E6"/>
              <w:right w:val="nil"/>
            </w:tcBorders>
            <w:shd w:val="clear" w:color="DDEBF7" w:fill="DDEBF7"/>
            <w:noWrap/>
            <w:vAlign w:val="bottom"/>
            <w:hideMark/>
          </w:tcPr>
          <w:p w14:paraId="1367C533"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3.342</w:t>
            </w:r>
          </w:p>
        </w:tc>
        <w:tc>
          <w:tcPr>
            <w:tcW w:w="1460" w:type="dxa"/>
            <w:tcBorders>
              <w:top w:val="single" w:sz="4" w:space="0" w:color="9BC2E6"/>
              <w:left w:val="nil"/>
              <w:bottom w:val="single" w:sz="4" w:space="0" w:color="9BC2E6"/>
              <w:right w:val="nil"/>
            </w:tcBorders>
            <w:shd w:val="clear" w:color="DDEBF7" w:fill="DDEBF7"/>
            <w:noWrap/>
            <w:vAlign w:val="bottom"/>
            <w:hideMark/>
          </w:tcPr>
          <w:p w14:paraId="0F04F0B9"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3.299</w:t>
            </w:r>
          </w:p>
        </w:tc>
        <w:tc>
          <w:tcPr>
            <w:tcW w:w="1260" w:type="dxa"/>
            <w:tcBorders>
              <w:top w:val="single" w:sz="4" w:space="0" w:color="9BC2E6"/>
              <w:left w:val="nil"/>
              <w:bottom w:val="single" w:sz="4" w:space="0" w:color="9BC2E6"/>
              <w:right w:val="nil"/>
            </w:tcBorders>
            <w:shd w:val="clear" w:color="DDEBF7" w:fill="DDEBF7"/>
            <w:noWrap/>
            <w:vAlign w:val="bottom"/>
            <w:hideMark/>
          </w:tcPr>
          <w:p w14:paraId="4B93AFB7"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3.293</w:t>
            </w:r>
          </w:p>
        </w:tc>
        <w:tc>
          <w:tcPr>
            <w:tcW w:w="2360" w:type="dxa"/>
            <w:tcBorders>
              <w:top w:val="single" w:sz="4" w:space="0" w:color="9BC2E6"/>
              <w:left w:val="nil"/>
              <w:bottom w:val="single" w:sz="4" w:space="0" w:color="9BC2E6"/>
              <w:right w:val="single" w:sz="4" w:space="0" w:color="9BC2E6"/>
            </w:tcBorders>
            <w:shd w:val="clear" w:color="DDEBF7" w:fill="DDEBF7"/>
            <w:noWrap/>
            <w:vAlign w:val="bottom"/>
            <w:hideMark/>
          </w:tcPr>
          <w:p w14:paraId="7BC8D665"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3.354</w:t>
            </w:r>
          </w:p>
        </w:tc>
      </w:tr>
      <w:tr w:rsidR="000E300C" w:rsidRPr="000E300C" w14:paraId="207D3A1D" w14:textId="77777777" w:rsidTr="000E300C">
        <w:trPr>
          <w:trHeight w:val="288"/>
        </w:trPr>
        <w:tc>
          <w:tcPr>
            <w:tcW w:w="2700" w:type="dxa"/>
            <w:tcBorders>
              <w:top w:val="single" w:sz="4" w:space="0" w:color="9BC2E6"/>
              <w:left w:val="single" w:sz="4" w:space="0" w:color="9BC2E6"/>
              <w:bottom w:val="single" w:sz="4" w:space="0" w:color="9BC2E6"/>
              <w:right w:val="nil"/>
            </w:tcBorders>
            <w:shd w:val="clear" w:color="auto" w:fill="auto"/>
            <w:noWrap/>
            <w:vAlign w:val="bottom"/>
            <w:hideMark/>
          </w:tcPr>
          <w:p w14:paraId="406C9699" w14:textId="77777777" w:rsidR="000E300C" w:rsidRPr="000E300C" w:rsidRDefault="000E300C" w:rsidP="000E300C">
            <w:pPr>
              <w:spacing w:after="0" w:line="240" w:lineRule="auto"/>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Std. Deviation</w:t>
            </w:r>
          </w:p>
        </w:tc>
        <w:tc>
          <w:tcPr>
            <w:tcW w:w="1420" w:type="dxa"/>
            <w:tcBorders>
              <w:top w:val="single" w:sz="4" w:space="0" w:color="9BC2E6"/>
              <w:left w:val="nil"/>
              <w:bottom w:val="single" w:sz="4" w:space="0" w:color="9BC2E6"/>
              <w:right w:val="nil"/>
            </w:tcBorders>
            <w:shd w:val="clear" w:color="auto" w:fill="auto"/>
            <w:noWrap/>
            <w:vAlign w:val="bottom"/>
            <w:hideMark/>
          </w:tcPr>
          <w:p w14:paraId="20DA322B"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4.01</w:t>
            </w:r>
          </w:p>
        </w:tc>
        <w:tc>
          <w:tcPr>
            <w:tcW w:w="1460" w:type="dxa"/>
            <w:tcBorders>
              <w:top w:val="single" w:sz="4" w:space="0" w:color="9BC2E6"/>
              <w:left w:val="nil"/>
              <w:bottom w:val="single" w:sz="4" w:space="0" w:color="9BC2E6"/>
              <w:right w:val="nil"/>
            </w:tcBorders>
            <w:shd w:val="clear" w:color="auto" w:fill="auto"/>
            <w:noWrap/>
            <w:vAlign w:val="bottom"/>
            <w:hideMark/>
          </w:tcPr>
          <w:p w14:paraId="6DC35324"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4.1</w:t>
            </w:r>
          </w:p>
        </w:tc>
        <w:tc>
          <w:tcPr>
            <w:tcW w:w="1260" w:type="dxa"/>
            <w:tcBorders>
              <w:top w:val="single" w:sz="4" w:space="0" w:color="9BC2E6"/>
              <w:left w:val="nil"/>
              <w:bottom w:val="single" w:sz="4" w:space="0" w:color="9BC2E6"/>
              <w:right w:val="nil"/>
            </w:tcBorders>
            <w:shd w:val="clear" w:color="auto" w:fill="auto"/>
            <w:noWrap/>
            <w:vAlign w:val="bottom"/>
            <w:hideMark/>
          </w:tcPr>
          <w:p w14:paraId="79597CC4"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3.878</w:t>
            </w:r>
          </w:p>
        </w:tc>
        <w:tc>
          <w:tcPr>
            <w:tcW w:w="2360" w:type="dxa"/>
            <w:tcBorders>
              <w:top w:val="single" w:sz="4" w:space="0" w:color="9BC2E6"/>
              <w:left w:val="nil"/>
              <w:bottom w:val="single" w:sz="4" w:space="0" w:color="9BC2E6"/>
              <w:right w:val="single" w:sz="4" w:space="0" w:color="9BC2E6"/>
            </w:tcBorders>
            <w:shd w:val="clear" w:color="auto" w:fill="auto"/>
            <w:noWrap/>
            <w:vAlign w:val="bottom"/>
            <w:hideMark/>
          </w:tcPr>
          <w:p w14:paraId="79147298"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4.036</w:t>
            </w:r>
          </w:p>
        </w:tc>
      </w:tr>
      <w:tr w:rsidR="000E300C" w:rsidRPr="000E300C" w14:paraId="61B69F66" w14:textId="77777777" w:rsidTr="000E300C">
        <w:trPr>
          <w:trHeight w:val="288"/>
        </w:trPr>
        <w:tc>
          <w:tcPr>
            <w:tcW w:w="2700" w:type="dxa"/>
            <w:tcBorders>
              <w:top w:val="single" w:sz="4" w:space="0" w:color="9BC2E6"/>
              <w:left w:val="single" w:sz="4" w:space="0" w:color="9BC2E6"/>
              <w:bottom w:val="single" w:sz="4" w:space="0" w:color="9BC2E6"/>
              <w:right w:val="nil"/>
            </w:tcBorders>
            <w:shd w:val="clear" w:color="DDEBF7" w:fill="DDEBF7"/>
            <w:noWrap/>
            <w:vAlign w:val="bottom"/>
            <w:hideMark/>
          </w:tcPr>
          <w:p w14:paraId="7F2B3EFA" w14:textId="77777777" w:rsidR="000E300C" w:rsidRPr="000E300C" w:rsidRDefault="000E300C" w:rsidP="000E300C">
            <w:pPr>
              <w:spacing w:after="0" w:line="240" w:lineRule="auto"/>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Sharpe Ratio</w:t>
            </w:r>
          </w:p>
        </w:tc>
        <w:tc>
          <w:tcPr>
            <w:tcW w:w="1420" w:type="dxa"/>
            <w:tcBorders>
              <w:top w:val="single" w:sz="4" w:space="0" w:color="9BC2E6"/>
              <w:left w:val="nil"/>
              <w:bottom w:val="single" w:sz="4" w:space="0" w:color="9BC2E6"/>
              <w:right w:val="nil"/>
            </w:tcBorders>
            <w:shd w:val="clear" w:color="DDEBF7" w:fill="DDEBF7"/>
            <w:noWrap/>
            <w:vAlign w:val="bottom"/>
            <w:hideMark/>
          </w:tcPr>
          <w:p w14:paraId="391BF1DC"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0.8537053</w:t>
            </w:r>
          </w:p>
        </w:tc>
        <w:tc>
          <w:tcPr>
            <w:tcW w:w="1460" w:type="dxa"/>
            <w:tcBorders>
              <w:top w:val="single" w:sz="4" w:space="0" w:color="9BC2E6"/>
              <w:left w:val="nil"/>
              <w:bottom w:val="single" w:sz="4" w:space="0" w:color="9BC2E6"/>
              <w:right w:val="nil"/>
            </w:tcBorders>
            <w:shd w:val="clear" w:color="DDEBF7" w:fill="DDEBF7"/>
            <w:noWrap/>
            <w:vAlign w:val="bottom"/>
            <w:hideMark/>
          </w:tcPr>
          <w:p w14:paraId="001A5446"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0.8213414</w:t>
            </w:r>
          </w:p>
        </w:tc>
        <w:tc>
          <w:tcPr>
            <w:tcW w:w="1260" w:type="dxa"/>
            <w:tcBorders>
              <w:top w:val="single" w:sz="4" w:space="0" w:color="9BC2E6"/>
              <w:left w:val="nil"/>
              <w:bottom w:val="single" w:sz="4" w:space="0" w:color="9BC2E6"/>
              <w:right w:val="nil"/>
            </w:tcBorders>
            <w:shd w:val="clear" w:color="DDEBF7" w:fill="DDEBF7"/>
            <w:noWrap/>
            <w:vAlign w:val="bottom"/>
            <w:hideMark/>
          </w:tcPr>
          <w:p w14:paraId="0D1FC29F"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0.8750299</w:t>
            </w:r>
          </w:p>
        </w:tc>
        <w:tc>
          <w:tcPr>
            <w:tcW w:w="2360" w:type="dxa"/>
            <w:tcBorders>
              <w:top w:val="single" w:sz="4" w:space="0" w:color="9BC2E6"/>
              <w:left w:val="nil"/>
              <w:bottom w:val="single" w:sz="4" w:space="0" w:color="9BC2E6"/>
              <w:right w:val="single" w:sz="4" w:space="0" w:color="9BC2E6"/>
            </w:tcBorders>
            <w:shd w:val="clear" w:color="DDEBF7" w:fill="DDEBF7"/>
            <w:noWrap/>
            <w:vAlign w:val="bottom"/>
            <w:hideMark/>
          </w:tcPr>
          <w:p w14:paraId="167A024A" w14:textId="77777777" w:rsidR="000E300C" w:rsidRPr="000E300C" w:rsidRDefault="000E300C" w:rsidP="000E300C">
            <w:pPr>
              <w:spacing w:after="0" w:line="240" w:lineRule="auto"/>
              <w:jc w:val="right"/>
              <w:rPr>
                <w:rFonts w:ascii="Calibri" w:eastAsia="Times New Roman" w:hAnsi="Calibri" w:cs="Calibri"/>
                <w:color w:val="000000"/>
                <w:sz w:val="22"/>
                <w:szCs w:val="22"/>
                <w:lang w:eastAsia="en-IN"/>
              </w:rPr>
            </w:pPr>
            <w:r w:rsidRPr="000E300C">
              <w:rPr>
                <w:rFonts w:ascii="Calibri" w:eastAsia="Times New Roman" w:hAnsi="Calibri" w:cs="Calibri"/>
                <w:color w:val="000000"/>
                <w:sz w:val="22"/>
                <w:szCs w:val="22"/>
                <w:lang w:eastAsia="en-IN"/>
              </w:rPr>
              <w:t>0.8299926</w:t>
            </w:r>
          </w:p>
        </w:tc>
      </w:tr>
    </w:tbl>
    <w:p w14:paraId="5CCBBA72" w14:textId="77777777" w:rsidR="000E300C" w:rsidRDefault="000E300C" w:rsidP="00872B44">
      <w:pPr>
        <w:rPr>
          <w:rFonts w:ascii="CMCSC10" w:hAnsi="CMCSC10"/>
          <w:b/>
          <w:bCs/>
          <w:color w:val="1481AB" w:themeColor="accent1" w:themeShade="BF"/>
          <w:sz w:val="40"/>
          <w:szCs w:val="40"/>
        </w:rPr>
      </w:pPr>
    </w:p>
    <w:p w14:paraId="0B9AB347" w14:textId="77777777" w:rsidR="00C3131C" w:rsidRDefault="00C3131C" w:rsidP="00CF4964">
      <w:pPr>
        <w:ind w:firstLine="720"/>
        <w:rPr>
          <w:rFonts w:ascii="CMCSC10" w:hAnsi="CMCSC10"/>
          <w:sz w:val="36"/>
          <w:szCs w:val="36"/>
        </w:rPr>
      </w:pPr>
    </w:p>
    <w:p w14:paraId="76F3D54A" w14:textId="76BB5437" w:rsidR="00C3131C" w:rsidRDefault="00CF4964" w:rsidP="00CF4964">
      <w:pPr>
        <w:ind w:firstLine="720"/>
        <w:rPr>
          <w:rFonts w:ascii="CMCSC10" w:hAnsi="CMCSC10"/>
          <w:sz w:val="36"/>
          <w:szCs w:val="36"/>
        </w:rPr>
      </w:pPr>
      <w:r>
        <w:rPr>
          <w:rFonts w:ascii="CMCSC10" w:hAnsi="CMCSC10"/>
          <w:sz w:val="36"/>
          <w:szCs w:val="36"/>
        </w:rPr>
        <w:t xml:space="preserve">Analysing at the above table give us various insights. For example, we </w:t>
      </w:r>
      <w:r w:rsidR="00AC3669">
        <w:rPr>
          <w:rFonts w:ascii="CMCSC10" w:hAnsi="CMCSC10"/>
          <w:sz w:val="36"/>
          <w:szCs w:val="36"/>
        </w:rPr>
        <w:t xml:space="preserve">now </w:t>
      </w:r>
      <w:r>
        <w:rPr>
          <w:rFonts w:ascii="CMCSC10" w:hAnsi="CMCSC10"/>
          <w:sz w:val="36"/>
          <w:szCs w:val="36"/>
        </w:rPr>
        <w:t xml:space="preserve">know that since the </w:t>
      </w:r>
      <w:r w:rsidRPr="00AC3669">
        <w:rPr>
          <w:rFonts w:ascii="CMCSC10" w:hAnsi="CMCSC10"/>
          <w:color w:val="1C6194" w:themeColor="accent2" w:themeShade="BF"/>
          <w:sz w:val="36"/>
          <w:szCs w:val="36"/>
        </w:rPr>
        <w:t xml:space="preserve">Sharpe Ratio </w:t>
      </w:r>
      <w:r>
        <w:rPr>
          <w:rFonts w:ascii="CMCSC10" w:hAnsi="CMCSC10"/>
          <w:sz w:val="36"/>
          <w:szCs w:val="36"/>
        </w:rPr>
        <w:t xml:space="preserve">is best in Near Month for Daily, Underlying Asset for Weekly and </w:t>
      </w:r>
      <w:r w:rsidR="00AC3669">
        <w:rPr>
          <w:rFonts w:ascii="CMCSC10" w:hAnsi="CMCSC10"/>
          <w:sz w:val="36"/>
          <w:szCs w:val="36"/>
        </w:rPr>
        <w:t xml:space="preserve">Far month for Monthly (Overall Best), an investor can choose the way that is compatible with his habits. </w:t>
      </w:r>
    </w:p>
    <w:p w14:paraId="57D7393A" w14:textId="77777777" w:rsidR="00C3131C" w:rsidRDefault="00C3131C" w:rsidP="00CF4964">
      <w:pPr>
        <w:ind w:firstLine="720"/>
        <w:rPr>
          <w:rFonts w:ascii="CMCSC10" w:hAnsi="CMCSC10"/>
          <w:sz w:val="36"/>
          <w:szCs w:val="36"/>
        </w:rPr>
      </w:pPr>
    </w:p>
    <w:p w14:paraId="30E5CBDE" w14:textId="034A637C" w:rsidR="0052151B" w:rsidRDefault="00AC3669" w:rsidP="00CF4964">
      <w:pPr>
        <w:ind w:firstLine="720"/>
        <w:rPr>
          <w:rFonts w:ascii="CMCSC10" w:hAnsi="CMCSC10"/>
          <w:sz w:val="36"/>
          <w:szCs w:val="36"/>
        </w:rPr>
      </w:pPr>
      <w:r>
        <w:rPr>
          <w:rFonts w:ascii="CMCSC10" w:hAnsi="CMCSC10"/>
          <w:sz w:val="36"/>
          <w:szCs w:val="36"/>
        </w:rPr>
        <w:t xml:space="preserve">The highest Sharpe Ratio of the Far Month Monthly Contracts tell us that they are going to give the best returns for a given amount of risk. This can prove to be game-changing for investors who wish to </w:t>
      </w:r>
      <w:r w:rsidRPr="0045733E">
        <w:rPr>
          <w:rFonts w:ascii="CMCSC10" w:hAnsi="CMCSC10"/>
          <w:color w:val="1C6194" w:themeColor="accent2" w:themeShade="BF"/>
          <w:sz w:val="36"/>
          <w:szCs w:val="36"/>
        </w:rPr>
        <w:t>minimize risk</w:t>
      </w:r>
      <w:r w:rsidRPr="00351455">
        <w:rPr>
          <w:rFonts w:ascii="CMCSC10" w:hAnsi="CMCSC10"/>
          <w:sz w:val="36"/>
          <w:szCs w:val="36"/>
        </w:rPr>
        <w:t>.</w:t>
      </w:r>
    </w:p>
    <w:p w14:paraId="48B6F59F" w14:textId="68392991" w:rsidR="00351455" w:rsidRDefault="00351455" w:rsidP="00CF4964">
      <w:pPr>
        <w:ind w:firstLine="720"/>
        <w:rPr>
          <w:rFonts w:ascii="CMCSC10" w:hAnsi="CMCSC10"/>
          <w:sz w:val="36"/>
          <w:szCs w:val="36"/>
        </w:rPr>
      </w:pPr>
    </w:p>
    <w:p w14:paraId="73FC9503" w14:textId="190ACAF7" w:rsidR="00351455" w:rsidRPr="00351455" w:rsidRDefault="00351455" w:rsidP="00CF4964">
      <w:pPr>
        <w:ind w:firstLine="720"/>
        <w:rPr>
          <w:sz w:val="36"/>
          <w:szCs w:val="36"/>
        </w:rPr>
      </w:pPr>
      <w:r>
        <w:rPr>
          <w:rFonts w:ascii="CMCSC10" w:hAnsi="CMCSC10"/>
          <w:sz w:val="36"/>
          <w:szCs w:val="36"/>
        </w:rPr>
        <w:lastRenderedPageBreak/>
        <w:t>Since the Mean Risk-Adjusted Returns have been positive for each entry in the tables above, we can say that an investor who likes to invest in T-Bills can find these pastures greener. Another point to note is that the highest Standard Deviation and maximum mean excess returns can be easily found out using these tables.</w:t>
      </w:r>
    </w:p>
    <w:p w14:paraId="7128D50D" w14:textId="77777777" w:rsidR="0056719F" w:rsidRDefault="0056719F" w:rsidP="00F46E15">
      <w:pPr>
        <w:jc w:val="center"/>
        <w:rPr>
          <w:sz w:val="36"/>
          <w:szCs w:val="36"/>
        </w:rPr>
      </w:pPr>
    </w:p>
    <w:p w14:paraId="68F7A876" w14:textId="77777777" w:rsidR="0056719F" w:rsidRDefault="0056719F" w:rsidP="00F46E15">
      <w:pPr>
        <w:jc w:val="center"/>
        <w:rPr>
          <w:rFonts w:ascii="CMCSC10" w:hAnsi="CMCSC10"/>
          <w:b/>
          <w:bCs/>
          <w:color w:val="1481AB" w:themeColor="accent1" w:themeShade="BF"/>
          <w:sz w:val="40"/>
          <w:szCs w:val="40"/>
          <w:u w:val="single"/>
        </w:rPr>
      </w:pPr>
    </w:p>
    <w:p w14:paraId="11CED1C8" w14:textId="0006B08E" w:rsidR="0056719F" w:rsidRPr="0082070C" w:rsidRDefault="00F46E15" w:rsidP="0056719F">
      <w:pPr>
        <w:jc w:val="center"/>
        <w:rPr>
          <w:rFonts w:ascii="CMCSC10" w:hAnsi="CMCSC10"/>
          <w:b/>
          <w:bCs/>
          <w:color w:val="1481AB" w:themeColor="accent1" w:themeShade="BF"/>
          <w:sz w:val="40"/>
          <w:szCs w:val="40"/>
          <w:u w:val="single"/>
        </w:rPr>
      </w:pPr>
      <w:r w:rsidRPr="0082070C">
        <w:rPr>
          <w:rFonts w:ascii="CMCSC10" w:hAnsi="CMCSC10"/>
          <w:b/>
          <w:bCs/>
          <w:color w:val="1481AB" w:themeColor="accent1" w:themeShade="BF"/>
          <w:sz w:val="40"/>
          <w:szCs w:val="40"/>
          <w:u w:val="single"/>
        </w:rPr>
        <w:t xml:space="preserve">Section </w:t>
      </w:r>
      <w:r>
        <w:rPr>
          <w:rFonts w:ascii="CMCSC10" w:hAnsi="CMCSC10"/>
          <w:b/>
          <w:bCs/>
          <w:color w:val="1481AB" w:themeColor="accent1" w:themeShade="BF"/>
          <w:sz w:val="40"/>
          <w:szCs w:val="40"/>
          <w:u w:val="single"/>
        </w:rPr>
        <w:t>3</w:t>
      </w:r>
    </w:p>
    <w:p w14:paraId="61603EBC" w14:textId="0362A587" w:rsidR="00202CE5" w:rsidRPr="00BC714F" w:rsidRDefault="00E4311B">
      <w:pPr>
        <w:rPr>
          <w:rFonts w:ascii="CMCSC10" w:hAnsi="CMCSC10"/>
          <w:b/>
          <w:bCs/>
          <w:color w:val="1481AB" w:themeColor="accent1" w:themeShade="BF"/>
          <w:sz w:val="40"/>
          <w:szCs w:val="40"/>
        </w:rPr>
      </w:pPr>
      <w:r w:rsidRPr="00BC714F">
        <w:rPr>
          <w:rFonts w:ascii="CMCSC10" w:hAnsi="CMCSC10"/>
          <w:b/>
          <w:bCs/>
          <w:color w:val="1481AB" w:themeColor="accent1" w:themeShade="BF"/>
          <w:sz w:val="40"/>
          <w:szCs w:val="40"/>
        </w:rPr>
        <w:t>10.1 Comparing the Risk-Unadjusted and Adjusted Returns with Futures Risk-Unadjusted and Adjusted Returns</w:t>
      </w:r>
    </w:p>
    <w:p w14:paraId="7A74EFED" w14:textId="3B452DEA" w:rsidR="002E3A7D" w:rsidRPr="002E3A7D" w:rsidRDefault="002E3A7D" w:rsidP="002E3A7D">
      <w:pPr>
        <w:ind w:firstLine="360"/>
        <w:rPr>
          <w:rFonts w:ascii="CMCSC10" w:hAnsi="CMCSC10"/>
          <w:color w:val="000000" w:themeColor="text1"/>
          <w:sz w:val="36"/>
          <w:szCs w:val="32"/>
        </w:rPr>
      </w:pPr>
      <w:r w:rsidRPr="002E3A7D">
        <w:rPr>
          <w:rFonts w:ascii="CMCSC10" w:hAnsi="CMCSC10"/>
          <w:color w:val="000000" w:themeColor="text1"/>
          <w:sz w:val="36"/>
          <w:szCs w:val="32"/>
        </w:rPr>
        <w:t>Apart from the Graphs plotted above, several other observations were made in both the risk-unadjusted and adjusted data. These are as follows:</w:t>
      </w:r>
    </w:p>
    <w:p w14:paraId="6A53CFE7" w14:textId="18EFC728" w:rsidR="0007466E" w:rsidRPr="0007466E" w:rsidRDefault="0007466E" w:rsidP="0007466E">
      <w:pPr>
        <w:pStyle w:val="ListParagraph"/>
        <w:numPr>
          <w:ilvl w:val="0"/>
          <w:numId w:val="9"/>
        </w:numPr>
        <w:rPr>
          <w:rFonts w:ascii="CMCSC10" w:hAnsi="CMCSC10"/>
          <w:color w:val="1481AB" w:themeColor="accent1" w:themeShade="BF"/>
          <w:sz w:val="36"/>
          <w:szCs w:val="32"/>
        </w:rPr>
      </w:pPr>
      <w:r>
        <w:rPr>
          <w:rFonts w:ascii="CMCSC10" w:hAnsi="CMCSC10"/>
          <w:sz w:val="36"/>
          <w:szCs w:val="36"/>
        </w:rPr>
        <w:t xml:space="preserve">The Mean Unadjusted </w:t>
      </w:r>
      <w:r w:rsidRPr="00E12179">
        <w:rPr>
          <w:rFonts w:ascii="CMCSC10" w:hAnsi="CMCSC10"/>
          <w:color w:val="1C6194" w:themeColor="accent2" w:themeShade="BF"/>
          <w:sz w:val="36"/>
          <w:szCs w:val="36"/>
        </w:rPr>
        <w:t>Daily</w:t>
      </w:r>
      <w:r>
        <w:rPr>
          <w:rFonts w:ascii="CMCSC10" w:hAnsi="CMCSC10"/>
          <w:sz w:val="36"/>
          <w:szCs w:val="36"/>
        </w:rPr>
        <w:t xml:space="preserve"> Returns are highest for </w:t>
      </w:r>
      <w:r w:rsidRPr="00E12179">
        <w:rPr>
          <w:rFonts w:ascii="CMCSC10" w:hAnsi="CMCSC10"/>
          <w:color w:val="1C6194" w:themeColor="accent2" w:themeShade="BF"/>
          <w:sz w:val="36"/>
          <w:szCs w:val="36"/>
        </w:rPr>
        <w:t>Near Month Contracts</w:t>
      </w:r>
      <w:r>
        <w:rPr>
          <w:rFonts w:ascii="CMCSC10" w:hAnsi="CMCSC10"/>
          <w:sz w:val="36"/>
          <w:szCs w:val="36"/>
        </w:rPr>
        <w:t>.</w:t>
      </w:r>
    </w:p>
    <w:p w14:paraId="28A558FE" w14:textId="468FD935" w:rsidR="0007466E" w:rsidRPr="0007466E" w:rsidRDefault="0007466E" w:rsidP="0007466E">
      <w:pPr>
        <w:pStyle w:val="ListParagraph"/>
        <w:numPr>
          <w:ilvl w:val="0"/>
          <w:numId w:val="9"/>
        </w:numPr>
        <w:rPr>
          <w:rFonts w:ascii="CMCSC10" w:hAnsi="CMCSC10"/>
          <w:color w:val="1481AB" w:themeColor="accent1" w:themeShade="BF"/>
          <w:sz w:val="36"/>
          <w:szCs w:val="32"/>
        </w:rPr>
      </w:pPr>
      <w:r>
        <w:rPr>
          <w:rFonts w:ascii="CMCSC10" w:hAnsi="CMCSC10"/>
          <w:sz w:val="36"/>
          <w:szCs w:val="36"/>
        </w:rPr>
        <w:t xml:space="preserve">The Mean Unadjusted </w:t>
      </w:r>
      <w:r w:rsidRPr="00E12179">
        <w:rPr>
          <w:rFonts w:ascii="CMCSC10" w:hAnsi="CMCSC10"/>
          <w:color w:val="1C6194" w:themeColor="accent2" w:themeShade="BF"/>
          <w:sz w:val="36"/>
          <w:szCs w:val="36"/>
        </w:rPr>
        <w:t>Weekly</w:t>
      </w:r>
      <w:r>
        <w:rPr>
          <w:rFonts w:ascii="CMCSC10" w:hAnsi="CMCSC10"/>
          <w:sz w:val="36"/>
          <w:szCs w:val="36"/>
        </w:rPr>
        <w:t xml:space="preserve"> Returns are highest for </w:t>
      </w:r>
      <w:r w:rsidRPr="00E12179">
        <w:rPr>
          <w:rFonts w:ascii="CMCSC10" w:hAnsi="CMCSC10"/>
          <w:color w:val="1C6194" w:themeColor="accent2" w:themeShade="BF"/>
          <w:sz w:val="36"/>
          <w:szCs w:val="36"/>
        </w:rPr>
        <w:t>N</w:t>
      </w:r>
      <w:r w:rsidR="00502531" w:rsidRPr="00E12179">
        <w:rPr>
          <w:rFonts w:ascii="CMCSC10" w:hAnsi="CMCSC10"/>
          <w:color w:val="1C6194" w:themeColor="accent2" w:themeShade="BF"/>
          <w:sz w:val="36"/>
          <w:szCs w:val="36"/>
        </w:rPr>
        <w:t>ext</w:t>
      </w:r>
      <w:r w:rsidRPr="00E12179">
        <w:rPr>
          <w:rFonts w:ascii="CMCSC10" w:hAnsi="CMCSC10"/>
          <w:color w:val="1C6194" w:themeColor="accent2" w:themeShade="BF"/>
          <w:sz w:val="36"/>
          <w:szCs w:val="36"/>
        </w:rPr>
        <w:t xml:space="preserve"> Month Contracts</w:t>
      </w:r>
      <w:r>
        <w:rPr>
          <w:rFonts w:ascii="CMCSC10" w:hAnsi="CMCSC10"/>
          <w:sz w:val="36"/>
          <w:szCs w:val="36"/>
        </w:rPr>
        <w:t>.</w:t>
      </w:r>
    </w:p>
    <w:p w14:paraId="6AF32AF6" w14:textId="14D97BDA" w:rsidR="0007466E" w:rsidRPr="0007466E" w:rsidRDefault="0007466E" w:rsidP="0007466E">
      <w:pPr>
        <w:pStyle w:val="ListParagraph"/>
        <w:numPr>
          <w:ilvl w:val="0"/>
          <w:numId w:val="9"/>
        </w:numPr>
        <w:rPr>
          <w:rFonts w:ascii="CMCSC10" w:hAnsi="CMCSC10"/>
          <w:color w:val="1481AB" w:themeColor="accent1" w:themeShade="BF"/>
          <w:sz w:val="36"/>
          <w:szCs w:val="32"/>
        </w:rPr>
      </w:pPr>
      <w:r>
        <w:rPr>
          <w:rFonts w:ascii="CMCSC10" w:hAnsi="CMCSC10"/>
          <w:sz w:val="36"/>
          <w:szCs w:val="36"/>
        </w:rPr>
        <w:t xml:space="preserve">The Mean Unadjusted </w:t>
      </w:r>
      <w:r w:rsidRPr="00E12179">
        <w:rPr>
          <w:rFonts w:ascii="CMCSC10" w:hAnsi="CMCSC10"/>
          <w:color w:val="1C6194" w:themeColor="accent2" w:themeShade="BF"/>
          <w:sz w:val="36"/>
          <w:szCs w:val="36"/>
        </w:rPr>
        <w:t>Monthly</w:t>
      </w:r>
      <w:r>
        <w:rPr>
          <w:rFonts w:ascii="CMCSC10" w:hAnsi="CMCSC10"/>
          <w:sz w:val="36"/>
          <w:szCs w:val="36"/>
        </w:rPr>
        <w:t xml:space="preserve"> Returns are highest for </w:t>
      </w:r>
      <w:r w:rsidRPr="00E12179">
        <w:rPr>
          <w:rFonts w:ascii="CMCSC10" w:hAnsi="CMCSC10"/>
          <w:color w:val="1C6194" w:themeColor="accent2" w:themeShade="BF"/>
          <w:sz w:val="36"/>
          <w:szCs w:val="36"/>
        </w:rPr>
        <w:t>Near Month Contracts</w:t>
      </w:r>
      <w:r>
        <w:rPr>
          <w:rFonts w:ascii="CMCSC10" w:hAnsi="CMCSC10"/>
          <w:sz w:val="36"/>
          <w:szCs w:val="36"/>
        </w:rPr>
        <w:t>.</w:t>
      </w:r>
    </w:p>
    <w:p w14:paraId="0EA57A99" w14:textId="43978C5D" w:rsidR="00DB7071" w:rsidRPr="00E12179" w:rsidRDefault="0032414D" w:rsidP="00DB7071">
      <w:pPr>
        <w:pStyle w:val="ListParagraph"/>
        <w:numPr>
          <w:ilvl w:val="0"/>
          <w:numId w:val="9"/>
        </w:numPr>
        <w:rPr>
          <w:rFonts w:ascii="CMCSC10" w:hAnsi="CMCSC10"/>
          <w:color w:val="1C6194" w:themeColor="accent2" w:themeShade="BF"/>
          <w:sz w:val="36"/>
          <w:szCs w:val="32"/>
        </w:rPr>
      </w:pPr>
      <w:r>
        <w:rPr>
          <w:rFonts w:ascii="CMCSC10" w:hAnsi="CMCSC10"/>
          <w:sz w:val="36"/>
          <w:szCs w:val="36"/>
        </w:rPr>
        <w:t xml:space="preserve">The Mean </w:t>
      </w:r>
      <w:r w:rsidR="00DF0ADE">
        <w:rPr>
          <w:rFonts w:ascii="CMCSC10" w:hAnsi="CMCSC10"/>
          <w:sz w:val="36"/>
          <w:szCs w:val="36"/>
        </w:rPr>
        <w:t>A</w:t>
      </w:r>
      <w:r>
        <w:rPr>
          <w:rFonts w:ascii="CMCSC10" w:hAnsi="CMCSC10"/>
          <w:sz w:val="36"/>
          <w:szCs w:val="36"/>
        </w:rPr>
        <w:t xml:space="preserve">djusted </w:t>
      </w:r>
      <w:r w:rsidRPr="00E12179">
        <w:rPr>
          <w:rFonts w:ascii="CMCSC10" w:hAnsi="CMCSC10"/>
          <w:color w:val="1C6194" w:themeColor="accent2" w:themeShade="BF"/>
          <w:sz w:val="36"/>
          <w:szCs w:val="36"/>
        </w:rPr>
        <w:t>Daily</w:t>
      </w:r>
      <w:r>
        <w:rPr>
          <w:rFonts w:ascii="CMCSC10" w:hAnsi="CMCSC10"/>
          <w:sz w:val="36"/>
          <w:szCs w:val="36"/>
        </w:rPr>
        <w:t xml:space="preserve"> Returns are </w:t>
      </w:r>
      <w:r w:rsidR="00DF0ADE">
        <w:rPr>
          <w:rFonts w:ascii="CMCSC10" w:hAnsi="CMCSC10"/>
          <w:sz w:val="36"/>
          <w:szCs w:val="36"/>
        </w:rPr>
        <w:t xml:space="preserve">best for </w:t>
      </w:r>
      <w:r w:rsidR="00DF0ADE" w:rsidRPr="00E12179">
        <w:rPr>
          <w:rFonts w:ascii="CMCSC10" w:hAnsi="CMCSC10"/>
          <w:color w:val="1C6194" w:themeColor="accent2" w:themeShade="BF"/>
          <w:sz w:val="36"/>
          <w:szCs w:val="36"/>
        </w:rPr>
        <w:t>Near- Month Contracts.</w:t>
      </w:r>
      <w:r w:rsidRPr="00E12179">
        <w:rPr>
          <w:rFonts w:ascii="CMCSC10" w:hAnsi="CMCSC10"/>
          <w:color w:val="1C6194" w:themeColor="accent2" w:themeShade="BF"/>
          <w:sz w:val="36"/>
          <w:szCs w:val="36"/>
        </w:rPr>
        <w:t xml:space="preserve">  </w:t>
      </w:r>
    </w:p>
    <w:p w14:paraId="56147C8A" w14:textId="05DCA3C7" w:rsidR="00DF0ADE" w:rsidRPr="00A80917" w:rsidRDefault="00DB7071" w:rsidP="00DF0ADE">
      <w:pPr>
        <w:pStyle w:val="ListParagraph"/>
        <w:numPr>
          <w:ilvl w:val="0"/>
          <w:numId w:val="9"/>
        </w:numPr>
        <w:rPr>
          <w:rFonts w:ascii="CMCSC10" w:hAnsi="CMCSC10"/>
          <w:color w:val="1481AB" w:themeColor="accent1" w:themeShade="BF"/>
          <w:sz w:val="36"/>
          <w:szCs w:val="32"/>
        </w:rPr>
      </w:pPr>
      <w:r>
        <w:rPr>
          <w:rFonts w:ascii="CMCSC10" w:hAnsi="CMCSC10"/>
          <w:sz w:val="36"/>
          <w:szCs w:val="36"/>
        </w:rPr>
        <w:t>The</w:t>
      </w:r>
      <w:r w:rsidR="00DF0ADE">
        <w:rPr>
          <w:rFonts w:ascii="CMCSC10" w:hAnsi="CMCSC10"/>
          <w:sz w:val="36"/>
          <w:szCs w:val="36"/>
        </w:rPr>
        <w:t xml:space="preserve"> Mean Adjusted </w:t>
      </w:r>
      <w:r w:rsidR="00DF0ADE" w:rsidRPr="00E12179">
        <w:rPr>
          <w:rFonts w:ascii="CMCSC10" w:hAnsi="CMCSC10"/>
          <w:color w:val="1C6194" w:themeColor="accent2" w:themeShade="BF"/>
          <w:sz w:val="36"/>
          <w:szCs w:val="36"/>
        </w:rPr>
        <w:t>Weekly</w:t>
      </w:r>
      <w:r w:rsidR="00DF0ADE">
        <w:rPr>
          <w:rFonts w:ascii="CMCSC10" w:hAnsi="CMCSC10"/>
          <w:sz w:val="36"/>
          <w:szCs w:val="36"/>
        </w:rPr>
        <w:t xml:space="preserve"> Returns are best for </w:t>
      </w:r>
      <w:r w:rsidR="00DF0ADE" w:rsidRPr="00E12179">
        <w:rPr>
          <w:rFonts w:ascii="CMCSC10" w:hAnsi="CMCSC10"/>
          <w:color w:val="1C6194" w:themeColor="accent2" w:themeShade="BF"/>
          <w:sz w:val="36"/>
          <w:szCs w:val="36"/>
        </w:rPr>
        <w:t>Equity</w:t>
      </w:r>
      <w:r w:rsidR="00DF0ADE">
        <w:rPr>
          <w:rFonts w:ascii="CMCSC10" w:hAnsi="CMCSC10"/>
          <w:sz w:val="36"/>
          <w:szCs w:val="36"/>
        </w:rPr>
        <w:t xml:space="preserve">.  </w:t>
      </w:r>
    </w:p>
    <w:p w14:paraId="7C83B426" w14:textId="2F21E965" w:rsidR="00DF0ADE" w:rsidRPr="00A80917" w:rsidRDefault="00DF0ADE" w:rsidP="00DF0ADE">
      <w:pPr>
        <w:pStyle w:val="ListParagraph"/>
        <w:numPr>
          <w:ilvl w:val="0"/>
          <w:numId w:val="9"/>
        </w:numPr>
        <w:rPr>
          <w:rFonts w:ascii="CMCSC10" w:hAnsi="CMCSC10"/>
          <w:color w:val="1481AB" w:themeColor="accent1" w:themeShade="BF"/>
          <w:sz w:val="36"/>
          <w:szCs w:val="32"/>
        </w:rPr>
      </w:pPr>
      <w:r>
        <w:rPr>
          <w:rFonts w:ascii="CMCSC10" w:hAnsi="CMCSC10"/>
          <w:sz w:val="36"/>
          <w:szCs w:val="36"/>
        </w:rPr>
        <w:t xml:space="preserve">The Mean Adjusted </w:t>
      </w:r>
      <w:r w:rsidRPr="00E12179">
        <w:rPr>
          <w:rFonts w:ascii="CMCSC10" w:hAnsi="CMCSC10"/>
          <w:color w:val="1C6194" w:themeColor="accent2" w:themeShade="BF"/>
          <w:sz w:val="36"/>
          <w:szCs w:val="36"/>
        </w:rPr>
        <w:t xml:space="preserve">Monthly </w:t>
      </w:r>
      <w:r>
        <w:rPr>
          <w:rFonts w:ascii="CMCSC10" w:hAnsi="CMCSC10"/>
          <w:sz w:val="36"/>
          <w:szCs w:val="36"/>
        </w:rPr>
        <w:t xml:space="preserve">Returns are best for </w:t>
      </w:r>
      <w:r w:rsidR="00D049F4" w:rsidRPr="00E12179">
        <w:rPr>
          <w:rFonts w:ascii="CMCSC10" w:hAnsi="CMCSC10"/>
          <w:color w:val="1C6194" w:themeColor="accent2" w:themeShade="BF"/>
          <w:sz w:val="36"/>
          <w:szCs w:val="36"/>
        </w:rPr>
        <w:t xml:space="preserve">Equity </w:t>
      </w:r>
      <w:r w:rsidR="00D049F4">
        <w:rPr>
          <w:rFonts w:ascii="CMCSC10" w:hAnsi="CMCSC10"/>
          <w:sz w:val="36"/>
          <w:szCs w:val="36"/>
        </w:rPr>
        <w:t>as well</w:t>
      </w:r>
      <w:r>
        <w:rPr>
          <w:rFonts w:ascii="CMCSC10" w:hAnsi="CMCSC10"/>
          <w:sz w:val="36"/>
          <w:szCs w:val="36"/>
        </w:rPr>
        <w:t xml:space="preserve">.  </w:t>
      </w:r>
    </w:p>
    <w:p w14:paraId="1FA34C7F" w14:textId="30F5E3C5" w:rsidR="00D049F4" w:rsidRPr="00DF0ADE" w:rsidRDefault="00D049F4" w:rsidP="00D049F4">
      <w:pPr>
        <w:pStyle w:val="ListParagraph"/>
        <w:numPr>
          <w:ilvl w:val="0"/>
          <w:numId w:val="9"/>
        </w:numPr>
        <w:rPr>
          <w:rFonts w:ascii="CMCSC10" w:hAnsi="CMCSC10"/>
          <w:color w:val="1481AB" w:themeColor="accent1" w:themeShade="BF"/>
          <w:sz w:val="36"/>
          <w:szCs w:val="32"/>
        </w:rPr>
      </w:pPr>
      <w:r>
        <w:rPr>
          <w:rFonts w:ascii="CMCSC10" w:hAnsi="CMCSC10"/>
          <w:sz w:val="36"/>
          <w:szCs w:val="36"/>
        </w:rPr>
        <w:lastRenderedPageBreak/>
        <w:t xml:space="preserve">The highest </w:t>
      </w:r>
      <w:r w:rsidRPr="00E12179">
        <w:rPr>
          <w:rFonts w:ascii="CMCSC10" w:hAnsi="CMCSC10"/>
          <w:color w:val="1C6194" w:themeColor="accent2" w:themeShade="BF"/>
          <w:sz w:val="36"/>
          <w:szCs w:val="36"/>
        </w:rPr>
        <w:t xml:space="preserve">Sharpe Ratio </w:t>
      </w:r>
      <w:r>
        <w:rPr>
          <w:rFonts w:ascii="CMCSC10" w:hAnsi="CMCSC10"/>
          <w:sz w:val="36"/>
          <w:szCs w:val="36"/>
        </w:rPr>
        <w:t xml:space="preserve">of Adjusted </w:t>
      </w:r>
      <w:r w:rsidRPr="00E12179">
        <w:rPr>
          <w:rFonts w:ascii="CMCSC10" w:hAnsi="CMCSC10"/>
          <w:color w:val="1C6194" w:themeColor="accent2" w:themeShade="BF"/>
          <w:sz w:val="36"/>
          <w:szCs w:val="36"/>
        </w:rPr>
        <w:t>Daily</w:t>
      </w:r>
      <w:r>
        <w:rPr>
          <w:rFonts w:ascii="CMCSC10" w:hAnsi="CMCSC10"/>
          <w:sz w:val="36"/>
          <w:szCs w:val="36"/>
        </w:rPr>
        <w:t xml:space="preserve"> Returns is seen in </w:t>
      </w:r>
      <w:r w:rsidRPr="00EC28A9">
        <w:rPr>
          <w:rFonts w:ascii="CMCSC10" w:hAnsi="CMCSC10"/>
          <w:color w:val="1C6194" w:themeColor="accent2" w:themeShade="BF"/>
          <w:sz w:val="36"/>
          <w:szCs w:val="36"/>
        </w:rPr>
        <w:t>Near Month Contracts</w:t>
      </w:r>
      <w:r>
        <w:rPr>
          <w:rFonts w:ascii="CMCSC10" w:hAnsi="CMCSC10"/>
          <w:sz w:val="36"/>
          <w:szCs w:val="36"/>
        </w:rPr>
        <w:t xml:space="preserve">. </w:t>
      </w:r>
    </w:p>
    <w:p w14:paraId="15C6390F" w14:textId="222D67D0" w:rsidR="00D049F4" w:rsidRPr="00DF0ADE" w:rsidRDefault="00D049F4" w:rsidP="00D049F4">
      <w:pPr>
        <w:pStyle w:val="ListParagraph"/>
        <w:numPr>
          <w:ilvl w:val="0"/>
          <w:numId w:val="9"/>
        </w:numPr>
        <w:rPr>
          <w:rFonts w:ascii="CMCSC10" w:hAnsi="CMCSC10"/>
          <w:color w:val="1481AB" w:themeColor="accent1" w:themeShade="BF"/>
          <w:sz w:val="36"/>
          <w:szCs w:val="32"/>
        </w:rPr>
      </w:pPr>
      <w:r>
        <w:rPr>
          <w:rFonts w:ascii="CMCSC10" w:hAnsi="CMCSC10"/>
          <w:sz w:val="36"/>
          <w:szCs w:val="36"/>
        </w:rPr>
        <w:t xml:space="preserve">The highest </w:t>
      </w:r>
      <w:r w:rsidRPr="00EC28A9">
        <w:rPr>
          <w:rFonts w:ascii="CMCSC10" w:hAnsi="CMCSC10"/>
          <w:color w:val="1C6194" w:themeColor="accent2" w:themeShade="BF"/>
          <w:sz w:val="36"/>
          <w:szCs w:val="36"/>
        </w:rPr>
        <w:t xml:space="preserve">Sharpe Ratio </w:t>
      </w:r>
      <w:r>
        <w:rPr>
          <w:rFonts w:ascii="CMCSC10" w:hAnsi="CMCSC10"/>
          <w:sz w:val="36"/>
          <w:szCs w:val="36"/>
        </w:rPr>
        <w:t xml:space="preserve">of Adjusted </w:t>
      </w:r>
      <w:r w:rsidRPr="00EC28A9">
        <w:rPr>
          <w:rFonts w:ascii="CMCSC10" w:hAnsi="CMCSC10"/>
          <w:color w:val="1C6194" w:themeColor="accent2" w:themeShade="BF"/>
          <w:sz w:val="36"/>
          <w:szCs w:val="36"/>
        </w:rPr>
        <w:t>Weekly</w:t>
      </w:r>
      <w:r>
        <w:rPr>
          <w:rFonts w:ascii="CMCSC10" w:hAnsi="CMCSC10"/>
          <w:sz w:val="36"/>
          <w:szCs w:val="36"/>
        </w:rPr>
        <w:t xml:space="preserve"> Returns is seen in </w:t>
      </w:r>
      <w:r w:rsidRPr="00EC28A9">
        <w:rPr>
          <w:rFonts w:ascii="CMCSC10" w:hAnsi="CMCSC10"/>
          <w:color w:val="1C6194" w:themeColor="accent2" w:themeShade="BF"/>
          <w:sz w:val="36"/>
          <w:szCs w:val="36"/>
        </w:rPr>
        <w:t xml:space="preserve">Equity. </w:t>
      </w:r>
    </w:p>
    <w:p w14:paraId="5E03218B" w14:textId="14B90CE0" w:rsidR="00DF0ADE" w:rsidRPr="00D049F4" w:rsidRDefault="00D049F4" w:rsidP="00D049F4">
      <w:pPr>
        <w:pStyle w:val="ListParagraph"/>
        <w:numPr>
          <w:ilvl w:val="0"/>
          <w:numId w:val="9"/>
        </w:numPr>
        <w:rPr>
          <w:rFonts w:ascii="CMCSC10" w:hAnsi="CMCSC10"/>
          <w:color w:val="1481AB" w:themeColor="accent1" w:themeShade="BF"/>
          <w:sz w:val="36"/>
          <w:szCs w:val="32"/>
        </w:rPr>
      </w:pPr>
      <w:r>
        <w:rPr>
          <w:rFonts w:ascii="CMCSC10" w:hAnsi="CMCSC10"/>
          <w:sz w:val="36"/>
          <w:szCs w:val="36"/>
        </w:rPr>
        <w:t xml:space="preserve">The highest </w:t>
      </w:r>
      <w:r w:rsidRPr="00EC28A9">
        <w:rPr>
          <w:rFonts w:ascii="CMCSC10" w:hAnsi="CMCSC10"/>
          <w:color w:val="1C6194" w:themeColor="accent2" w:themeShade="BF"/>
          <w:sz w:val="36"/>
          <w:szCs w:val="36"/>
        </w:rPr>
        <w:t xml:space="preserve">Sharpe Ratio </w:t>
      </w:r>
      <w:r>
        <w:rPr>
          <w:rFonts w:ascii="CMCSC10" w:hAnsi="CMCSC10"/>
          <w:sz w:val="36"/>
          <w:szCs w:val="36"/>
        </w:rPr>
        <w:t xml:space="preserve">of Adjusted </w:t>
      </w:r>
      <w:r w:rsidRPr="00EC28A9">
        <w:rPr>
          <w:rFonts w:ascii="CMCSC10" w:hAnsi="CMCSC10"/>
          <w:color w:val="1C6194" w:themeColor="accent2" w:themeShade="BF"/>
          <w:sz w:val="36"/>
          <w:szCs w:val="36"/>
        </w:rPr>
        <w:t>Monthly</w:t>
      </w:r>
      <w:r>
        <w:rPr>
          <w:rFonts w:ascii="CMCSC10" w:hAnsi="CMCSC10"/>
          <w:sz w:val="36"/>
          <w:szCs w:val="36"/>
        </w:rPr>
        <w:t xml:space="preserve"> Returns is seen in </w:t>
      </w:r>
      <w:r w:rsidRPr="00EC28A9">
        <w:rPr>
          <w:rFonts w:ascii="CMCSC10" w:hAnsi="CMCSC10"/>
          <w:color w:val="1C6194" w:themeColor="accent2" w:themeShade="BF"/>
          <w:sz w:val="36"/>
          <w:szCs w:val="36"/>
        </w:rPr>
        <w:t xml:space="preserve">Far Month Contracts. </w:t>
      </w:r>
    </w:p>
    <w:p w14:paraId="57E80616" w14:textId="5481BD95" w:rsidR="00DF0ADE" w:rsidRPr="00D049F4" w:rsidRDefault="00D049F4" w:rsidP="00FC5253">
      <w:pPr>
        <w:pStyle w:val="ListParagraph"/>
        <w:numPr>
          <w:ilvl w:val="0"/>
          <w:numId w:val="9"/>
        </w:numPr>
        <w:rPr>
          <w:rFonts w:ascii="CMCSC10" w:hAnsi="CMCSC10"/>
          <w:color w:val="1481AB" w:themeColor="accent1" w:themeShade="BF"/>
          <w:sz w:val="36"/>
          <w:szCs w:val="32"/>
        </w:rPr>
      </w:pPr>
      <w:r>
        <w:rPr>
          <w:rFonts w:ascii="CMCSC10" w:hAnsi="CMCSC10"/>
          <w:sz w:val="36"/>
          <w:szCs w:val="36"/>
        </w:rPr>
        <w:t xml:space="preserve">All the adjusted values are obviously </w:t>
      </w:r>
      <w:r w:rsidRPr="00EC28A9">
        <w:rPr>
          <w:rFonts w:ascii="CMCSC10" w:hAnsi="CMCSC10"/>
          <w:color w:val="1C6194" w:themeColor="accent2" w:themeShade="BF"/>
          <w:sz w:val="36"/>
          <w:szCs w:val="36"/>
        </w:rPr>
        <w:t>smaller</w:t>
      </w:r>
      <w:r>
        <w:rPr>
          <w:rFonts w:ascii="CMCSC10" w:hAnsi="CMCSC10"/>
          <w:sz w:val="36"/>
          <w:szCs w:val="36"/>
        </w:rPr>
        <w:t xml:space="preserve"> than the unadjusted values. However, their graphs are very similar.</w:t>
      </w:r>
      <w:r w:rsidR="00FC5253" w:rsidRPr="00FC5253">
        <w:t xml:space="preserve"> </w:t>
      </w:r>
    </w:p>
    <w:p w14:paraId="5B011CDD" w14:textId="7C28D64F" w:rsidR="00DF73F1" w:rsidRPr="00132EC8" w:rsidRDefault="00D049F4" w:rsidP="00DF0ADE">
      <w:pPr>
        <w:pStyle w:val="ListParagraph"/>
        <w:numPr>
          <w:ilvl w:val="0"/>
          <w:numId w:val="9"/>
        </w:numPr>
        <w:rPr>
          <w:rFonts w:ascii="CMCSC10" w:hAnsi="CMCSC10"/>
          <w:color w:val="1481AB" w:themeColor="accent1" w:themeShade="BF"/>
          <w:sz w:val="36"/>
          <w:szCs w:val="32"/>
        </w:rPr>
      </w:pPr>
      <w:r>
        <w:rPr>
          <w:rFonts w:ascii="CMCSC10" w:hAnsi="CMCSC10"/>
          <w:sz w:val="36"/>
          <w:szCs w:val="36"/>
        </w:rPr>
        <w:t xml:space="preserve">The highest </w:t>
      </w:r>
      <w:r w:rsidRPr="00EC28A9">
        <w:rPr>
          <w:rFonts w:ascii="CMCSC10" w:hAnsi="CMCSC10"/>
          <w:color w:val="1C6194" w:themeColor="accent2" w:themeShade="BF"/>
          <w:sz w:val="36"/>
          <w:szCs w:val="36"/>
        </w:rPr>
        <w:t>S.D</w:t>
      </w:r>
      <w:r>
        <w:rPr>
          <w:rFonts w:ascii="CMCSC10" w:hAnsi="CMCSC10"/>
          <w:sz w:val="36"/>
          <w:szCs w:val="36"/>
        </w:rPr>
        <w:t xml:space="preserve">. in Adjusted Data is seen in </w:t>
      </w:r>
      <w:r w:rsidRPr="00EC28A9">
        <w:rPr>
          <w:rFonts w:ascii="CMCSC10" w:hAnsi="CMCSC10"/>
          <w:color w:val="1C6194" w:themeColor="accent2" w:themeShade="BF"/>
          <w:sz w:val="36"/>
          <w:szCs w:val="36"/>
        </w:rPr>
        <w:t>Next Month Contracts</w:t>
      </w:r>
      <w:r>
        <w:rPr>
          <w:rFonts w:ascii="CMCSC10" w:hAnsi="CMCSC10"/>
          <w:sz w:val="36"/>
          <w:szCs w:val="36"/>
        </w:rPr>
        <w:t xml:space="preserve"> for Daily, Weekly and Monthly Frequenc</w:t>
      </w:r>
      <w:r w:rsidR="001D7168">
        <w:rPr>
          <w:rFonts w:ascii="CMCSC10" w:hAnsi="CMCSC10"/>
          <w:sz w:val="36"/>
          <w:szCs w:val="36"/>
        </w:rPr>
        <w:t>ies.</w:t>
      </w:r>
    </w:p>
    <w:p w14:paraId="45B29042" w14:textId="380ECDC7" w:rsidR="00132EC8" w:rsidRPr="00D616E6" w:rsidRDefault="00132EC8" w:rsidP="00DF0ADE">
      <w:pPr>
        <w:pStyle w:val="ListParagraph"/>
        <w:numPr>
          <w:ilvl w:val="0"/>
          <w:numId w:val="9"/>
        </w:numPr>
        <w:rPr>
          <w:rFonts w:ascii="CMCSC10" w:hAnsi="CMCSC10"/>
          <w:color w:val="1481AB" w:themeColor="accent1" w:themeShade="BF"/>
          <w:sz w:val="36"/>
          <w:szCs w:val="32"/>
        </w:rPr>
      </w:pPr>
      <w:r>
        <w:rPr>
          <w:rFonts w:ascii="CMCSC10" w:hAnsi="CMCSC10"/>
          <w:sz w:val="36"/>
          <w:szCs w:val="36"/>
        </w:rPr>
        <w:t>It would be wiser to look at the Risk Adjusted Data for any kind of investment and they should be used as a reference before setting any expectation.</w:t>
      </w:r>
    </w:p>
    <w:p w14:paraId="2AF92715" w14:textId="2D936863" w:rsidR="00D616E6" w:rsidRPr="00D616E6" w:rsidRDefault="00D616E6" w:rsidP="00DF0ADE">
      <w:pPr>
        <w:pStyle w:val="ListParagraph"/>
        <w:numPr>
          <w:ilvl w:val="0"/>
          <w:numId w:val="9"/>
        </w:numPr>
        <w:rPr>
          <w:rFonts w:ascii="CMCSC10" w:hAnsi="CMCSC10"/>
          <w:color w:val="1481AB" w:themeColor="accent1" w:themeShade="BF"/>
          <w:sz w:val="36"/>
          <w:szCs w:val="32"/>
        </w:rPr>
      </w:pPr>
      <w:r>
        <w:rPr>
          <w:rFonts w:ascii="CMCSC10" w:hAnsi="CMCSC10"/>
          <w:sz w:val="36"/>
          <w:szCs w:val="36"/>
        </w:rPr>
        <w:t>Although the shape of the graphs for both Risk-Adjusted and Risk-Unadjusted Returns are going to be very similar, the former is obviously going to stay beneath the latter and the difference at any point would be equal to the T-Bill Return on that particular day.</w:t>
      </w:r>
    </w:p>
    <w:p w14:paraId="0B186261" w14:textId="6AE9B375" w:rsidR="00D616E6" w:rsidRPr="00CD005B" w:rsidRDefault="00CD005B" w:rsidP="00DF0ADE">
      <w:pPr>
        <w:pStyle w:val="ListParagraph"/>
        <w:numPr>
          <w:ilvl w:val="0"/>
          <w:numId w:val="9"/>
        </w:numPr>
        <w:rPr>
          <w:rFonts w:ascii="CMCSC10" w:hAnsi="CMCSC10"/>
          <w:color w:val="000000" w:themeColor="text1"/>
          <w:sz w:val="36"/>
          <w:szCs w:val="32"/>
        </w:rPr>
      </w:pPr>
      <w:r w:rsidRPr="00CD005B">
        <w:rPr>
          <w:rFonts w:ascii="CMCSC10" w:hAnsi="CMCSC10"/>
          <w:color w:val="000000" w:themeColor="text1"/>
          <w:sz w:val="36"/>
          <w:szCs w:val="32"/>
        </w:rPr>
        <w:t>A wise investor would always consider the Sharpe Ratio before investing. It is important to avoid getting swayed by prospects of heavy returns with huge risk associated with them.</w:t>
      </w:r>
    </w:p>
    <w:p w14:paraId="36B81A6A" w14:textId="4FDA2701" w:rsidR="00E4311B" w:rsidRDefault="00E4311B">
      <w:pPr>
        <w:rPr>
          <w:rFonts w:ascii="CMCSC10" w:hAnsi="CMCSC10"/>
          <w:color w:val="1481AB" w:themeColor="accent1" w:themeShade="BF"/>
          <w:sz w:val="36"/>
          <w:szCs w:val="32"/>
        </w:rPr>
      </w:pPr>
    </w:p>
    <w:p w14:paraId="7F172AAD" w14:textId="1910E3CD" w:rsidR="00E4311B" w:rsidRPr="00BC714F" w:rsidRDefault="00E4311B">
      <w:pPr>
        <w:rPr>
          <w:rFonts w:ascii="CMCSC10" w:hAnsi="CMCSC10"/>
          <w:b/>
          <w:bCs/>
          <w:color w:val="1481AB" w:themeColor="accent1" w:themeShade="BF"/>
          <w:sz w:val="40"/>
          <w:szCs w:val="40"/>
        </w:rPr>
      </w:pPr>
      <w:r w:rsidRPr="00BC714F">
        <w:rPr>
          <w:rFonts w:ascii="CMCSC10" w:hAnsi="CMCSC10"/>
          <w:b/>
          <w:bCs/>
          <w:color w:val="1481AB" w:themeColor="accent1" w:themeShade="BF"/>
          <w:sz w:val="40"/>
          <w:szCs w:val="40"/>
        </w:rPr>
        <w:t>10.2 Liquidity position</w:t>
      </w:r>
    </w:p>
    <w:tbl>
      <w:tblPr>
        <w:tblStyle w:val="TableGrid"/>
        <w:tblW w:w="0" w:type="auto"/>
        <w:jc w:val="center"/>
        <w:tblLook w:val="04A0" w:firstRow="1" w:lastRow="0" w:firstColumn="1" w:lastColumn="0" w:noHBand="0" w:noVBand="1"/>
      </w:tblPr>
      <w:tblGrid>
        <w:gridCol w:w="2543"/>
        <w:gridCol w:w="2172"/>
        <w:gridCol w:w="2129"/>
        <w:gridCol w:w="2172"/>
      </w:tblGrid>
      <w:tr w:rsidR="00DB7071" w:rsidRPr="00DB7071" w14:paraId="4F0816EF" w14:textId="77777777" w:rsidTr="00356AF5">
        <w:trPr>
          <w:jc w:val="center"/>
        </w:trPr>
        <w:tc>
          <w:tcPr>
            <w:tcW w:w="2826" w:type="dxa"/>
          </w:tcPr>
          <w:p w14:paraId="41B0298C" w14:textId="77777777" w:rsidR="00B76AC2" w:rsidRPr="00DB7071" w:rsidRDefault="00B76AC2">
            <w:pPr>
              <w:rPr>
                <w:color w:val="1C6194" w:themeColor="accent2" w:themeShade="BF"/>
                <w:sz w:val="36"/>
                <w:szCs w:val="36"/>
              </w:rPr>
            </w:pPr>
          </w:p>
        </w:tc>
        <w:tc>
          <w:tcPr>
            <w:tcW w:w="2254" w:type="dxa"/>
          </w:tcPr>
          <w:p w14:paraId="1E36BAC0" w14:textId="45AAACA3" w:rsidR="00B76AC2" w:rsidRPr="00DB7071" w:rsidRDefault="00B76AC2">
            <w:pPr>
              <w:rPr>
                <w:color w:val="1C6194" w:themeColor="accent2" w:themeShade="BF"/>
                <w:sz w:val="36"/>
                <w:szCs w:val="36"/>
              </w:rPr>
            </w:pPr>
            <w:r w:rsidRPr="00DB7071">
              <w:rPr>
                <w:color w:val="1C6194" w:themeColor="accent2" w:themeShade="BF"/>
                <w:sz w:val="36"/>
                <w:szCs w:val="36"/>
              </w:rPr>
              <w:t>Near</w:t>
            </w:r>
          </w:p>
        </w:tc>
        <w:tc>
          <w:tcPr>
            <w:tcW w:w="2254" w:type="dxa"/>
          </w:tcPr>
          <w:p w14:paraId="34A717E4" w14:textId="4FF0AB80" w:rsidR="00B76AC2" w:rsidRPr="00DB7071" w:rsidRDefault="00B76AC2">
            <w:pPr>
              <w:rPr>
                <w:color w:val="1C6194" w:themeColor="accent2" w:themeShade="BF"/>
                <w:sz w:val="36"/>
                <w:szCs w:val="36"/>
              </w:rPr>
            </w:pPr>
            <w:r w:rsidRPr="00DB7071">
              <w:rPr>
                <w:color w:val="1C6194" w:themeColor="accent2" w:themeShade="BF"/>
                <w:sz w:val="36"/>
                <w:szCs w:val="36"/>
              </w:rPr>
              <w:t>Next</w:t>
            </w:r>
          </w:p>
        </w:tc>
        <w:tc>
          <w:tcPr>
            <w:tcW w:w="2254" w:type="dxa"/>
          </w:tcPr>
          <w:p w14:paraId="094C4BE4" w14:textId="7D320146" w:rsidR="00B76AC2" w:rsidRPr="00DB7071" w:rsidRDefault="00B76AC2">
            <w:pPr>
              <w:rPr>
                <w:color w:val="1C6194" w:themeColor="accent2" w:themeShade="BF"/>
                <w:sz w:val="36"/>
                <w:szCs w:val="36"/>
              </w:rPr>
            </w:pPr>
            <w:r w:rsidRPr="00DB7071">
              <w:rPr>
                <w:color w:val="1C6194" w:themeColor="accent2" w:themeShade="BF"/>
                <w:sz w:val="36"/>
                <w:szCs w:val="36"/>
              </w:rPr>
              <w:t>Far</w:t>
            </w:r>
          </w:p>
        </w:tc>
      </w:tr>
      <w:tr w:rsidR="00DB7071" w:rsidRPr="00DB7071" w14:paraId="2C742752" w14:textId="77777777" w:rsidTr="00356AF5">
        <w:trPr>
          <w:jc w:val="center"/>
        </w:trPr>
        <w:tc>
          <w:tcPr>
            <w:tcW w:w="2826" w:type="dxa"/>
          </w:tcPr>
          <w:p w14:paraId="0464B601" w14:textId="45E898C6" w:rsidR="00B76AC2" w:rsidRPr="00DB7071" w:rsidRDefault="00B76AC2">
            <w:pPr>
              <w:rPr>
                <w:color w:val="1C6194" w:themeColor="accent2" w:themeShade="BF"/>
                <w:sz w:val="36"/>
                <w:szCs w:val="36"/>
              </w:rPr>
            </w:pPr>
            <w:r w:rsidRPr="00DB7071">
              <w:rPr>
                <w:color w:val="1C6194" w:themeColor="accent2" w:themeShade="BF"/>
                <w:sz w:val="36"/>
                <w:szCs w:val="36"/>
              </w:rPr>
              <w:t>Average No of Contracts</w:t>
            </w:r>
          </w:p>
        </w:tc>
        <w:tc>
          <w:tcPr>
            <w:tcW w:w="2254" w:type="dxa"/>
          </w:tcPr>
          <w:p w14:paraId="26A6FC69" w14:textId="18FC0579" w:rsidR="00B76AC2" w:rsidRPr="00DB7071" w:rsidRDefault="00B76AC2">
            <w:pPr>
              <w:rPr>
                <w:color w:val="1C6194" w:themeColor="accent2" w:themeShade="BF"/>
                <w:sz w:val="36"/>
                <w:szCs w:val="36"/>
              </w:rPr>
            </w:pPr>
            <w:r w:rsidRPr="00DB7071">
              <w:rPr>
                <w:color w:val="1C6194" w:themeColor="accent2" w:themeShade="BF"/>
                <w:sz w:val="36"/>
                <w:szCs w:val="36"/>
              </w:rPr>
              <w:t>1958.164</w:t>
            </w:r>
          </w:p>
        </w:tc>
        <w:tc>
          <w:tcPr>
            <w:tcW w:w="2254" w:type="dxa"/>
          </w:tcPr>
          <w:p w14:paraId="6F2E1CE3" w14:textId="011990FB" w:rsidR="00B76AC2" w:rsidRPr="00DB7071" w:rsidRDefault="00356AF5">
            <w:pPr>
              <w:rPr>
                <w:color w:val="1C6194" w:themeColor="accent2" w:themeShade="BF"/>
                <w:sz w:val="36"/>
                <w:szCs w:val="36"/>
              </w:rPr>
            </w:pPr>
            <w:r w:rsidRPr="00DB7071">
              <w:rPr>
                <w:color w:val="1C6194" w:themeColor="accent2" w:themeShade="BF"/>
                <w:sz w:val="36"/>
                <w:szCs w:val="36"/>
              </w:rPr>
              <w:t>593.0820</w:t>
            </w:r>
          </w:p>
        </w:tc>
        <w:tc>
          <w:tcPr>
            <w:tcW w:w="2254" w:type="dxa"/>
          </w:tcPr>
          <w:p w14:paraId="57171B03" w14:textId="7FEA913A" w:rsidR="00B76AC2" w:rsidRPr="00DB7071" w:rsidRDefault="00DB7071">
            <w:pPr>
              <w:rPr>
                <w:color w:val="1C6194" w:themeColor="accent2" w:themeShade="BF"/>
                <w:sz w:val="36"/>
                <w:szCs w:val="36"/>
              </w:rPr>
            </w:pPr>
            <w:r w:rsidRPr="00DB7071">
              <w:rPr>
                <w:color w:val="1C6194" w:themeColor="accent2" w:themeShade="BF"/>
                <w:sz w:val="36"/>
                <w:szCs w:val="36"/>
              </w:rPr>
              <w:t>1.1171875</w:t>
            </w:r>
          </w:p>
        </w:tc>
      </w:tr>
      <w:tr w:rsidR="00DB7071" w:rsidRPr="00DB7071" w14:paraId="1E219BE2" w14:textId="77777777" w:rsidTr="00356AF5">
        <w:trPr>
          <w:jc w:val="center"/>
        </w:trPr>
        <w:tc>
          <w:tcPr>
            <w:tcW w:w="2826" w:type="dxa"/>
          </w:tcPr>
          <w:p w14:paraId="7F153779" w14:textId="2EFAB326" w:rsidR="00B76AC2" w:rsidRPr="00DB7071" w:rsidRDefault="00B76AC2">
            <w:pPr>
              <w:rPr>
                <w:color w:val="1C6194" w:themeColor="accent2" w:themeShade="BF"/>
                <w:sz w:val="36"/>
                <w:szCs w:val="36"/>
              </w:rPr>
            </w:pPr>
            <w:r w:rsidRPr="00DB7071">
              <w:rPr>
                <w:color w:val="1C6194" w:themeColor="accent2" w:themeShade="BF"/>
                <w:sz w:val="36"/>
                <w:szCs w:val="36"/>
              </w:rPr>
              <w:lastRenderedPageBreak/>
              <w:t>Average Open Interest</w:t>
            </w:r>
          </w:p>
        </w:tc>
        <w:tc>
          <w:tcPr>
            <w:tcW w:w="2254" w:type="dxa"/>
          </w:tcPr>
          <w:p w14:paraId="6BFE101F" w14:textId="70F5C833" w:rsidR="00B76AC2" w:rsidRPr="00DB7071" w:rsidRDefault="00B76AC2">
            <w:pPr>
              <w:rPr>
                <w:color w:val="1C6194" w:themeColor="accent2" w:themeShade="BF"/>
                <w:sz w:val="36"/>
                <w:szCs w:val="36"/>
              </w:rPr>
            </w:pPr>
            <w:r w:rsidRPr="00DB7071">
              <w:rPr>
                <w:color w:val="1C6194" w:themeColor="accent2" w:themeShade="BF"/>
                <w:sz w:val="36"/>
                <w:szCs w:val="36"/>
              </w:rPr>
              <w:t>366466.41</w:t>
            </w:r>
          </w:p>
        </w:tc>
        <w:tc>
          <w:tcPr>
            <w:tcW w:w="2254" w:type="dxa"/>
          </w:tcPr>
          <w:p w14:paraId="0CBD5626" w14:textId="6EF67CAB" w:rsidR="00B76AC2" w:rsidRPr="00DB7071" w:rsidRDefault="00356AF5">
            <w:pPr>
              <w:rPr>
                <w:color w:val="1C6194" w:themeColor="accent2" w:themeShade="BF"/>
                <w:sz w:val="36"/>
                <w:szCs w:val="36"/>
              </w:rPr>
            </w:pPr>
            <w:r w:rsidRPr="00DB7071">
              <w:rPr>
                <w:color w:val="1C6194" w:themeColor="accent2" w:themeShade="BF"/>
                <w:sz w:val="36"/>
                <w:szCs w:val="36"/>
              </w:rPr>
              <w:t>48609.96</w:t>
            </w:r>
          </w:p>
        </w:tc>
        <w:tc>
          <w:tcPr>
            <w:tcW w:w="2254" w:type="dxa"/>
          </w:tcPr>
          <w:p w14:paraId="569E9E09" w14:textId="627B5A5A" w:rsidR="00B76AC2" w:rsidRPr="00DB7071" w:rsidRDefault="00DB7071">
            <w:pPr>
              <w:rPr>
                <w:color w:val="1C6194" w:themeColor="accent2" w:themeShade="BF"/>
                <w:sz w:val="36"/>
                <w:szCs w:val="36"/>
              </w:rPr>
            </w:pPr>
            <w:r w:rsidRPr="00DB7071">
              <w:rPr>
                <w:color w:val="1C6194" w:themeColor="accent2" w:themeShade="BF"/>
                <w:sz w:val="36"/>
                <w:szCs w:val="36"/>
              </w:rPr>
              <w:t>134.375</w:t>
            </w:r>
          </w:p>
        </w:tc>
      </w:tr>
    </w:tbl>
    <w:p w14:paraId="3C172957" w14:textId="5F99B02B" w:rsidR="00A80917" w:rsidRDefault="00A80917">
      <w:pPr>
        <w:rPr>
          <w:sz w:val="36"/>
          <w:szCs w:val="36"/>
        </w:rPr>
      </w:pPr>
    </w:p>
    <w:p w14:paraId="391A5262" w14:textId="661FB0EB" w:rsidR="00A80917" w:rsidRPr="00A80917" w:rsidRDefault="00A80917" w:rsidP="00A80917">
      <w:pPr>
        <w:pStyle w:val="ListParagraph"/>
        <w:numPr>
          <w:ilvl w:val="0"/>
          <w:numId w:val="9"/>
        </w:numPr>
        <w:rPr>
          <w:rFonts w:ascii="CMCSC10" w:hAnsi="CMCSC10"/>
          <w:color w:val="1481AB" w:themeColor="accent1" w:themeShade="BF"/>
          <w:sz w:val="36"/>
          <w:szCs w:val="32"/>
        </w:rPr>
      </w:pPr>
      <w:r>
        <w:rPr>
          <w:rFonts w:ascii="CMCSC10" w:hAnsi="CMCSC10"/>
          <w:sz w:val="36"/>
          <w:szCs w:val="36"/>
        </w:rPr>
        <w:t xml:space="preserve">For equity shares, the average no of Daily Volume from July ‘19 to December ’19 was around </w:t>
      </w:r>
      <w:r w:rsidRPr="00A80917">
        <w:rPr>
          <w:rFonts w:ascii="CMCSC10" w:hAnsi="CMCSC10"/>
          <w:color w:val="1C6194" w:themeColor="accent2" w:themeShade="BF"/>
          <w:sz w:val="36"/>
          <w:szCs w:val="36"/>
        </w:rPr>
        <w:t>85937</w:t>
      </w:r>
      <w:r>
        <w:rPr>
          <w:rFonts w:ascii="CMCSC10" w:hAnsi="CMCSC10"/>
          <w:sz w:val="36"/>
          <w:szCs w:val="36"/>
        </w:rPr>
        <w:t xml:space="preserve">.   </w:t>
      </w:r>
    </w:p>
    <w:p w14:paraId="15D51739" w14:textId="6552DB08" w:rsidR="00A80917" w:rsidRPr="00A80917" w:rsidRDefault="00DB7071" w:rsidP="00A80917">
      <w:pPr>
        <w:pStyle w:val="ListParagraph"/>
        <w:numPr>
          <w:ilvl w:val="0"/>
          <w:numId w:val="9"/>
        </w:numPr>
        <w:rPr>
          <w:rFonts w:ascii="CMCSC10" w:hAnsi="CMCSC10"/>
          <w:color w:val="1481AB" w:themeColor="accent1" w:themeShade="BF"/>
          <w:sz w:val="36"/>
          <w:szCs w:val="32"/>
        </w:rPr>
      </w:pPr>
      <w:r>
        <w:rPr>
          <w:rFonts w:ascii="CMCSC10" w:hAnsi="CMCSC10"/>
          <w:sz w:val="36"/>
          <w:szCs w:val="36"/>
        </w:rPr>
        <w:t>Although returns are better for Far Month, people prefer Near (as seen from the average no of contracts)</w:t>
      </w:r>
    </w:p>
    <w:p w14:paraId="1B7D9C13" w14:textId="07AB5629" w:rsidR="00A80917" w:rsidRPr="00A80917" w:rsidRDefault="00DB7071" w:rsidP="00A80917">
      <w:pPr>
        <w:pStyle w:val="ListParagraph"/>
        <w:numPr>
          <w:ilvl w:val="0"/>
          <w:numId w:val="9"/>
        </w:numPr>
        <w:rPr>
          <w:rFonts w:ascii="CMCSC10" w:hAnsi="CMCSC10"/>
          <w:color w:val="1481AB" w:themeColor="accent1" w:themeShade="BF"/>
          <w:sz w:val="36"/>
          <w:szCs w:val="32"/>
        </w:rPr>
      </w:pPr>
      <w:r>
        <w:rPr>
          <w:rFonts w:ascii="CMCSC10" w:hAnsi="CMCSC10"/>
          <w:sz w:val="36"/>
          <w:szCs w:val="36"/>
        </w:rPr>
        <w:t>This is because of the comparatively superior liquidity position of the Near Month Frequency.</w:t>
      </w:r>
    </w:p>
    <w:p w14:paraId="630C4439" w14:textId="77777777" w:rsidR="00DD350F" w:rsidRDefault="00DD350F" w:rsidP="00E12179">
      <w:pPr>
        <w:rPr>
          <w:rFonts w:ascii="CMCSC10" w:hAnsi="CMCSC10"/>
          <w:b/>
          <w:bCs/>
          <w:color w:val="1481AB" w:themeColor="accent1" w:themeShade="BF"/>
          <w:sz w:val="40"/>
          <w:szCs w:val="40"/>
          <w:u w:val="single"/>
        </w:rPr>
      </w:pPr>
    </w:p>
    <w:p w14:paraId="2DFEDFBF" w14:textId="25DA7CC1" w:rsidR="00DD350F" w:rsidRPr="0082070C" w:rsidRDefault="00DB7071" w:rsidP="00DD350F">
      <w:pPr>
        <w:jc w:val="center"/>
        <w:rPr>
          <w:rFonts w:ascii="CMCSC10" w:hAnsi="CMCSC10"/>
          <w:b/>
          <w:bCs/>
          <w:color w:val="1481AB" w:themeColor="accent1" w:themeShade="BF"/>
          <w:sz w:val="40"/>
          <w:szCs w:val="40"/>
          <w:u w:val="single"/>
        </w:rPr>
      </w:pPr>
      <w:r w:rsidRPr="0082070C">
        <w:rPr>
          <w:rFonts w:ascii="CMCSC10" w:hAnsi="CMCSC10"/>
          <w:b/>
          <w:bCs/>
          <w:color w:val="1481AB" w:themeColor="accent1" w:themeShade="BF"/>
          <w:sz w:val="40"/>
          <w:szCs w:val="40"/>
          <w:u w:val="single"/>
        </w:rPr>
        <w:t xml:space="preserve">Section </w:t>
      </w:r>
      <w:r>
        <w:rPr>
          <w:rFonts w:ascii="CMCSC10" w:hAnsi="CMCSC10"/>
          <w:b/>
          <w:bCs/>
          <w:color w:val="1481AB" w:themeColor="accent1" w:themeShade="BF"/>
          <w:sz w:val="40"/>
          <w:szCs w:val="40"/>
          <w:u w:val="single"/>
        </w:rPr>
        <w:t>4</w:t>
      </w:r>
    </w:p>
    <w:p w14:paraId="5449E4E6" w14:textId="0818C158" w:rsidR="00202CE5" w:rsidRDefault="00AB5E4D">
      <w:pPr>
        <w:rPr>
          <w:rFonts w:ascii="CMCSC10" w:hAnsi="CMCSC10"/>
          <w:b/>
          <w:bCs/>
          <w:color w:val="1481AB" w:themeColor="accent1" w:themeShade="BF"/>
          <w:sz w:val="40"/>
          <w:szCs w:val="40"/>
        </w:rPr>
      </w:pPr>
      <w:r>
        <w:rPr>
          <w:rFonts w:ascii="CMCSC10" w:hAnsi="CMCSC10"/>
          <w:b/>
          <w:bCs/>
          <w:color w:val="1481AB" w:themeColor="accent1" w:themeShade="BF"/>
          <w:sz w:val="40"/>
          <w:szCs w:val="40"/>
        </w:rPr>
        <w:t>11</w:t>
      </w:r>
      <w:r w:rsidR="00D330F2">
        <w:rPr>
          <w:rFonts w:ascii="CMCSC10" w:hAnsi="CMCSC10"/>
          <w:b/>
          <w:bCs/>
          <w:color w:val="1481AB" w:themeColor="accent1" w:themeShade="BF"/>
          <w:sz w:val="40"/>
          <w:szCs w:val="40"/>
        </w:rPr>
        <w:t>.1</w:t>
      </w:r>
      <w:r>
        <w:rPr>
          <w:rFonts w:ascii="CMCSC10" w:hAnsi="CMCSC10"/>
          <w:b/>
          <w:bCs/>
          <w:color w:val="1481AB" w:themeColor="accent1" w:themeShade="BF"/>
          <w:sz w:val="40"/>
          <w:szCs w:val="40"/>
        </w:rPr>
        <w:t xml:space="preserve"> Contango or Backwardation</w:t>
      </w:r>
      <w:r w:rsidR="00BC714F">
        <w:rPr>
          <w:rFonts w:ascii="CMCSC10" w:hAnsi="CMCSC10"/>
          <w:b/>
          <w:bCs/>
          <w:color w:val="1481AB" w:themeColor="accent1" w:themeShade="BF"/>
          <w:sz w:val="40"/>
          <w:szCs w:val="40"/>
        </w:rPr>
        <w:t xml:space="preserve"> of Future Instruments</w:t>
      </w:r>
    </w:p>
    <w:p w14:paraId="3149CDA6" w14:textId="6C2D59C6" w:rsidR="00DD350F" w:rsidRPr="00E12179" w:rsidRDefault="00FC0D30" w:rsidP="00F227D6">
      <w:pPr>
        <w:ind w:firstLine="720"/>
        <w:rPr>
          <w:rFonts w:ascii="CMCSC10" w:hAnsi="CMCSC10"/>
          <w:color w:val="1C6194" w:themeColor="accent2" w:themeShade="BF"/>
          <w:sz w:val="36"/>
          <w:szCs w:val="36"/>
        </w:rPr>
      </w:pPr>
      <w:r>
        <w:rPr>
          <w:rFonts w:ascii="CMCSC10" w:hAnsi="CMCSC10"/>
          <w:sz w:val="36"/>
          <w:szCs w:val="36"/>
        </w:rPr>
        <w:t>Here, we will be looking for any Conta</w:t>
      </w:r>
      <w:r w:rsidR="000C47B6">
        <w:rPr>
          <w:rFonts w:ascii="CMCSC10" w:hAnsi="CMCSC10"/>
          <w:sz w:val="36"/>
          <w:szCs w:val="36"/>
        </w:rPr>
        <w:t>ng</w:t>
      </w:r>
      <w:r>
        <w:rPr>
          <w:rFonts w:ascii="CMCSC10" w:hAnsi="CMCSC10"/>
          <w:sz w:val="36"/>
          <w:szCs w:val="36"/>
        </w:rPr>
        <w:t>o or Backwardation in the Futures. While the former</w:t>
      </w:r>
      <w:r w:rsidRPr="00FC0D30">
        <w:rPr>
          <w:rFonts w:ascii="CMCSC10" w:hAnsi="CMCSC10"/>
          <w:sz w:val="36"/>
          <w:szCs w:val="36"/>
        </w:rPr>
        <w:t xml:space="preserve"> is a state of the </w:t>
      </w:r>
      <w:r>
        <w:rPr>
          <w:rFonts w:ascii="CMCSC10" w:hAnsi="CMCSC10"/>
          <w:sz w:val="36"/>
          <w:szCs w:val="36"/>
        </w:rPr>
        <w:t>market</w:t>
      </w:r>
      <w:r w:rsidRPr="00FC0D30">
        <w:rPr>
          <w:rFonts w:ascii="CMCSC10" w:hAnsi="CMCSC10"/>
          <w:sz w:val="36"/>
          <w:szCs w:val="36"/>
        </w:rPr>
        <w:t xml:space="preserve"> where a stock's forward price or futures price is greater than the spot price</w:t>
      </w:r>
      <w:r>
        <w:rPr>
          <w:rFonts w:ascii="CMCSC10" w:hAnsi="CMCSC10"/>
          <w:sz w:val="36"/>
          <w:szCs w:val="36"/>
        </w:rPr>
        <w:t>, the latter is the market</w:t>
      </w:r>
      <w:r w:rsidRPr="00FC0D30">
        <w:rPr>
          <w:rFonts w:ascii="CMCSC10" w:hAnsi="CMCSC10"/>
          <w:sz w:val="36"/>
          <w:szCs w:val="36"/>
        </w:rPr>
        <w:t xml:space="preserve"> situation when, at equilibrium, the price of a forward or future commodity is traded below the current spot price of the product.</w:t>
      </w:r>
      <w:r w:rsidR="00C20077">
        <w:rPr>
          <w:rFonts w:ascii="CMCSC10" w:hAnsi="CMCSC10"/>
          <w:sz w:val="36"/>
          <w:szCs w:val="36"/>
        </w:rPr>
        <w:t xml:space="preserve"> It is important to account for both of them as not doing so can incur serious losses.</w:t>
      </w:r>
    </w:p>
    <w:p w14:paraId="40A6B8CD" w14:textId="3C437811" w:rsidR="00F227D6" w:rsidRPr="00E12179" w:rsidRDefault="00F227D6" w:rsidP="00FC0D30">
      <w:pPr>
        <w:ind w:firstLine="720"/>
        <w:rPr>
          <w:rFonts w:ascii="CMCSC10" w:hAnsi="CMCSC10"/>
          <w:color w:val="1C6194" w:themeColor="accent2" w:themeShade="BF"/>
          <w:sz w:val="36"/>
          <w:szCs w:val="36"/>
        </w:rPr>
      </w:pPr>
      <w:r w:rsidRPr="00E12179">
        <w:rPr>
          <w:rFonts w:ascii="CMCSC10" w:hAnsi="CMCSC10"/>
          <w:color w:val="1C6194" w:themeColor="accent2" w:themeShade="BF"/>
          <w:sz w:val="34"/>
          <w:szCs w:val="32"/>
        </w:rPr>
        <w:tab/>
      </w:r>
      <w:r w:rsidRPr="00E12179">
        <w:rPr>
          <w:rFonts w:ascii="CMCSC10" w:hAnsi="CMCSC10"/>
          <w:color w:val="1C6194" w:themeColor="accent2" w:themeShade="BF"/>
          <w:sz w:val="34"/>
          <w:szCs w:val="32"/>
        </w:rPr>
        <w:tab/>
      </w:r>
      <w:r w:rsidRPr="00E12179">
        <w:rPr>
          <w:rFonts w:ascii="CMCSC10" w:hAnsi="CMCSC10"/>
          <w:color w:val="1C6194" w:themeColor="accent2" w:themeShade="BF"/>
          <w:sz w:val="34"/>
          <w:szCs w:val="32"/>
        </w:rPr>
        <w:tab/>
      </w:r>
      <w:r w:rsidRPr="00E12179">
        <w:rPr>
          <w:rFonts w:ascii="CMCSC10" w:hAnsi="CMCSC10"/>
          <w:color w:val="1C6194" w:themeColor="accent2" w:themeShade="BF"/>
          <w:sz w:val="34"/>
          <w:szCs w:val="32"/>
        </w:rPr>
        <w:tab/>
      </w:r>
      <w:r w:rsidRPr="00E12179">
        <w:rPr>
          <w:rFonts w:ascii="CMCSC10" w:hAnsi="CMCSC10"/>
          <w:color w:val="1C6194" w:themeColor="accent2" w:themeShade="BF"/>
          <w:sz w:val="34"/>
          <w:szCs w:val="32"/>
        </w:rPr>
        <w:tab/>
      </w:r>
      <w:r w:rsidRPr="00E12179">
        <w:rPr>
          <w:rFonts w:ascii="CMCSC10" w:hAnsi="CMCSC10"/>
          <w:color w:val="1C6194" w:themeColor="accent2" w:themeShade="BF"/>
          <w:sz w:val="34"/>
          <w:szCs w:val="32"/>
        </w:rPr>
        <w:tab/>
      </w:r>
      <w:r w:rsidRPr="00E12179">
        <w:rPr>
          <w:rFonts w:ascii="CMCSC10" w:hAnsi="CMCSC10"/>
          <w:color w:val="1C6194" w:themeColor="accent2" w:themeShade="BF"/>
          <w:sz w:val="34"/>
          <w:szCs w:val="32"/>
        </w:rPr>
        <w:tab/>
      </w:r>
      <w:r w:rsidRPr="00E12179">
        <w:rPr>
          <w:rFonts w:ascii="CMCSC10" w:hAnsi="CMCSC10"/>
          <w:color w:val="1C6194" w:themeColor="accent2" w:themeShade="BF"/>
          <w:sz w:val="34"/>
          <w:szCs w:val="32"/>
        </w:rPr>
        <w:tab/>
      </w:r>
      <w:sdt>
        <w:sdtPr>
          <w:rPr>
            <w:rFonts w:ascii="CMCSC10" w:hAnsi="CMCSC10"/>
            <w:color w:val="1C6194" w:themeColor="accent2" w:themeShade="BF"/>
            <w:sz w:val="34"/>
            <w:szCs w:val="32"/>
          </w:rPr>
          <w:id w:val="-307786059"/>
          <w:citation/>
        </w:sdtPr>
        <w:sdtContent>
          <w:r w:rsidRPr="00E12179">
            <w:rPr>
              <w:rFonts w:ascii="CMCSC10" w:hAnsi="CMCSC10"/>
              <w:color w:val="1C6194" w:themeColor="accent2" w:themeShade="BF"/>
              <w:sz w:val="34"/>
              <w:szCs w:val="32"/>
            </w:rPr>
            <w:fldChar w:fldCharType="begin"/>
          </w:r>
          <w:r w:rsidRPr="00E12179">
            <w:rPr>
              <w:rFonts w:ascii="CMCSC10" w:hAnsi="CMCSC10"/>
              <w:color w:val="1C6194" w:themeColor="accent2" w:themeShade="BF"/>
              <w:sz w:val="34"/>
              <w:szCs w:val="32"/>
            </w:rPr>
            <w:instrText xml:space="preserve"> CITATION Dav19 \l 16393 </w:instrText>
          </w:r>
          <w:r w:rsidRPr="00E12179">
            <w:rPr>
              <w:rFonts w:ascii="CMCSC10" w:hAnsi="CMCSC10"/>
              <w:color w:val="1C6194" w:themeColor="accent2" w:themeShade="BF"/>
              <w:sz w:val="34"/>
              <w:szCs w:val="32"/>
            </w:rPr>
            <w:fldChar w:fldCharType="separate"/>
          </w:r>
          <w:r w:rsidRPr="00E12179">
            <w:rPr>
              <w:rFonts w:ascii="CMCSC10" w:hAnsi="CMCSC10"/>
              <w:noProof/>
              <w:color w:val="1C6194" w:themeColor="accent2" w:themeShade="BF"/>
              <w:sz w:val="34"/>
              <w:szCs w:val="32"/>
            </w:rPr>
            <w:t>(Harpe, 2019)</w:t>
          </w:r>
          <w:r w:rsidRPr="00E12179">
            <w:rPr>
              <w:rFonts w:ascii="CMCSC10" w:hAnsi="CMCSC10"/>
              <w:color w:val="1C6194" w:themeColor="accent2" w:themeShade="BF"/>
              <w:sz w:val="34"/>
              <w:szCs w:val="32"/>
            </w:rPr>
            <w:fldChar w:fldCharType="end"/>
          </w:r>
        </w:sdtContent>
      </w:sdt>
    </w:p>
    <w:p w14:paraId="31E5758D" w14:textId="77777777" w:rsidR="00FD11BA" w:rsidRDefault="00FD11BA" w:rsidP="00833713">
      <w:pPr>
        <w:ind w:firstLine="720"/>
        <w:rPr>
          <w:rFonts w:ascii="CMCSC10" w:hAnsi="CMCSC10"/>
          <w:sz w:val="36"/>
          <w:szCs w:val="36"/>
        </w:rPr>
      </w:pPr>
    </w:p>
    <w:p w14:paraId="181E61CF" w14:textId="376B7E9F" w:rsidR="00FB700B" w:rsidRDefault="008C5FDE" w:rsidP="00833713">
      <w:pPr>
        <w:ind w:firstLine="720"/>
        <w:rPr>
          <w:rFonts w:ascii="CMCSC10" w:hAnsi="CMCSC10"/>
          <w:sz w:val="36"/>
          <w:szCs w:val="36"/>
        </w:rPr>
      </w:pPr>
      <w:r>
        <w:rPr>
          <w:rFonts w:ascii="CMCSC10" w:hAnsi="CMCSC10"/>
          <w:sz w:val="36"/>
          <w:szCs w:val="36"/>
        </w:rPr>
        <w:t>It is important to note that the future price must converge with the spot price over time, else it would lead to an arbitrage opportunity.</w:t>
      </w:r>
      <w:r w:rsidR="00F227D6">
        <w:rPr>
          <w:rFonts w:ascii="CMCSC10" w:hAnsi="CMCSC10"/>
          <w:sz w:val="36"/>
          <w:szCs w:val="36"/>
        </w:rPr>
        <w:tab/>
      </w:r>
      <w:r w:rsidR="00833713">
        <w:rPr>
          <w:rFonts w:ascii="CMCSC10" w:hAnsi="CMCSC10"/>
          <w:sz w:val="36"/>
          <w:szCs w:val="36"/>
        </w:rPr>
        <w:t xml:space="preserve"> </w:t>
      </w:r>
      <w:r w:rsidR="002910D3">
        <w:rPr>
          <w:rFonts w:ascii="CMCSC10" w:hAnsi="CMCSC10"/>
          <w:sz w:val="36"/>
          <w:szCs w:val="36"/>
        </w:rPr>
        <w:t xml:space="preserve">The following Graphs for </w:t>
      </w:r>
      <w:r w:rsidR="002910D3">
        <w:rPr>
          <w:rFonts w:ascii="CMCSC10" w:hAnsi="CMCSC10"/>
          <w:sz w:val="36"/>
          <w:szCs w:val="36"/>
        </w:rPr>
        <w:lastRenderedPageBreak/>
        <w:t>Near, Next and Far Month Futures make it clear that</w:t>
      </w:r>
      <w:r w:rsidR="002910D3" w:rsidRPr="002910D3">
        <w:rPr>
          <w:rFonts w:ascii="CMCSC10" w:hAnsi="CMCSC10"/>
          <w:b/>
          <w:bCs/>
          <w:color w:val="1C6194" w:themeColor="accent2" w:themeShade="BF"/>
          <w:sz w:val="36"/>
          <w:szCs w:val="36"/>
        </w:rPr>
        <w:t xml:space="preserve"> Contango</w:t>
      </w:r>
      <w:r w:rsidR="002910D3" w:rsidRPr="002910D3">
        <w:rPr>
          <w:rFonts w:ascii="CMCSC10" w:hAnsi="CMCSC10"/>
          <w:color w:val="1C6194" w:themeColor="accent2" w:themeShade="BF"/>
          <w:sz w:val="36"/>
          <w:szCs w:val="36"/>
        </w:rPr>
        <w:t xml:space="preserve"> </w:t>
      </w:r>
      <w:r w:rsidR="007E58B2">
        <w:rPr>
          <w:rFonts w:ascii="CMCSC10" w:hAnsi="CMCSC10"/>
          <w:sz w:val="36"/>
          <w:szCs w:val="36"/>
        </w:rPr>
        <w:t>behaviour is present</w:t>
      </w:r>
      <w:r w:rsidR="002910D3">
        <w:rPr>
          <w:rFonts w:ascii="CMCSC10" w:hAnsi="CMCSC10"/>
          <w:sz w:val="36"/>
          <w:szCs w:val="36"/>
        </w:rPr>
        <w:t>.</w:t>
      </w:r>
    </w:p>
    <w:p w14:paraId="02D14ABC" w14:textId="05DEF507" w:rsidR="00DD350F" w:rsidRDefault="00DD350F" w:rsidP="00FB700B">
      <w:pPr>
        <w:ind w:firstLine="720"/>
        <w:rPr>
          <w:rFonts w:ascii="CMCSC10" w:hAnsi="CMCSC10"/>
          <w:sz w:val="36"/>
          <w:szCs w:val="36"/>
        </w:rPr>
      </w:pPr>
    </w:p>
    <w:p w14:paraId="556AB135" w14:textId="77777777" w:rsidR="00833713" w:rsidRDefault="00833713" w:rsidP="00FB700B">
      <w:pPr>
        <w:ind w:firstLine="720"/>
        <w:rPr>
          <w:rFonts w:ascii="CMCSC10" w:hAnsi="CMCSC10"/>
          <w:sz w:val="36"/>
          <w:szCs w:val="36"/>
        </w:rPr>
      </w:pPr>
    </w:p>
    <w:p w14:paraId="686419B9" w14:textId="233B5103" w:rsidR="00202CE5" w:rsidRDefault="00770002">
      <w:pPr>
        <w:rPr>
          <w:sz w:val="36"/>
          <w:szCs w:val="36"/>
        </w:rPr>
      </w:pPr>
      <w:r>
        <w:rPr>
          <w:noProof/>
        </w:rPr>
        <w:drawing>
          <wp:inline distT="0" distB="0" distL="0" distR="0" wp14:anchorId="1CAAEF78" wp14:editId="1A1BC2A0">
            <wp:extent cx="5731510" cy="3373755"/>
            <wp:effectExtent l="0" t="0" r="2540" b="17145"/>
            <wp:docPr id="33" name="Chart 33">
              <a:extLst xmlns:a="http://schemas.openxmlformats.org/drawingml/2006/main">
                <a:ext uri="{FF2B5EF4-FFF2-40B4-BE49-F238E27FC236}">
                  <a16:creationId xmlns:a16="http://schemas.microsoft.com/office/drawing/2014/main" id="{9AC391DC-E003-40D0-8714-F64E1D3027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59F9836" w14:textId="77777777" w:rsidR="00770002" w:rsidRDefault="00770002">
      <w:pPr>
        <w:rPr>
          <w:sz w:val="36"/>
          <w:szCs w:val="36"/>
        </w:rPr>
      </w:pPr>
    </w:p>
    <w:p w14:paraId="468BB76A" w14:textId="2C034557" w:rsidR="00770002" w:rsidRDefault="00770002">
      <w:pPr>
        <w:rPr>
          <w:sz w:val="36"/>
          <w:szCs w:val="36"/>
        </w:rPr>
      </w:pPr>
      <w:r>
        <w:rPr>
          <w:noProof/>
        </w:rPr>
        <w:drawing>
          <wp:inline distT="0" distB="0" distL="0" distR="0" wp14:anchorId="162C374D" wp14:editId="15B1E4AB">
            <wp:extent cx="5731510" cy="3033395"/>
            <wp:effectExtent l="0" t="0" r="2540" b="14605"/>
            <wp:docPr id="34" name="Chart 34">
              <a:extLst xmlns:a="http://schemas.openxmlformats.org/drawingml/2006/main">
                <a:ext uri="{FF2B5EF4-FFF2-40B4-BE49-F238E27FC236}">
                  <a16:creationId xmlns:a16="http://schemas.microsoft.com/office/drawing/2014/main" id="{D399B961-9A10-4B8A-AE23-2078DEE7AB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1487F3D9" w14:textId="77777777" w:rsidR="006351AD" w:rsidRDefault="006351AD">
      <w:pPr>
        <w:rPr>
          <w:sz w:val="36"/>
          <w:szCs w:val="36"/>
        </w:rPr>
      </w:pPr>
    </w:p>
    <w:p w14:paraId="78FD29D9" w14:textId="77777777" w:rsidR="00770002" w:rsidRDefault="00770002">
      <w:pPr>
        <w:rPr>
          <w:sz w:val="36"/>
          <w:szCs w:val="36"/>
        </w:rPr>
      </w:pPr>
    </w:p>
    <w:p w14:paraId="4DA69076" w14:textId="38F4755E" w:rsidR="00202CE5" w:rsidRDefault="00770002">
      <w:pPr>
        <w:rPr>
          <w:sz w:val="36"/>
          <w:szCs w:val="36"/>
        </w:rPr>
      </w:pPr>
      <w:r>
        <w:rPr>
          <w:noProof/>
        </w:rPr>
        <w:drawing>
          <wp:inline distT="0" distB="0" distL="0" distR="0" wp14:anchorId="4E1A1648" wp14:editId="49B81D5C">
            <wp:extent cx="5731510" cy="3148330"/>
            <wp:effectExtent l="0" t="0" r="2540" b="13970"/>
            <wp:docPr id="35" name="Chart 35">
              <a:extLst xmlns:a="http://schemas.openxmlformats.org/drawingml/2006/main">
                <a:ext uri="{FF2B5EF4-FFF2-40B4-BE49-F238E27FC236}">
                  <a16:creationId xmlns:a16="http://schemas.microsoft.com/office/drawing/2014/main" id="{CB28A89C-F2EF-4222-800D-AFFC5E2C77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5475B69" w14:textId="6D8A90D3" w:rsidR="0082277C" w:rsidRDefault="0082277C">
      <w:pPr>
        <w:rPr>
          <w:sz w:val="36"/>
          <w:szCs w:val="36"/>
        </w:rPr>
      </w:pPr>
    </w:p>
    <w:p w14:paraId="77E2EC01" w14:textId="6C295A6E" w:rsidR="0082277C" w:rsidRPr="0082277C" w:rsidRDefault="0082277C">
      <w:pPr>
        <w:rPr>
          <w:rFonts w:ascii="CMCSC10" w:hAnsi="CMCSC10"/>
          <w:sz w:val="36"/>
          <w:szCs w:val="36"/>
        </w:rPr>
      </w:pPr>
      <w:r w:rsidRPr="0082277C">
        <w:rPr>
          <w:rFonts w:ascii="CMCSC10" w:hAnsi="CMCSC10"/>
          <w:sz w:val="36"/>
          <w:szCs w:val="36"/>
        </w:rPr>
        <w:tab/>
        <w:t>Since the future price</w:t>
      </w:r>
      <w:r w:rsidR="00E906B7">
        <w:rPr>
          <w:rFonts w:ascii="CMCSC10" w:hAnsi="CMCSC10"/>
          <w:sz w:val="36"/>
          <w:szCs w:val="36"/>
        </w:rPr>
        <w:t>s</w:t>
      </w:r>
      <w:r w:rsidRPr="0082277C">
        <w:rPr>
          <w:rFonts w:ascii="CMCSC10" w:hAnsi="CMCSC10"/>
          <w:sz w:val="36"/>
          <w:szCs w:val="36"/>
        </w:rPr>
        <w:t xml:space="preserve"> remain a tad bit higher than the spot price, the graphs indicate Contango behaviour.</w:t>
      </w:r>
    </w:p>
    <w:p w14:paraId="5E977D23" w14:textId="74A89F99" w:rsidR="00202CE5" w:rsidRDefault="00202CE5">
      <w:pPr>
        <w:rPr>
          <w:sz w:val="36"/>
          <w:szCs w:val="36"/>
        </w:rPr>
      </w:pPr>
    </w:p>
    <w:p w14:paraId="03FFA267" w14:textId="0105F99A" w:rsidR="00202CE5" w:rsidRDefault="00202CE5">
      <w:pPr>
        <w:rPr>
          <w:sz w:val="36"/>
          <w:szCs w:val="36"/>
        </w:rPr>
      </w:pPr>
    </w:p>
    <w:p w14:paraId="5848AEAF" w14:textId="6F64480B" w:rsidR="00D330F2" w:rsidRDefault="00D330F2" w:rsidP="00D330F2">
      <w:pPr>
        <w:rPr>
          <w:rFonts w:ascii="CMCSC10" w:hAnsi="CMCSC10"/>
          <w:b/>
          <w:bCs/>
          <w:color w:val="1481AB" w:themeColor="accent1" w:themeShade="BF"/>
          <w:sz w:val="40"/>
          <w:szCs w:val="40"/>
        </w:rPr>
      </w:pPr>
      <w:r>
        <w:rPr>
          <w:rFonts w:ascii="CMCSC10" w:hAnsi="CMCSC10"/>
          <w:b/>
          <w:bCs/>
          <w:color w:val="1481AB" w:themeColor="accent1" w:themeShade="BF"/>
          <w:sz w:val="40"/>
          <w:szCs w:val="40"/>
        </w:rPr>
        <w:t>11.2 Frequency Significance</w:t>
      </w:r>
    </w:p>
    <w:p w14:paraId="4876DA88" w14:textId="77777777" w:rsidR="005E6514" w:rsidRDefault="00FC5253" w:rsidP="00FC5253">
      <w:pPr>
        <w:pStyle w:val="ListParagraph"/>
        <w:ind w:left="360"/>
        <w:rPr>
          <w:rFonts w:ascii="CMCSC10" w:hAnsi="CMCSC10"/>
          <w:sz w:val="36"/>
          <w:szCs w:val="36"/>
        </w:rPr>
      </w:pPr>
      <w:r>
        <w:rPr>
          <w:rFonts w:ascii="CMCSC10" w:hAnsi="CMCSC10"/>
          <w:b/>
          <w:bCs/>
          <w:color w:val="1481AB" w:themeColor="accent1" w:themeShade="BF"/>
          <w:sz w:val="40"/>
          <w:szCs w:val="40"/>
        </w:rPr>
        <w:tab/>
      </w:r>
      <w:r w:rsidRPr="00FC5253">
        <w:rPr>
          <w:rFonts w:ascii="CMCSC10" w:hAnsi="CMCSC10"/>
          <w:sz w:val="36"/>
          <w:szCs w:val="36"/>
        </w:rPr>
        <w:t xml:space="preserve">As per the </w:t>
      </w:r>
      <w:r>
        <w:rPr>
          <w:rFonts w:ascii="CMCSC10" w:hAnsi="CMCSC10"/>
          <w:sz w:val="36"/>
          <w:szCs w:val="36"/>
        </w:rPr>
        <w:t>“</w:t>
      </w:r>
      <w:r w:rsidRPr="00FC5253">
        <w:rPr>
          <w:rFonts w:ascii="CMCSC10" w:hAnsi="CMCSC10"/>
          <w:sz w:val="36"/>
          <w:szCs w:val="36"/>
        </w:rPr>
        <w:t>Random Walk</w:t>
      </w:r>
      <w:r>
        <w:rPr>
          <w:rFonts w:ascii="CMCSC10" w:hAnsi="CMCSC10"/>
          <w:sz w:val="36"/>
          <w:szCs w:val="36"/>
        </w:rPr>
        <w:t xml:space="preserve"> </w:t>
      </w:r>
      <w:r w:rsidRPr="00FC5253">
        <w:rPr>
          <w:rFonts w:ascii="CMCSC10" w:hAnsi="CMCSC10"/>
          <w:sz w:val="36"/>
          <w:szCs w:val="36"/>
        </w:rPr>
        <w:t>Theory</w:t>
      </w:r>
      <w:r>
        <w:rPr>
          <w:rFonts w:ascii="CMCSC10" w:hAnsi="CMCSC10"/>
          <w:sz w:val="36"/>
          <w:szCs w:val="36"/>
        </w:rPr>
        <w:t>”</w:t>
      </w:r>
      <w:r w:rsidRPr="00FC5253">
        <w:rPr>
          <w:rFonts w:ascii="CMCSC10" w:hAnsi="CMCSC10"/>
          <w:sz w:val="36"/>
          <w:szCs w:val="36"/>
        </w:rPr>
        <w:t xml:space="preserve"> </w:t>
      </w:r>
      <w:r>
        <w:rPr>
          <w:rFonts w:ascii="CMCSC10" w:hAnsi="CMCSC10"/>
          <w:sz w:val="36"/>
          <w:szCs w:val="36"/>
        </w:rPr>
        <w:t>&amp; “</w:t>
      </w:r>
      <w:r w:rsidRPr="00FC5253">
        <w:rPr>
          <w:rFonts w:ascii="CMCSC10" w:hAnsi="CMCSC10"/>
          <w:sz w:val="36"/>
          <w:szCs w:val="36"/>
        </w:rPr>
        <w:t>Efficient Market Hypothesis</w:t>
      </w:r>
      <w:r>
        <w:rPr>
          <w:rFonts w:ascii="CMCSC10" w:hAnsi="CMCSC10"/>
          <w:sz w:val="36"/>
          <w:szCs w:val="36"/>
        </w:rPr>
        <w:t>”</w:t>
      </w:r>
      <w:r w:rsidRPr="00FC5253">
        <w:rPr>
          <w:rFonts w:ascii="CMCSC10" w:hAnsi="CMCSC10"/>
          <w:sz w:val="36"/>
          <w:szCs w:val="36"/>
        </w:rPr>
        <w:t xml:space="preserve">, stock prices are totally unpredictable and the frequency shouldn't be a cause for concern. </w:t>
      </w:r>
      <w:r w:rsidR="00894241">
        <w:rPr>
          <w:rFonts w:ascii="CMCSC10" w:hAnsi="CMCSC10"/>
          <w:sz w:val="36"/>
          <w:szCs w:val="36"/>
        </w:rPr>
        <w:t>This is so because</w:t>
      </w:r>
      <w:r w:rsidRPr="00FC5253">
        <w:rPr>
          <w:rFonts w:ascii="CMCSC10" w:hAnsi="CMCSC10"/>
          <w:sz w:val="36"/>
          <w:szCs w:val="36"/>
        </w:rPr>
        <w:t xml:space="preserve"> the return will be the same </w:t>
      </w:r>
      <w:r w:rsidR="00894241">
        <w:rPr>
          <w:rFonts w:ascii="CMCSC10" w:hAnsi="CMCSC10"/>
          <w:sz w:val="36"/>
          <w:szCs w:val="36"/>
        </w:rPr>
        <w:t xml:space="preserve">on average </w:t>
      </w:r>
      <w:r w:rsidRPr="00FC5253">
        <w:rPr>
          <w:rFonts w:ascii="CMCSC10" w:hAnsi="CMCSC10"/>
          <w:sz w:val="36"/>
          <w:szCs w:val="36"/>
        </w:rPr>
        <w:t>provided each trade's transaction costs are not included.</w:t>
      </w:r>
    </w:p>
    <w:p w14:paraId="6CE096F6" w14:textId="7A0C6475" w:rsidR="00FC5253" w:rsidRDefault="00FC5253" w:rsidP="005E6514">
      <w:pPr>
        <w:pStyle w:val="ListParagraph"/>
        <w:ind w:left="360" w:firstLine="360"/>
        <w:rPr>
          <w:rFonts w:ascii="CMCSC10" w:hAnsi="CMCSC10"/>
          <w:sz w:val="36"/>
          <w:szCs w:val="36"/>
        </w:rPr>
      </w:pPr>
      <w:r w:rsidRPr="00FC5253">
        <w:rPr>
          <w:rFonts w:ascii="CMCSC10" w:hAnsi="CMCSC10"/>
          <w:sz w:val="36"/>
          <w:szCs w:val="36"/>
        </w:rPr>
        <w:t xml:space="preserve"> Nonetheless, the frequency is essential for the investor since the measurement of the Sharpe ratio relies on the standard deviation, which in turn is dependent on the period frequency.</w:t>
      </w:r>
    </w:p>
    <w:p w14:paraId="316BE0F5" w14:textId="76BB6B87" w:rsidR="001B4673" w:rsidRPr="00FC5253" w:rsidRDefault="001B4673" w:rsidP="00FC5253">
      <w:pPr>
        <w:pStyle w:val="ListParagraph"/>
        <w:ind w:left="360"/>
        <w:rPr>
          <w:rFonts w:ascii="CMCSC10" w:hAnsi="CMCSC10"/>
          <w:sz w:val="36"/>
          <w:szCs w:val="36"/>
        </w:rPr>
      </w:pPr>
      <w:r>
        <w:rPr>
          <w:rFonts w:ascii="CMCSC10" w:hAnsi="CMCSC10"/>
          <w:sz w:val="36"/>
          <w:szCs w:val="36"/>
        </w:rPr>
        <w:lastRenderedPageBreak/>
        <w:tab/>
        <w:t>It is observed that the highest mean returns on a per annum basis were obtained when money was invested on Near Month Futures on a Daily Basis. However, a more prudent investor who wishes to minimise his risk will look at the Sharpe Ratios as well and not just the Mean Returns when making an investment. Therefore, for an investor who wishes to minimise risk, investing on a Monthly Basis in Far Month Futures is advisable</w:t>
      </w:r>
      <w:r w:rsidR="005E6514">
        <w:rPr>
          <w:rFonts w:ascii="CMCSC10" w:hAnsi="CMCSC10"/>
          <w:sz w:val="36"/>
          <w:szCs w:val="36"/>
        </w:rPr>
        <w:t xml:space="preserve"> as it showcases the best Sharpe Ratio.</w:t>
      </w:r>
    </w:p>
    <w:p w14:paraId="11612497" w14:textId="77777777" w:rsidR="0056719F" w:rsidRDefault="0056719F" w:rsidP="00BC02D3">
      <w:pPr>
        <w:jc w:val="center"/>
        <w:rPr>
          <w:rFonts w:ascii="CMCSC10" w:hAnsi="CMCSC10"/>
          <w:b/>
          <w:bCs/>
          <w:color w:val="1481AB" w:themeColor="accent1" w:themeShade="BF"/>
          <w:sz w:val="40"/>
          <w:szCs w:val="40"/>
        </w:rPr>
      </w:pPr>
    </w:p>
    <w:p w14:paraId="19900A7B" w14:textId="4283609B" w:rsidR="00BC02D3" w:rsidRDefault="00BC02D3" w:rsidP="00BC02D3">
      <w:pPr>
        <w:jc w:val="center"/>
        <w:rPr>
          <w:rFonts w:ascii="CMCSC10" w:hAnsi="CMCSC10"/>
          <w:b/>
          <w:bCs/>
          <w:color w:val="1481AB" w:themeColor="accent1" w:themeShade="BF"/>
          <w:sz w:val="40"/>
          <w:szCs w:val="40"/>
          <w:u w:val="single"/>
        </w:rPr>
      </w:pPr>
      <w:r w:rsidRPr="0082070C">
        <w:rPr>
          <w:rFonts w:ascii="CMCSC10" w:hAnsi="CMCSC10"/>
          <w:b/>
          <w:bCs/>
          <w:color w:val="1481AB" w:themeColor="accent1" w:themeShade="BF"/>
          <w:sz w:val="40"/>
          <w:szCs w:val="40"/>
          <w:u w:val="single"/>
        </w:rPr>
        <w:t xml:space="preserve">Section </w:t>
      </w:r>
      <w:r>
        <w:rPr>
          <w:rFonts w:ascii="CMCSC10" w:hAnsi="CMCSC10"/>
          <w:b/>
          <w:bCs/>
          <w:color w:val="1481AB" w:themeColor="accent1" w:themeShade="BF"/>
          <w:sz w:val="40"/>
          <w:szCs w:val="40"/>
          <w:u w:val="single"/>
        </w:rPr>
        <w:t>5</w:t>
      </w:r>
    </w:p>
    <w:p w14:paraId="451DE802" w14:textId="0DDFB179" w:rsidR="000D1889" w:rsidRDefault="00483B76" w:rsidP="00483B76">
      <w:pPr>
        <w:rPr>
          <w:rFonts w:ascii="CMCSC10" w:hAnsi="CMCSC10"/>
          <w:b/>
          <w:bCs/>
          <w:color w:val="1481AB" w:themeColor="accent1" w:themeShade="BF"/>
          <w:sz w:val="40"/>
          <w:szCs w:val="40"/>
          <w:u w:val="single"/>
        </w:rPr>
      </w:pPr>
      <w:r>
        <w:rPr>
          <w:rFonts w:ascii="CMCSC10" w:hAnsi="CMCSC10"/>
          <w:b/>
          <w:bCs/>
          <w:color w:val="1481AB" w:themeColor="accent1" w:themeShade="BF"/>
          <w:sz w:val="40"/>
          <w:szCs w:val="40"/>
        </w:rPr>
        <w:t>O</w:t>
      </w:r>
      <w:r>
        <w:rPr>
          <w:rFonts w:ascii="CMCSC10" w:hAnsi="CMCSC10"/>
          <w:b/>
          <w:bCs/>
          <w:color w:val="1481AB" w:themeColor="accent1" w:themeShade="BF"/>
          <w:sz w:val="40"/>
          <w:szCs w:val="40"/>
        </w:rPr>
        <w:t>ptions</w:t>
      </w:r>
    </w:p>
    <w:p w14:paraId="67426850" w14:textId="478EAD53" w:rsidR="00B94DC0" w:rsidRDefault="000D1889" w:rsidP="000D1889">
      <w:pPr>
        <w:ind w:firstLine="720"/>
        <w:rPr>
          <w:rFonts w:ascii="CMCSC10" w:hAnsi="CMCSC10"/>
          <w:sz w:val="36"/>
          <w:szCs w:val="36"/>
        </w:rPr>
      </w:pPr>
      <w:r>
        <w:rPr>
          <w:rFonts w:ascii="CMCSC10" w:hAnsi="CMCSC10"/>
          <w:sz w:val="36"/>
          <w:szCs w:val="36"/>
        </w:rPr>
        <w:t>Call Options have been selected for this section. The strike price and expiry corresponding to the highest Open Interest has been taken and data has been interpreted from dates around 90 days prior to it. The following table provides details of the dataset:</w:t>
      </w:r>
    </w:p>
    <w:p w14:paraId="479C1F8B" w14:textId="77777777" w:rsidR="001E28A3" w:rsidRPr="0082070C" w:rsidRDefault="001E28A3" w:rsidP="000D1889">
      <w:pPr>
        <w:ind w:firstLine="720"/>
        <w:rPr>
          <w:rFonts w:ascii="CMCSC10" w:hAnsi="CMCSC10"/>
          <w:b/>
          <w:bCs/>
          <w:color w:val="1481AB" w:themeColor="accent1" w:themeShade="BF"/>
          <w:sz w:val="40"/>
          <w:szCs w:val="40"/>
          <w:u w:val="single"/>
        </w:rPr>
      </w:pPr>
    </w:p>
    <w:tbl>
      <w:tblPr>
        <w:tblStyle w:val="TableGrid"/>
        <w:tblW w:w="0" w:type="auto"/>
        <w:jc w:val="center"/>
        <w:tblLook w:val="04A0" w:firstRow="1" w:lastRow="0" w:firstColumn="1" w:lastColumn="0" w:noHBand="0" w:noVBand="1"/>
      </w:tblPr>
      <w:tblGrid>
        <w:gridCol w:w="4961"/>
        <w:gridCol w:w="2972"/>
      </w:tblGrid>
      <w:tr w:rsidR="00755B23" w:rsidRPr="00755B23" w14:paraId="1C8FE3BC" w14:textId="77777777" w:rsidTr="00FD5416">
        <w:trPr>
          <w:jc w:val="center"/>
        </w:trPr>
        <w:tc>
          <w:tcPr>
            <w:tcW w:w="4961" w:type="dxa"/>
          </w:tcPr>
          <w:p w14:paraId="3ABE7416" w14:textId="08FD122A" w:rsidR="00A42764" w:rsidRPr="00755B23" w:rsidRDefault="00A42764">
            <w:pPr>
              <w:rPr>
                <w:color w:val="1C6194" w:themeColor="accent2" w:themeShade="BF"/>
                <w:sz w:val="36"/>
                <w:szCs w:val="36"/>
              </w:rPr>
            </w:pPr>
            <w:r w:rsidRPr="00755B23">
              <w:rPr>
                <w:color w:val="1C6194" w:themeColor="accent2" w:themeShade="BF"/>
                <w:sz w:val="36"/>
                <w:szCs w:val="36"/>
              </w:rPr>
              <w:t>Duration</w:t>
            </w:r>
          </w:p>
        </w:tc>
        <w:tc>
          <w:tcPr>
            <w:tcW w:w="2972" w:type="dxa"/>
          </w:tcPr>
          <w:p w14:paraId="377848DC" w14:textId="235D47B2" w:rsidR="00A42764" w:rsidRPr="00755B23" w:rsidRDefault="00A42764">
            <w:pPr>
              <w:rPr>
                <w:color w:val="1C6194" w:themeColor="accent2" w:themeShade="BF"/>
                <w:sz w:val="36"/>
                <w:szCs w:val="36"/>
              </w:rPr>
            </w:pPr>
            <w:r w:rsidRPr="00755B23">
              <w:rPr>
                <w:color w:val="1C6194" w:themeColor="accent2" w:themeShade="BF"/>
                <w:sz w:val="36"/>
                <w:szCs w:val="36"/>
              </w:rPr>
              <w:t>Apr. ’19- June ‘19</w:t>
            </w:r>
          </w:p>
        </w:tc>
      </w:tr>
      <w:tr w:rsidR="00755B23" w:rsidRPr="00755B23" w14:paraId="163258CC" w14:textId="77777777" w:rsidTr="00FD5416">
        <w:trPr>
          <w:jc w:val="center"/>
        </w:trPr>
        <w:tc>
          <w:tcPr>
            <w:tcW w:w="4961" w:type="dxa"/>
          </w:tcPr>
          <w:p w14:paraId="57206588" w14:textId="5BABCC89" w:rsidR="00A42764" w:rsidRPr="00755B23" w:rsidRDefault="00A42764">
            <w:pPr>
              <w:rPr>
                <w:color w:val="1C6194" w:themeColor="accent2" w:themeShade="BF"/>
                <w:sz w:val="36"/>
                <w:szCs w:val="36"/>
              </w:rPr>
            </w:pPr>
            <w:r w:rsidRPr="00755B23">
              <w:rPr>
                <w:color w:val="1C6194" w:themeColor="accent2" w:themeShade="BF"/>
                <w:sz w:val="36"/>
                <w:szCs w:val="36"/>
              </w:rPr>
              <w:t>Strike Price</w:t>
            </w:r>
          </w:p>
        </w:tc>
        <w:tc>
          <w:tcPr>
            <w:tcW w:w="2972" w:type="dxa"/>
          </w:tcPr>
          <w:p w14:paraId="10E40221" w14:textId="0021EEEC" w:rsidR="00A42764" w:rsidRPr="00755B23" w:rsidRDefault="00A42764">
            <w:pPr>
              <w:rPr>
                <w:color w:val="1C6194" w:themeColor="accent2" w:themeShade="BF"/>
                <w:sz w:val="36"/>
                <w:szCs w:val="36"/>
              </w:rPr>
            </w:pPr>
            <w:r w:rsidRPr="00755B23">
              <w:rPr>
                <w:color w:val="1C6194" w:themeColor="accent2" w:themeShade="BF"/>
                <w:sz w:val="36"/>
                <w:szCs w:val="36"/>
              </w:rPr>
              <w:t>12000</w:t>
            </w:r>
          </w:p>
        </w:tc>
      </w:tr>
      <w:tr w:rsidR="00755B23" w:rsidRPr="00755B23" w14:paraId="3D4B2EE1" w14:textId="77777777" w:rsidTr="00FD5416">
        <w:trPr>
          <w:jc w:val="center"/>
        </w:trPr>
        <w:tc>
          <w:tcPr>
            <w:tcW w:w="4961" w:type="dxa"/>
          </w:tcPr>
          <w:p w14:paraId="2485556A" w14:textId="7C0A52E8" w:rsidR="00A42764" w:rsidRPr="00755B23" w:rsidRDefault="00A42764">
            <w:pPr>
              <w:rPr>
                <w:color w:val="1C6194" w:themeColor="accent2" w:themeShade="BF"/>
                <w:sz w:val="36"/>
                <w:szCs w:val="36"/>
              </w:rPr>
            </w:pPr>
            <w:r w:rsidRPr="00755B23">
              <w:rPr>
                <w:color w:val="1C6194" w:themeColor="accent2" w:themeShade="BF"/>
                <w:sz w:val="36"/>
                <w:szCs w:val="36"/>
              </w:rPr>
              <w:t>Std. Dev of Stock Returns</w:t>
            </w:r>
          </w:p>
        </w:tc>
        <w:tc>
          <w:tcPr>
            <w:tcW w:w="2972" w:type="dxa"/>
          </w:tcPr>
          <w:p w14:paraId="2A2A8C0A" w14:textId="14DD7E3F" w:rsidR="00A42764" w:rsidRPr="00755B23" w:rsidRDefault="00A42764">
            <w:pPr>
              <w:rPr>
                <w:color w:val="1C6194" w:themeColor="accent2" w:themeShade="BF"/>
                <w:sz w:val="36"/>
                <w:szCs w:val="36"/>
              </w:rPr>
            </w:pPr>
            <w:r w:rsidRPr="00755B23">
              <w:rPr>
                <w:color w:val="1C6194" w:themeColor="accent2" w:themeShade="BF"/>
                <w:sz w:val="36"/>
                <w:szCs w:val="36"/>
              </w:rPr>
              <w:t>0.0123</w:t>
            </w:r>
            <w:r w:rsidRPr="00755B23">
              <w:rPr>
                <w:color w:val="1C6194" w:themeColor="accent2" w:themeShade="BF"/>
                <w:sz w:val="36"/>
                <w:szCs w:val="36"/>
              </w:rPr>
              <w:t>8</w:t>
            </w:r>
          </w:p>
        </w:tc>
      </w:tr>
      <w:tr w:rsidR="00755B23" w:rsidRPr="00755B23" w14:paraId="66EB3D1E" w14:textId="77777777" w:rsidTr="00FD5416">
        <w:trPr>
          <w:jc w:val="center"/>
        </w:trPr>
        <w:tc>
          <w:tcPr>
            <w:tcW w:w="4961" w:type="dxa"/>
          </w:tcPr>
          <w:p w14:paraId="08524003" w14:textId="32BDAFA3" w:rsidR="00A42764" w:rsidRPr="00755B23" w:rsidRDefault="00A42764">
            <w:pPr>
              <w:rPr>
                <w:color w:val="1C6194" w:themeColor="accent2" w:themeShade="BF"/>
                <w:sz w:val="36"/>
                <w:szCs w:val="36"/>
              </w:rPr>
            </w:pPr>
            <w:r w:rsidRPr="00755B23">
              <w:rPr>
                <w:color w:val="1C6194" w:themeColor="accent2" w:themeShade="BF"/>
                <w:sz w:val="36"/>
                <w:szCs w:val="36"/>
              </w:rPr>
              <w:t>Annualised Volatility</w:t>
            </w:r>
          </w:p>
        </w:tc>
        <w:tc>
          <w:tcPr>
            <w:tcW w:w="2972" w:type="dxa"/>
          </w:tcPr>
          <w:p w14:paraId="566E7780" w14:textId="2DA066E9" w:rsidR="00A42764" w:rsidRPr="00755B23" w:rsidRDefault="00A42764">
            <w:pPr>
              <w:rPr>
                <w:color w:val="1C6194" w:themeColor="accent2" w:themeShade="BF"/>
                <w:sz w:val="36"/>
                <w:szCs w:val="36"/>
              </w:rPr>
            </w:pPr>
            <w:r w:rsidRPr="00755B23">
              <w:rPr>
                <w:color w:val="1C6194" w:themeColor="accent2" w:themeShade="BF"/>
                <w:sz w:val="36"/>
                <w:szCs w:val="36"/>
              </w:rPr>
              <w:t>0.1965</w:t>
            </w:r>
            <w:r w:rsidRPr="00755B23">
              <w:rPr>
                <w:color w:val="1C6194" w:themeColor="accent2" w:themeShade="BF"/>
                <w:sz w:val="36"/>
                <w:szCs w:val="36"/>
              </w:rPr>
              <w:t>3</w:t>
            </w:r>
          </w:p>
        </w:tc>
      </w:tr>
      <w:tr w:rsidR="00755B23" w:rsidRPr="00755B23" w14:paraId="28588379" w14:textId="77777777" w:rsidTr="00FD5416">
        <w:trPr>
          <w:jc w:val="center"/>
        </w:trPr>
        <w:tc>
          <w:tcPr>
            <w:tcW w:w="4961" w:type="dxa"/>
          </w:tcPr>
          <w:p w14:paraId="69949D02" w14:textId="5A1393A2" w:rsidR="00A42764" w:rsidRPr="00755B23" w:rsidRDefault="00A42764">
            <w:pPr>
              <w:rPr>
                <w:color w:val="1C6194" w:themeColor="accent2" w:themeShade="BF"/>
                <w:sz w:val="36"/>
                <w:szCs w:val="36"/>
              </w:rPr>
            </w:pPr>
            <w:r w:rsidRPr="00755B23">
              <w:rPr>
                <w:color w:val="1C6194" w:themeColor="accent2" w:themeShade="BF"/>
                <w:sz w:val="36"/>
                <w:szCs w:val="36"/>
              </w:rPr>
              <w:t>Prob. Of Going Up</w:t>
            </w:r>
          </w:p>
        </w:tc>
        <w:tc>
          <w:tcPr>
            <w:tcW w:w="2972" w:type="dxa"/>
          </w:tcPr>
          <w:p w14:paraId="05585243" w14:textId="2461F407" w:rsidR="00A42764" w:rsidRPr="00755B23" w:rsidRDefault="00A42764">
            <w:pPr>
              <w:rPr>
                <w:color w:val="1C6194" w:themeColor="accent2" w:themeShade="BF"/>
                <w:sz w:val="36"/>
                <w:szCs w:val="36"/>
              </w:rPr>
            </w:pPr>
            <w:r w:rsidRPr="00755B23">
              <w:rPr>
                <w:color w:val="1C6194" w:themeColor="accent2" w:themeShade="BF"/>
                <w:sz w:val="36"/>
                <w:szCs w:val="36"/>
              </w:rPr>
              <w:t>1.10325</w:t>
            </w:r>
          </w:p>
        </w:tc>
      </w:tr>
      <w:tr w:rsidR="00755B23" w:rsidRPr="00755B23" w14:paraId="47FBFEEC" w14:textId="77777777" w:rsidTr="00FD5416">
        <w:trPr>
          <w:jc w:val="center"/>
        </w:trPr>
        <w:tc>
          <w:tcPr>
            <w:tcW w:w="4961" w:type="dxa"/>
          </w:tcPr>
          <w:p w14:paraId="66B87619" w14:textId="532E1930" w:rsidR="00A42764" w:rsidRPr="00755B23" w:rsidRDefault="00A42764">
            <w:pPr>
              <w:rPr>
                <w:color w:val="1C6194" w:themeColor="accent2" w:themeShade="BF"/>
                <w:sz w:val="36"/>
                <w:szCs w:val="36"/>
              </w:rPr>
            </w:pPr>
            <w:r w:rsidRPr="00755B23">
              <w:rPr>
                <w:color w:val="1C6194" w:themeColor="accent2" w:themeShade="BF"/>
                <w:sz w:val="36"/>
                <w:szCs w:val="36"/>
              </w:rPr>
              <w:t>Prob. Of Going Down</w:t>
            </w:r>
          </w:p>
        </w:tc>
        <w:tc>
          <w:tcPr>
            <w:tcW w:w="2972" w:type="dxa"/>
          </w:tcPr>
          <w:p w14:paraId="4D977F50" w14:textId="7DA53AC7" w:rsidR="00A42764" w:rsidRPr="00755B23" w:rsidRDefault="00A42764">
            <w:pPr>
              <w:rPr>
                <w:color w:val="1C6194" w:themeColor="accent2" w:themeShade="BF"/>
                <w:sz w:val="36"/>
                <w:szCs w:val="36"/>
              </w:rPr>
            </w:pPr>
            <w:r w:rsidRPr="00755B23">
              <w:rPr>
                <w:color w:val="1C6194" w:themeColor="accent2" w:themeShade="BF"/>
                <w:sz w:val="36"/>
                <w:szCs w:val="36"/>
              </w:rPr>
              <w:t>0.90641</w:t>
            </w:r>
          </w:p>
        </w:tc>
      </w:tr>
    </w:tbl>
    <w:p w14:paraId="671FBC7B" w14:textId="77777777" w:rsidR="001E28A3" w:rsidRDefault="001E28A3">
      <w:pPr>
        <w:rPr>
          <w:rFonts w:ascii="CMCSC10" w:hAnsi="CMCSC10"/>
          <w:sz w:val="36"/>
          <w:szCs w:val="36"/>
        </w:rPr>
      </w:pPr>
    </w:p>
    <w:p w14:paraId="3287A538" w14:textId="356AB749" w:rsidR="001E28A3" w:rsidRDefault="001E28A3">
      <w:pPr>
        <w:rPr>
          <w:rFonts w:ascii="CMCSC10" w:hAnsi="CMCSC10"/>
          <w:sz w:val="36"/>
          <w:szCs w:val="36"/>
        </w:rPr>
      </w:pPr>
      <w:r w:rsidRPr="001E28A3">
        <w:rPr>
          <w:rFonts w:ascii="CMCSC10" w:hAnsi="CMCSC10"/>
          <w:sz w:val="36"/>
          <w:szCs w:val="36"/>
        </w:rPr>
        <w:t xml:space="preserve">Taking the </w:t>
      </w:r>
      <w:r>
        <w:rPr>
          <w:rFonts w:ascii="CMCSC10" w:hAnsi="CMCSC10"/>
          <w:sz w:val="36"/>
          <w:szCs w:val="36"/>
        </w:rPr>
        <w:t xml:space="preserve">values from the Date </w:t>
      </w:r>
      <w:r w:rsidR="00E02BF6">
        <w:rPr>
          <w:rFonts w:ascii="CMCSC10" w:hAnsi="CMCSC10"/>
          <w:sz w:val="36"/>
          <w:szCs w:val="36"/>
        </w:rPr>
        <w:t>22</w:t>
      </w:r>
      <w:r w:rsidR="00E02BF6">
        <w:rPr>
          <w:rFonts w:ascii="CMCSC10" w:hAnsi="CMCSC10"/>
          <w:sz w:val="36"/>
          <w:szCs w:val="36"/>
          <w:vertAlign w:val="superscript"/>
        </w:rPr>
        <w:t>nd</w:t>
      </w:r>
      <w:r>
        <w:rPr>
          <w:rFonts w:ascii="CMCSC10" w:hAnsi="CMCSC10"/>
          <w:sz w:val="36"/>
          <w:szCs w:val="36"/>
        </w:rPr>
        <w:t xml:space="preserve"> April, 2019, we can construct a simple binary tree representing the</w:t>
      </w:r>
      <w:r w:rsidR="00871A41">
        <w:rPr>
          <w:rFonts w:ascii="CMCSC10" w:hAnsi="CMCSC10"/>
          <w:sz w:val="36"/>
          <w:szCs w:val="36"/>
        </w:rPr>
        <w:t xml:space="preserve"> values and then implement the</w:t>
      </w:r>
      <w:r>
        <w:rPr>
          <w:rFonts w:ascii="CMCSC10" w:hAnsi="CMCSC10"/>
          <w:sz w:val="36"/>
          <w:szCs w:val="36"/>
        </w:rPr>
        <w:t xml:space="preserve"> Binomial Option Pricing Model:</w:t>
      </w:r>
    </w:p>
    <w:p w14:paraId="01F5766B" w14:textId="27982BB8" w:rsidR="001E28A3" w:rsidRPr="001E28A3" w:rsidRDefault="001E28A3" w:rsidP="001E28A3">
      <w:pPr>
        <w:ind w:left="720"/>
        <w:rPr>
          <w:rFonts w:ascii="CMCSC10" w:hAnsi="CMCSC10"/>
          <w:sz w:val="36"/>
          <w:szCs w:val="36"/>
        </w:rPr>
      </w:pPr>
      <w:r>
        <w:rPr>
          <w:noProof/>
          <w:sz w:val="36"/>
          <w:szCs w:val="36"/>
        </w:rPr>
        <w:lastRenderedPageBreak/>
        <w:drawing>
          <wp:inline distT="0" distB="0" distL="0" distR="0" wp14:anchorId="1D559B5C" wp14:editId="0C6650CA">
            <wp:extent cx="4527550" cy="2547620"/>
            <wp:effectExtent l="38100" t="0" r="254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14:paraId="63DAF15D" w14:textId="39F23211" w:rsidR="001E2C76" w:rsidRPr="004623D3" w:rsidRDefault="004623D3">
      <w:pPr>
        <w:rPr>
          <w:rFonts w:ascii="CMCSC10" w:hAnsi="CMCSC10"/>
          <w:sz w:val="36"/>
          <w:szCs w:val="36"/>
        </w:rPr>
      </w:pPr>
      <w:r w:rsidRPr="004623D3">
        <w:rPr>
          <w:rFonts w:ascii="CMCSC10" w:hAnsi="CMCSC10"/>
          <w:sz w:val="36"/>
          <w:szCs w:val="36"/>
        </w:rPr>
        <w:tab/>
        <w:t>The</w:t>
      </w:r>
      <w:r>
        <w:rPr>
          <w:rFonts w:ascii="CMCSC10" w:hAnsi="CMCSC10"/>
          <w:sz w:val="36"/>
          <w:szCs w:val="36"/>
        </w:rPr>
        <w:t xml:space="preserve"> Theoretical </w:t>
      </w:r>
      <w:r w:rsidR="00E02BF6">
        <w:rPr>
          <w:rFonts w:ascii="CMCSC10" w:hAnsi="CMCSC10"/>
          <w:sz w:val="36"/>
          <w:szCs w:val="36"/>
        </w:rPr>
        <w:t>Option Value obtained from this is 166.15 INR, which is quite close to the actual value of 167.95. However, this is not always the case</w:t>
      </w:r>
      <w:r w:rsidR="00910BC2">
        <w:rPr>
          <w:rFonts w:ascii="CMCSC10" w:hAnsi="CMCSC10"/>
          <w:sz w:val="36"/>
          <w:szCs w:val="36"/>
        </w:rPr>
        <w:t xml:space="preserve"> as the actual option prices are determined in the Open Market, which is subject to change</w:t>
      </w:r>
      <w:r w:rsidR="00673912">
        <w:rPr>
          <w:rFonts w:ascii="CMCSC10" w:hAnsi="CMCSC10"/>
          <w:sz w:val="36"/>
          <w:szCs w:val="36"/>
        </w:rPr>
        <w:t xml:space="preserve"> and the values can differ by quite a margin.</w:t>
      </w:r>
    </w:p>
    <w:p w14:paraId="768D17BA" w14:textId="77777777" w:rsidR="001E2C76" w:rsidRDefault="001E2C76">
      <w:pPr>
        <w:rPr>
          <w:sz w:val="36"/>
          <w:szCs w:val="36"/>
        </w:rPr>
      </w:pPr>
    </w:p>
    <w:p w14:paraId="25C6F249" w14:textId="0DF141E7" w:rsidR="000F77CB" w:rsidRDefault="00763016">
      <w:pPr>
        <w:rPr>
          <w:rFonts w:ascii="CMCSC10" w:hAnsi="CMCSC10"/>
          <w:b/>
          <w:bCs/>
          <w:color w:val="1481AB" w:themeColor="accent1" w:themeShade="BF"/>
          <w:sz w:val="40"/>
          <w:szCs w:val="40"/>
        </w:rPr>
      </w:pPr>
      <w:r>
        <w:rPr>
          <w:rFonts w:ascii="CMCSC10" w:hAnsi="CMCSC10"/>
          <w:b/>
          <w:bCs/>
          <w:color w:val="1481AB" w:themeColor="accent1" w:themeShade="BF"/>
          <w:sz w:val="40"/>
          <w:szCs w:val="40"/>
        </w:rPr>
        <w:t>Observation</w:t>
      </w:r>
      <w:r w:rsidR="00693FE4">
        <w:rPr>
          <w:rFonts w:ascii="CMCSC10" w:hAnsi="CMCSC10"/>
          <w:b/>
          <w:bCs/>
          <w:color w:val="1481AB" w:themeColor="accent1" w:themeShade="BF"/>
          <w:sz w:val="40"/>
          <w:szCs w:val="40"/>
        </w:rPr>
        <w:t>s</w:t>
      </w:r>
      <w:r>
        <w:rPr>
          <w:rFonts w:ascii="CMCSC10" w:hAnsi="CMCSC10"/>
          <w:b/>
          <w:bCs/>
          <w:color w:val="1481AB" w:themeColor="accent1" w:themeShade="BF"/>
          <w:sz w:val="40"/>
          <w:szCs w:val="40"/>
        </w:rPr>
        <w:t>:</w:t>
      </w:r>
    </w:p>
    <w:p w14:paraId="540E18AC" w14:textId="4DA69E96" w:rsidR="000F77CB" w:rsidRPr="000F77CB" w:rsidRDefault="000F77CB" w:rsidP="000F77CB">
      <w:pPr>
        <w:pStyle w:val="ListParagraph"/>
        <w:numPr>
          <w:ilvl w:val="0"/>
          <w:numId w:val="11"/>
        </w:numPr>
        <w:rPr>
          <w:color w:val="1C6194" w:themeColor="accent2" w:themeShade="BF"/>
          <w:sz w:val="36"/>
          <w:szCs w:val="36"/>
        </w:rPr>
      </w:pPr>
      <w:r>
        <w:rPr>
          <w:rFonts w:ascii="CMCSC10" w:hAnsi="CMCSC10"/>
          <w:sz w:val="36"/>
          <w:szCs w:val="36"/>
        </w:rPr>
        <w:t xml:space="preserve">Although the values calculated don’t come out to be equal to the actual option values, they go a long way in helping us analyse the characteristics of the options. </w:t>
      </w:r>
    </w:p>
    <w:p w14:paraId="0C1ECC3E" w14:textId="2A9EA487" w:rsidR="000F77CB" w:rsidRPr="000F77CB" w:rsidRDefault="000F77CB" w:rsidP="000F77CB">
      <w:pPr>
        <w:pStyle w:val="ListParagraph"/>
        <w:numPr>
          <w:ilvl w:val="0"/>
          <w:numId w:val="11"/>
        </w:numPr>
        <w:rPr>
          <w:color w:val="1C6194" w:themeColor="accent2" w:themeShade="BF"/>
          <w:sz w:val="36"/>
          <w:szCs w:val="36"/>
        </w:rPr>
      </w:pPr>
      <w:r>
        <w:rPr>
          <w:rFonts w:ascii="CMCSC10" w:hAnsi="CMCSC10"/>
          <w:sz w:val="36"/>
          <w:szCs w:val="36"/>
        </w:rPr>
        <w:t>For example, the trends</w:t>
      </w:r>
      <w:r w:rsidR="00773A80">
        <w:rPr>
          <w:rFonts w:ascii="CMCSC10" w:hAnsi="CMCSC10"/>
          <w:sz w:val="36"/>
          <w:szCs w:val="36"/>
        </w:rPr>
        <w:t xml:space="preserve"> (as seen from the excel column)</w:t>
      </w:r>
      <w:r>
        <w:rPr>
          <w:rFonts w:ascii="CMCSC10" w:hAnsi="CMCSC10"/>
          <w:sz w:val="36"/>
          <w:szCs w:val="36"/>
        </w:rPr>
        <w:t xml:space="preserve"> are very similar to the actual trends</w:t>
      </w:r>
      <w:r w:rsidR="00773A80">
        <w:rPr>
          <w:rFonts w:ascii="CMCSC10" w:hAnsi="CMCSC10"/>
          <w:sz w:val="36"/>
          <w:szCs w:val="36"/>
        </w:rPr>
        <w:t>.</w:t>
      </w:r>
    </w:p>
    <w:p w14:paraId="32B3491B" w14:textId="3B7088DF" w:rsidR="00202CE5" w:rsidRPr="005E57C1" w:rsidRDefault="00B7432F" w:rsidP="005E57C1">
      <w:pPr>
        <w:pStyle w:val="ListParagraph"/>
        <w:numPr>
          <w:ilvl w:val="0"/>
          <w:numId w:val="11"/>
        </w:numPr>
        <w:rPr>
          <w:color w:val="1C6194" w:themeColor="accent2" w:themeShade="BF"/>
          <w:sz w:val="36"/>
          <w:szCs w:val="36"/>
        </w:rPr>
      </w:pPr>
      <w:r>
        <w:rPr>
          <w:rFonts w:ascii="CMCSC10" w:hAnsi="CMCSC10"/>
          <w:sz w:val="36"/>
          <w:szCs w:val="36"/>
        </w:rPr>
        <w:t>The above calculated value never fully converge into the actual trading option values as the latter are set with various current market scenarios kept in mind which are not available to us.</w:t>
      </w:r>
    </w:p>
    <w:p w14:paraId="673F9E76" w14:textId="77777777" w:rsidR="005E57C1" w:rsidRPr="005E57C1" w:rsidRDefault="005E57C1" w:rsidP="005E57C1">
      <w:pPr>
        <w:pStyle w:val="ListParagraph"/>
        <w:ind w:left="360"/>
        <w:rPr>
          <w:color w:val="1C6194" w:themeColor="accent2" w:themeShade="BF"/>
          <w:sz w:val="36"/>
          <w:szCs w:val="36"/>
        </w:rPr>
      </w:pPr>
    </w:p>
    <w:p w14:paraId="542D1458" w14:textId="77777777" w:rsidR="00E02BF6" w:rsidRDefault="00E02BF6" w:rsidP="00673912">
      <w:pPr>
        <w:rPr>
          <w:rFonts w:ascii="CMCSC10" w:hAnsi="CMCSC10"/>
          <w:b/>
          <w:bCs/>
          <w:color w:val="1481AB" w:themeColor="accent1" w:themeShade="BF"/>
          <w:sz w:val="40"/>
          <w:szCs w:val="40"/>
          <w:u w:val="single"/>
        </w:rPr>
      </w:pPr>
    </w:p>
    <w:p w14:paraId="26597AF4" w14:textId="613F4AFF" w:rsidR="00993564" w:rsidRDefault="00993564" w:rsidP="00993564">
      <w:pPr>
        <w:jc w:val="center"/>
        <w:rPr>
          <w:rFonts w:ascii="CMCSC10" w:hAnsi="CMCSC10"/>
          <w:b/>
          <w:bCs/>
          <w:color w:val="1481AB" w:themeColor="accent1" w:themeShade="BF"/>
          <w:sz w:val="40"/>
          <w:szCs w:val="40"/>
          <w:u w:val="single"/>
        </w:rPr>
      </w:pPr>
      <w:r w:rsidRPr="0082070C">
        <w:rPr>
          <w:rFonts w:ascii="CMCSC10" w:hAnsi="CMCSC10"/>
          <w:b/>
          <w:bCs/>
          <w:color w:val="1481AB" w:themeColor="accent1" w:themeShade="BF"/>
          <w:sz w:val="40"/>
          <w:szCs w:val="40"/>
          <w:u w:val="single"/>
        </w:rPr>
        <w:lastRenderedPageBreak/>
        <w:t xml:space="preserve">Section </w:t>
      </w:r>
      <w:r>
        <w:rPr>
          <w:rFonts w:ascii="CMCSC10" w:hAnsi="CMCSC10"/>
          <w:b/>
          <w:bCs/>
          <w:color w:val="1481AB" w:themeColor="accent1" w:themeShade="BF"/>
          <w:sz w:val="40"/>
          <w:szCs w:val="40"/>
          <w:u w:val="single"/>
        </w:rPr>
        <w:t>6</w:t>
      </w:r>
    </w:p>
    <w:p w14:paraId="0C147FA4" w14:textId="097A9BD5" w:rsidR="00F03FB8" w:rsidRDefault="00F03FB8" w:rsidP="00F03FB8">
      <w:pPr>
        <w:rPr>
          <w:rFonts w:ascii="CMCSC10" w:hAnsi="CMCSC10"/>
          <w:b/>
          <w:bCs/>
          <w:color w:val="1481AB" w:themeColor="accent1" w:themeShade="BF"/>
          <w:sz w:val="40"/>
          <w:szCs w:val="40"/>
        </w:rPr>
      </w:pPr>
      <w:r>
        <w:rPr>
          <w:rFonts w:ascii="CMCSC10" w:hAnsi="CMCSC10"/>
          <w:b/>
          <w:bCs/>
          <w:color w:val="1481AB" w:themeColor="accent1" w:themeShade="BF"/>
          <w:sz w:val="40"/>
          <w:szCs w:val="40"/>
        </w:rPr>
        <w:t>Conclusion</w:t>
      </w:r>
    </w:p>
    <w:p w14:paraId="3FB8E4CA" w14:textId="54957F83" w:rsidR="005E57C1" w:rsidRDefault="005E57C1" w:rsidP="005E57C1">
      <w:pPr>
        <w:ind w:firstLine="720"/>
        <w:rPr>
          <w:rFonts w:ascii="CMCSC10" w:hAnsi="CMCSC10"/>
          <w:sz w:val="36"/>
          <w:szCs w:val="36"/>
        </w:rPr>
      </w:pPr>
      <w:r>
        <w:rPr>
          <w:rFonts w:ascii="CMCSC10" w:hAnsi="CMCSC10"/>
          <w:sz w:val="36"/>
          <w:szCs w:val="36"/>
        </w:rPr>
        <w:t>Nestl</w:t>
      </w:r>
      <w:r>
        <w:rPr>
          <w:rFonts w:ascii="CMCSC10" w:hAnsi="CMCSC10" w:hint="eastAsia"/>
          <w:sz w:val="36"/>
          <w:szCs w:val="36"/>
        </w:rPr>
        <w:t>é</w:t>
      </w:r>
      <w:r>
        <w:rPr>
          <w:rFonts w:ascii="CMCSC10" w:hAnsi="CMCSC10"/>
          <w:sz w:val="36"/>
          <w:szCs w:val="36"/>
        </w:rPr>
        <w:t xml:space="preserve"> India L</w:t>
      </w:r>
      <w:r w:rsidR="00476181">
        <w:rPr>
          <w:rFonts w:ascii="CMCSC10" w:hAnsi="CMCSC10"/>
          <w:sz w:val="36"/>
          <w:szCs w:val="36"/>
        </w:rPr>
        <w:t>td</w:t>
      </w:r>
      <w:r>
        <w:rPr>
          <w:rFonts w:ascii="CMCSC10" w:hAnsi="CMCSC10"/>
          <w:sz w:val="36"/>
          <w:szCs w:val="36"/>
        </w:rPr>
        <w:t xml:space="preserve">. </w:t>
      </w:r>
      <w:r w:rsidR="00476181">
        <w:rPr>
          <w:rFonts w:ascii="CMCSC10" w:hAnsi="CMCSC10"/>
          <w:sz w:val="36"/>
          <w:szCs w:val="36"/>
        </w:rPr>
        <w:t>h</w:t>
      </w:r>
      <w:r>
        <w:rPr>
          <w:rFonts w:ascii="CMCSC10" w:hAnsi="CMCSC10"/>
          <w:sz w:val="36"/>
          <w:szCs w:val="36"/>
        </w:rPr>
        <w:t xml:space="preserve">as a come a long way since it began operations in India in 1956. It is one of the topmost players in the country’s Food Processing Industry and provides value to </w:t>
      </w:r>
      <w:r w:rsidR="00BD7AA0">
        <w:rPr>
          <w:rFonts w:ascii="CMCSC10" w:hAnsi="CMCSC10"/>
          <w:sz w:val="36"/>
          <w:szCs w:val="36"/>
        </w:rPr>
        <w:t xml:space="preserve">a myriad of consumers. </w:t>
      </w:r>
    </w:p>
    <w:p w14:paraId="258C9002" w14:textId="62A67ECA" w:rsidR="00BD7AA0" w:rsidRDefault="00BD7AA0" w:rsidP="005E57C1">
      <w:pPr>
        <w:ind w:firstLine="720"/>
        <w:rPr>
          <w:rFonts w:ascii="CMCSC10" w:hAnsi="CMCSC10"/>
          <w:sz w:val="36"/>
          <w:szCs w:val="36"/>
        </w:rPr>
      </w:pPr>
      <w:r>
        <w:rPr>
          <w:rFonts w:ascii="CMCSC10" w:hAnsi="CMCSC10"/>
          <w:sz w:val="36"/>
          <w:szCs w:val="36"/>
        </w:rPr>
        <w:t>Nestl</w:t>
      </w:r>
      <w:r>
        <w:rPr>
          <w:rFonts w:ascii="CMCSC10" w:hAnsi="CMCSC10" w:hint="eastAsia"/>
          <w:sz w:val="36"/>
          <w:szCs w:val="36"/>
        </w:rPr>
        <w:t>é</w:t>
      </w:r>
      <w:r>
        <w:rPr>
          <w:rFonts w:ascii="CMCSC10" w:hAnsi="CMCSC10"/>
          <w:sz w:val="36"/>
          <w:szCs w:val="36"/>
        </w:rPr>
        <w:t>’s Equity Shares</w:t>
      </w:r>
      <w:r w:rsidR="00B55916">
        <w:rPr>
          <w:rFonts w:ascii="CMCSC10" w:hAnsi="CMCSC10"/>
          <w:sz w:val="36"/>
          <w:szCs w:val="36"/>
        </w:rPr>
        <w:t xml:space="preserve"> have shown continuous growth and have been giving positive returns after adjusting risk for all three of Daily, Weekly and Monthly frequencies.  Quality returns from Nestl</w:t>
      </w:r>
      <w:r w:rsidR="00B55916">
        <w:rPr>
          <w:rFonts w:ascii="CMCSC10" w:hAnsi="CMCSC10" w:hint="eastAsia"/>
          <w:sz w:val="36"/>
          <w:szCs w:val="36"/>
        </w:rPr>
        <w:t>é</w:t>
      </w:r>
      <w:r w:rsidR="00B55916">
        <w:rPr>
          <w:rFonts w:ascii="CMCSC10" w:hAnsi="CMCSC10"/>
          <w:sz w:val="36"/>
          <w:szCs w:val="36"/>
        </w:rPr>
        <w:t xml:space="preserve"> make it a very attractive choice for investors in both Equity and Futures.</w:t>
      </w:r>
    </w:p>
    <w:p w14:paraId="24500DD6" w14:textId="09438011" w:rsidR="001C36B9" w:rsidRDefault="00B55916" w:rsidP="00042D00">
      <w:pPr>
        <w:ind w:firstLine="720"/>
        <w:rPr>
          <w:rFonts w:ascii="CMCSC10" w:hAnsi="CMCSC10"/>
          <w:sz w:val="36"/>
          <w:szCs w:val="36"/>
        </w:rPr>
      </w:pPr>
      <w:r>
        <w:rPr>
          <w:rFonts w:ascii="CMCSC10" w:hAnsi="CMCSC10"/>
          <w:sz w:val="36"/>
          <w:szCs w:val="36"/>
        </w:rPr>
        <w:t>From the above analysis, it is clear that investing on a monthly basis in Far Month Future Contracts provides the best return for the same amount of risk. Nestl</w:t>
      </w:r>
      <w:r>
        <w:rPr>
          <w:rFonts w:ascii="CMCSC10" w:hAnsi="CMCSC10" w:hint="eastAsia"/>
          <w:sz w:val="36"/>
          <w:szCs w:val="36"/>
        </w:rPr>
        <w:t>é</w:t>
      </w:r>
      <w:r>
        <w:rPr>
          <w:rFonts w:ascii="CMCSC10" w:hAnsi="CMCSC10"/>
          <w:sz w:val="36"/>
          <w:szCs w:val="36"/>
        </w:rPr>
        <w:t>’s performance in the spot market has also been appreciable, In the last 1 year, their stock prices have gone from around 10,900 INR to 17,400 INR</w:t>
      </w:r>
      <w:r w:rsidR="00BA6A67">
        <w:rPr>
          <w:rFonts w:ascii="CMCSC10" w:hAnsi="CMCSC10"/>
          <w:sz w:val="36"/>
          <w:szCs w:val="36"/>
        </w:rPr>
        <w:t>, having also reached the figure 17,925 INR, a new high</w:t>
      </w:r>
      <w:r>
        <w:rPr>
          <w:rFonts w:ascii="CMCSC10" w:hAnsi="CMCSC10"/>
          <w:sz w:val="36"/>
          <w:szCs w:val="36"/>
        </w:rPr>
        <w:t>. The company is still expanding in India and is undoubtedly profitable.</w:t>
      </w:r>
      <w:r w:rsidR="00BA6A67">
        <w:rPr>
          <w:rFonts w:ascii="CMCSC10" w:hAnsi="CMCSC10"/>
          <w:sz w:val="36"/>
          <w:szCs w:val="36"/>
        </w:rPr>
        <w:t xml:space="preserve"> Even after the immediate impact of the COVID-19 Outbreak, their stock bounced back very well. They have already started to prepare for the upcoming post-pandemic “new normal” for India.</w:t>
      </w:r>
      <w:r w:rsidR="004727ED">
        <w:rPr>
          <w:rFonts w:ascii="CMCSC10" w:hAnsi="CMCSC10"/>
          <w:sz w:val="36"/>
          <w:szCs w:val="36"/>
        </w:rPr>
        <w:t xml:space="preserve"> </w:t>
      </w:r>
      <w:r w:rsidR="00BA6A67">
        <w:rPr>
          <w:rFonts w:ascii="CMCSC10" w:hAnsi="CMCSC10"/>
          <w:sz w:val="36"/>
          <w:szCs w:val="36"/>
        </w:rPr>
        <w:t>Overall, it can be safely said that Nestl</w:t>
      </w:r>
      <w:r w:rsidR="00BA6A67">
        <w:rPr>
          <w:rFonts w:ascii="CMCSC10" w:hAnsi="CMCSC10" w:hint="eastAsia"/>
          <w:sz w:val="36"/>
          <w:szCs w:val="36"/>
        </w:rPr>
        <w:t>é</w:t>
      </w:r>
      <w:r w:rsidR="00BA6A67">
        <w:rPr>
          <w:rFonts w:ascii="CMCSC10" w:hAnsi="CMCSC10"/>
          <w:sz w:val="36"/>
          <w:szCs w:val="36"/>
        </w:rPr>
        <w:t xml:space="preserve"> is a very lucrative investment option for investors of all kinds. </w:t>
      </w:r>
    </w:p>
    <w:p w14:paraId="7D94B60F" w14:textId="77777777" w:rsidR="00042D00" w:rsidRPr="00042D00" w:rsidRDefault="00042D00" w:rsidP="00042D00">
      <w:pPr>
        <w:ind w:firstLine="720"/>
        <w:rPr>
          <w:rFonts w:ascii="CMCSC10" w:hAnsi="CMCSC10"/>
          <w:sz w:val="36"/>
          <w:szCs w:val="36"/>
        </w:rPr>
      </w:pPr>
    </w:p>
    <w:p w14:paraId="30E95BD6" w14:textId="77777777" w:rsidR="00E02BF6" w:rsidRDefault="00E02BF6" w:rsidP="00673912">
      <w:pPr>
        <w:rPr>
          <w:rFonts w:ascii="CMCSC10" w:hAnsi="CMCSC10"/>
          <w:b/>
          <w:bCs/>
          <w:color w:val="1481AB" w:themeColor="accent1" w:themeShade="BF"/>
          <w:sz w:val="40"/>
          <w:szCs w:val="40"/>
          <w:u w:val="single"/>
        </w:rPr>
      </w:pPr>
    </w:p>
    <w:p w14:paraId="6123389C" w14:textId="3A88E5EC" w:rsidR="001C36B9" w:rsidRDefault="00993564" w:rsidP="001C36B9">
      <w:pPr>
        <w:jc w:val="center"/>
        <w:rPr>
          <w:rFonts w:ascii="CMCSC10" w:hAnsi="CMCSC10"/>
          <w:b/>
          <w:bCs/>
          <w:color w:val="1481AB" w:themeColor="accent1" w:themeShade="BF"/>
          <w:sz w:val="40"/>
          <w:szCs w:val="40"/>
          <w:u w:val="single"/>
        </w:rPr>
      </w:pPr>
      <w:r w:rsidRPr="0082070C">
        <w:rPr>
          <w:rFonts w:ascii="CMCSC10" w:hAnsi="CMCSC10"/>
          <w:b/>
          <w:bCs/>
          <w:color w:val="1481AB" w:themeColor="accent1" w:themeShade="BF"/>
          <w:sz w:val="40"/>
          <w:szCs w:val="40"/>
          <w:u w:val="single"/>
        </w:rPr>
        <w:lastRenderedPageBreak/>
        <w:t xml:space="preserve">Section </w:t>
      </w:r>
      <w:r>
        <w:rPr>
          <w:rFonts w:ascii="CMCSC10" w:hAnsi="CMCSC10"/>
          <w:b/>
          <w:bCs/>
          <w:color w:val="1481AB" w:themeColor="accent1" w:themeShade="BF"/>
          <w:sz w:val="40"/>
          <w:szCs w:val="40"/>
          <w:u w:val="single"/>
        </w:rPr>
        <w:t>7</w:t>
      </w:r>
    </w:p>
    <w:sdt>
      <w:sdtPr>
        <w:rPr>
          <w:rFonts w:asciiTheme="minorHAnsi" w:eastAsiaTheme="minorEastAsia" w:hAnsiTheme="minorHAnsi" w:cstheme="minorBidi"/>
          <w:color w:val="auto"/>
          <w:sz w:val="21"/>
          <w:szCs w:val="21"/>
        </w:rPr>
        <w:id w:val="1413276391"/>
        <w:docPartObj>
          <w:docPartGallery w:val="Bibliographies"/>
          <w:docPartUnique/>
        </w:docPartObj>
      </w:sdtPr>
      <w:sdtContent>
        <w:p w14:paraId="1A7CA7FB" w14:textId="5A632F68" w:rsidR="004D6757" w:rsidRPr="00BA6A67" w:rsidRDefault="004D6757">
          <w:pPr>
            <w:pStyle w:val="Heading1"/>
            <w:rPr>
              <w:sz w:val="56"/>
              <w:szCs w:val="56"/>
            </w:rPr>
          </w:pPr>
          <w:r w:rsidRPr="00BA6A67">
            <w:rPr>
              <w:sz w:val="56"/>
              <w:szCs w:val="56"/>
            </w:rPr>
            <w:t>References</w:t>
          </w:r>
        </w:p>
        <w:sdt>
          <w:sdtPr>
            <w:id w:val="-573587230"/>
            <w:bibliography/>
          </w:sdtPr>
          <w:sdtContent>
            <w:p w14:paraId="616A0F31" w14:textId="77777777" w:rsidR="004D6757" w:rsidRPr="00BA6A67" w:rsidRDefault="004D6757" w:rsidP="004D6757">
              <w:pPr>
                <w:pStyle w:val="Bibliography"/>
                <w:ind w:left="720" w:hanging="720"/>
                <w:rPr>
                  <w:noProof/>
                  <w:sz w:val="36"/>
                  <w:szCs w:val="36"/>
                </w:rPr>
              </w:pPr>
              <w:r w:rsidRPr="00BA6A67">
                <w:rPr>
                  <w:sz w:val="28"/>
                  <w:szCs w:val="28"/>
                </w:rPr>
                <w:fldChar w:fldCharType="begin"/>
              </w:r>
              <w:r w:rsidRPr="00BA6A67">
                <w:rPr>
                  <w:sz w:val="28"/>
                  <w:szCs w:val="28"/>
                </w:rPr>
                <w:instrText xml:space="preserve"> BIBLIOGRAPHY </w:instrText>
              </w:r>
              <w:r w:rsidRPr="00BA6A67">
                <w:rPr>
                  <w:sz w:val="28"/>
                  <w:szCs w:val="28"/>
                </w:rPr>
                <w:fldChar w:fldCharType="separate"/>
              </w:r>
              <w:r w:rsidRPr="00BA6A67">
                <w:rPr>
                  <w:noProof/>
                  <w:sz w:val="28"/>
                  <w:szCs w:val="28"/>
                </w:rPr>
                <w:t xml:space="preserve">CME Group. (n.d.). </w:t>
              </w:r>
              <w:r w:rsidRPr="00BA6A67">
                <w:rPr>
                  <w:i/>
                  <w:iCs/>
                  <w:noProof/>
                  <w:sz w:val="28"/>
                  <w:szCs w:val="28"/>
                </w:rPr>
                <w:t>What is Contango and Backwardation</w:t>
              </w:r>
              <w:r w:rsidRPr="00BA6A67">
                <w:rPr>
                  <w:noProof/>
                  <w:sz w:val="28"/>
                  <w:szCs w:val="28"/>
                </w:rPr>
                <w:t>. Retrieved from CME Group: https://www.cmegroup.com/education/courses/introduction-to-ferrous-metals/what-is-contango-and-backwardation.html</w:t>
              </w:r>
            </w:p>
            <w:p w14:paraId="3CD5A77D" w14:textId="77777777" w:rsidR="004D6757" w:rsidRPr="00BA6A67" w:rsidRDefault="004D6757" w:rsidP="004D6757">
              <w:pPr>
                <w:pStyle w:val="Bibliography"/>
                <w:ind w:left="720" w:hanging="720"/>
                <w:rPr>
                  <w:noProof/>
                  <w:sz w:val="28"/>
                  <w:szCs w:val="28"/>
                </w:rPr>
              </w:pPr>
              <w:r w:rsidRPr="00BA6A67">
                <w:rPr>
                  <w:noProof/>
                  <w:sz w:val="28"/>
                  <w:szCs w:val="28"/>
                </w:rPr>
                <w:t xml:space="preserve">Harpe, D. R. (2019, May 14). </w:t>
              </w:r>
              <w:r w:rsidRPr="00BA6A67">
                <w:rPr>
                  <w:i/>
                  <w:iCs/>
                  <w:noProof/>
                  <w:sz w:val="28"/>
                  <w:szCs w:val="28"/>
                </w:rPr>
                <w:t>Contango &amp; Backwardation: What's the difference?</w:t>
              </w:r>
              <w:r w:rsidRPr="00BA6A67">
                <w:rPr>
                  <w:noProof/>
                  <w:sz w:val="28"/>
                  <w:szCs w:val="28"/>
                </w:rPr>
                <w:t xml:space="preserve"> Retrieved from Investopedia: https://www.investopedia.com/articles/07/contango_backwardation.asp</w:t>
              </w:r>
            </w:p>
            <w:p w14:paraId="6B873455" w14:textId="77777777" w:rsidR="004D6757" w:rsidRPr="00BA6A67" w:rsidRDefault="004D6757" w:rsidP="004D6757">
              <w:pPr>
                <w:pStyle w:val="Bibliography"/>
                <w:ind w:left="720" w:hanging="720"/>
                <w:rPr>
                  <w:noProof/>
                  <w:sz w:val="28"/>
                  <w:szCs w:val="28"/>
                </w:rPr>
              </w:pPr>
              <w:r w:rsidRPr="00BA6A67">
                <w:rPr>
                  <w:noProof/>
                  <w:sz w:val="28"/>
                  <w:szCs w:val="28"/>
                </w:rPr>
                <w:t xml:space="preserve">Luenendonk, M. (2015, September 3). </w:t>
              </w:r>
              <w:r w:rsidRPr="00BA6A67">
                <w:rPr>
                  <w:i/>
                  <w:iCs/>
                  <w:noProof/>
                  <w:sz w:val="28"/>
                  <w:szCs w:val="28"/>
                </w:rPr>
                <w:t>The History of Neslé</w:t>
              </w:r>
              <w:r w:rsidRPr="00BA6A67">
                <w:rPr>
                  <w:noProof/>
                  <w:sz w:val="28"/>
                  <w:szCs w:val="28"/>
                </w:rPr>
                <w:t>. Retrieved from Cleverism: https://www.cleverism.com/the-history-of-nestle/</w:t>
              </w:r>
            </w:p>
            <w:p w14:paraId="3CEF9D7C" w14:textId="77777777" w:rsidR="004D6757" w:rsidRPr="00BA6A67" w:rsidRDefault="004D6757" w:rsidP="004D6757">
              <w:pPr>
                <w:pStyle w:val="Bibliography"/>
                <w:ind w:left="720" w:hanging="720"/>
                <w:rPr>
                  <w:noProof/>
                  <w:sz w:val="28"/>
                  <w:szCs w:val="28"/>
                </w:rPr>
              </w:pPr>
              <w:r w:rsidRPr="00BA6A67">
                <w:rPr>
                  <w:noProof/>
                  <w:sz w:val="28"/>
                  <w:szCs w:val="28"/>
                </w:rPr>
                <w:t xml:space="preserve">Nestlé. (n.d.). </w:t>
              </w:r>
              <w:r w:rsidRPr="00BA6A67">
                <w:rPr>
                  <w:i/>
                  <w:iCs/>
                  <w:noProof/>
                  <w:sz w:val="28"/>
                  <w:szCs w:val="28"/>
                </w:rPr>
                <w:t>Logo Evolution</w:t>
              </w:r>
              <w:r w:rsidRPr="00BA6A67">
                <w:rPr>
                  <w:noProof/>
                  <w:sz w:val="28"/>
                  <w:szCs w:val="28"/>
                </w:rPr>
                <w:t>. Retrieved from Nestlé: https://www.nestle.com/aboutus/history/logo-evolution</w:t>
              </w:r>
            </w:p>
            <w:p w14:paraId="4F797A95" w14:textId="77777777" w:rsidR="004D6757" w:rsidRPr="00BA6A67" w:rsidRDefault="004D6757" w:rsidP="004D6757">
              <w:pPr>
                <w:pStyle w:val="Bibliography"/>
                <w:ind w:left="720" w:hanging="720"/>
                <w:rPr>
                  <w:noProof/>
                  <w:sz w:val="28"/>
                  <w:szCs w:val="28"/>
                </w:rPr>
              </w:pPr>
              <w:r w:rsidRPr="00BA6A67">
                <w:rPr>
                  <w:noProof/>
                  <w:sz w:val="28"/>
                  <w:szCs w:val="28"/>
                </w:rPr>
                <w:t xml:space="preserve">Nestlé. (n.d.). </w:t>
              </w:r>
              <w:r w:rsidRPr="00BA6A67">
                <w:rPr>
                  <w:i/>
                  <w:iCs/>
                  <w:noProof/>
                  <w:sz w:val="28"/>
                  <w:szCs w:val="28"/>
                </w:rPr>
                <w:t>Nestlé Company History</w:t>
              </w:r>
              <w:r w:rsidRPr="00BA6A67">
                <w:rPr>
                  <w:noProof/>
                  <w:sz w:val="28"/>
                  <w:szCs w:val="28"/>
                </w:rPr>
                <w:t>. Retrieved from Nestle: https://www.nestle.com/aboutus/history/nestle-company-history</w:t>
              </w:r>
            </w:p>
            <w:p w14:paraId="02608C7C" w14:textId="77777777" w:rsidR="004D6757" w:rsidRPr="00BA6A67" w:rsidRDefault="004D6757" w:rsidP="004D6757">
              <w:pPr>
                <w:pStyle w:val="Bibliography"/>
                <w:ind w:left="720" w:hanging="720"/>
                <w:rPr>
                  <w:noProof/>
                  <w:sz w:val="28"/>
                  <w:szCs w:val="28"/>
                </w:rPr>
              </w:pPr>
              <w:r w:rsidRPr="00BA6A67">
                <w:rPr>
                  <w:noProof/>
                  <w:sz w:val="28"/>
                  <w:szCs w:val="28"/>
                </w:rPr>
                <w:t xml:space="preserve">Subjecto. (n.d.). </w:t>
              </w:r>
              <w:r w:rsidRPr="00BA6A67">
                <w:rPr>
                  <w:i/>
                  <w:iCs/>
                  <w:noProof/>
                  <w:sz w:val="28"/>
                  <w:szCs w:val="28"/>
                </w:rPr>
                <w:t>Introduction and Company Profile of Nestlé</w:t>
              </w:r>
              <w:r w:rsidRPr="00BA6A67">
                <w:rPr>
                  <w:noProof/>
                  <w:sz w:val="28"/>
                  <w:szCs w:val="28"/>
                </w:rPr>
                <w:t>. Retrieved from Subjecto: https://subjecto.com/introduction-and-company-profile-of-nestle</w:t>
              </w:r>
            </w:p>
            <w:p w14:paraId="4CFA292B" w14:textId="77777777" w:rsidR="004D6757" w:rsidRPr="00BA6A67" w:rsidRDefault="004D6757" w:rsidP="004D6757">
              <w:pPr>
                <w:pStyle w:val="Bibliography"/>
                <w:ind w:left="720" w:hanging="720"/>
                <w:rPr>
                  <w:noProof/>
                  <w:sz w:val="28"/>
                  <w:szCs w:val="28"/>
                </w:rPr>
              </w:pPr>
              <w:r w:rsidRPr="00BA6A67">
                <w:rPr>
                  <w:noProof/>
                  <w:sz w:val="28"/>
                  <w:szCs w:val="28"/>
                </w:rPr>
                <w:t xml:space="preserve">The CSR Journal. (2018, December 11). </w:t>
              </w:r>
              <w:r w:rsidRPr="00BA6A67">
                <w:rPr>
                  <w:i/>
                  <w:iCs/>
                  <w:noProof/>
                  <w:sz w:val="28"/>
                  <w:szCs w:val="28"/>
                </w:rPr>
                <w:t>CSR Report: Nestlé India spent above 2% of average net profits</w:t>
              </w:r>
              <w:r w:rsidRPr="00BA6A67">
                <w:rPr>
                  <w:noProof/>
                  <w:sz w:val="28"/>
                  <w:szCs w:val="28"/>
                </w:rPr>
                <w:t>. Retrieved from The CSR Journal: https://thecsrjournal.in/csr-report-nestle-india-spent-above-2-of-average-net-profits/</w:t>
              </w:r>
            </w:p>
            <w:p w14:paraId="3B4513C9" w14:textId="75F88715" w:rsidR="004D6757" w:rsidRDefault="004D6757" w:rsidP="004D6757">
              <w:r w:rsidRPr="00BA6A67">
                <w:rPr>
                  <w:b/>
                  <w:bCs/>
                  <w:noProof/>
                  <w:sz w:val="28"/>
                  <w:szCs w:val="28"/>
                </w:rPr>
                <w:fldChar w:fldCharType="end"/>
              </w:r>
            </w:p>
          </w:sdtContent>
        </w:sdt>
      </w:sdtContent>
    </w:sdt>
    <w:p w14:paraId="345420D7" w14:textId="77777777" w:rsidR="004D6757" w:rsidRPr="0082070C" w:rsidRDefault="004D6757" w:rsidP="00993564">
      <w:pPr>
        <w:jc w:val="center"/>
        <w:rPr>
          <w:rFonts w:ascii="CMCSC10" w:hAnsi="CMCSC10"/>
          <w:b/>
          <w:bCs/>
          <w:color w:val="1481AB" w:themeColor="accent1" w:themeShade="BF"/>
          <w:sz w:val="40"/>
          <w:szCs w:val="40"/>
          <w:u w:val="single"/>
        </w:rPr>
      </w:pPr>
    </w:p>
    <w:p w14:paraId="419DED05" w14:textId="629AAE3C" w:rsidR="00202CE5" w:rsidRDefault="00202CE5">
      <w:pPr>
        <w:rPr>
          <w:sz w:val="36"/>
          <w:szCs w:val="36"/>
        </w:rPr>
      </w:pPr>
    </w:p>
    <w:sectPr w:rsidR="00202CE5">
      <w:footerReference w:type="default" r:id="rId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0DF68" w14:textId="77777777" w:rsidR="00317A30" w:rsidRDefault="00317A30" w:rsidP="003171AC">
      <w:pPr>
        <w:spacing w:after="0" w:line="240" w:lineRule="auto"/>
      </w:pPr>
      <w:r>
        <w:separator/>
      </w:r>
    </w:p>
  </w:endnote>
  <w:endnote w:type="continuationSeparator" w:id="0">
    <w:p w14:paraId="000A2E64" w14:textId="77777777" w:rsidR="00317A30" w:rsidRDefault="00317A30" w:rsidP="00317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Tw Cen MT Condensed">
    <w:charset w:val="00"/>
    <w:family w:val="swiss"/>
    <w:pitch w:val="variable"/>
    <w:sig w:usb0="00000003" w:usb1="00000000" w:usb2="00000000" w:usb3="00000000" w:csb0="00000003" w:csb1="00000000"/>
  </w:font>
  <w:font w:name="CMCSC10">
    <w:altName w:val="Cambria"/>
    <w:panose1 w:val="00000000000000000000"/>
    <w:charset w:val="00"/>
    <w:family w:val="roman"/>
    <w:notTrueType/>
    <w:pitch w:val="default"/>
  </w:font>
  <w:font w:name="ADAM.CG PRO">
    <w:panose1 w:val="00000000000000000000"/>
    <w:charset w:val="00"/>
    <w:family w:val="moder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83754"/>
      <w:docPartObj>
        <w:docPartGallery w:val="Page Numbers (Bottom of Page)"/>
        <w:docPartUnique/>
      </w:docPartObj>
    </w:sdtPr>
    <w:sdtContent>
      <w:sdt>
        <w:sdtPr>
          <w:id w:val="-1705238520"/>
          <w:docPartObj>
            <w:docPartGallery w:val="Page Numbers (Top of Page)"/>
            <w:docPartUnique/>
          </w:docPartObj>
        </w:sdtPr>
        <w:sdtContent>
          <w:p w14:paraId="12B707AF" w14:textId="48FB8B02" w:rsidR="005E57C1" w:rsidRDefault="005E57C1">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A3056E5" w14:textId="77777777" w:rsidR="005E57C1" w:rsidRDefault="005E57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AB754" w14:textId="77777777" w:rsidR="00317A30" w:rsidRDefault="00317A30" w:rsidP="003171AC">
      <w:pPr>
        <w:spacing w:after="0" w:line="240" w:lineRule="auto"/>
      </w:pPr>
      <w:r>
        <w:separator/>
      </w:r>
    </w:p>
  </w:footnote>
  <w:footnote w:type="continuationSeparator" w:id="0">
    <w:p w14:paraId="01A4DC03" w14:textId="77777777" w:rsidR="00317A30" w:rsidRDefault="00317A30" w:rsidP="003171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15E9E"/>
    <w:multiLevelType w:val="hybridMultilevel"/>
    <w:tmpl w:val="27A2C80C"/>
    <w:lvl w:ilvl="0" w:tplc="40090001">
      <w:start w:val="1"/>
      <w:numFmt w:val="bullet"/>
      <w:lvlText w:val=""/>
      <w:lvlJc w:val="left"/>
      <w:pPr>
        <w:ind w:left="360" w:hanging="360"/>
      </w:pPr>
      <w:rPr>
        <w:rFonts w:ascii="Symbol" w:hAnsi="Symbol" w:cs="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cs="Wingdings" w:hint="default"/>
      </w:rPr>
    </w:lvl>
    <w:lvl w:ilvl="3" w:tplc="40090001" w:tentative="1">
      <w:start w:val="1"/>
      <w:numFmt w:val="bullet"/>
      <w:lvlText w:val=""/>
      <w:lvlJc w:val="left"/>
      <w:pPr>
        <w:ind w:left="2520" w:hanging="360"/>
      </w:pPr>
      <w:rPr>
        <w:rFonts w:ascii="Symbol" w:hAnsi="Symbol" w:cs="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cs="Wingdings" w:hint="default"/>
      </w:rPr>
    </w:lvl>
    <w:lvl w:ilvl="6" w:tplc="40090001" w:tentative="1">
      <w:start w:val="1"/>
      <w:numFmt w:val="bullet"/>
      <w:lvlText w:val=""/>
      <w:lvlJc w:val="left"/>
      <w:pPr>
        <w:ind w:left="4680" w:hanging="360"/>
      </w:pPr>
      <w:rPr>
        <w:rFonts w:ascii="Symbol" w:hAnsi="Symbol" w:cs="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095D616A"/>
    <w:multiLevelType w:val="multilevel"/>
    <w:tmpl w:val="F8021C6E"/>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0647641"/>
    <w:multiLevelType w:val="hybridMultilevel"/>
    <w:tmpl w:val="B13E417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B1C2525"/>
    <w:multiLevelType w:val="hybridMultilevel"/>
    <w:tmpl w:val="5524CF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1A046B"/>
    <w:multiLevelType w:val="multilevel"/>
    <w:tmpl w:val="3334E136"/>
    <w:lvl w:ilvl="0">
      <w:start w:val="1"/>
      <w:numFmt w:val="decimal"/>
      <w:lvlText w:val="%1"/>
      <w:lvlJc w:val="left"/>
      <w:pPr>
        <w:ind w:left="360" w:hanging="360"/>
      </w:pPr>
      <w:rPr>
        <w:rFonts w:hint="default"/>
      </w:rPr>
    </w:lvl>
    <w:lvl w:ilvl="1">
      <w:start w:val="1"/>
      <w:numFmt w:val="decimal"/>
      <w:lvlText w:val="%1.%2"/>
      <w:lvlJc w:val="left"/>
      <w:pPr>
        <w:ind w:left="806" w:hanging="360"/>
      </w:pPr>
      <w:rPr>
        <w:rFonts w:hint="default"/>
      </w:rPr>
    </w:lvl>
    <w:lvl w:ilvl="2">
      <w:start w:val="1"/>
      <w:numFmt w:val="decimal"/>
      <w:lvlText w:val="%1.%2.%3"/>
      <w:lvlJc w:val="left"/>
      <w:pPr>
        <w:ind w:left="1612" w:hanging="720"/>
      </w:pPr>
      <w:rPr>
        <w:rFonts w:hint="default"/>
      </w:rPr>
    </w:lvl>
    <w:lvl w:ilvl="3">
      <w:start w:val="1"/>
      <w:numFmt w:val="decimal"/>
      <w:lvlText w:val="%1.%2.%3.%4"/>
      <w:lvlJc w:val="left"/>
      <w:pPr>
        <w:ind w:left="2418" w:hanging="1080"/>
      </w:pPr>
      <w:rPr>
        <w:rFonts w:hint="default"/>
      </w:rPr>
    </w:lvl>
    <w:lvl w:ilvl="4">
      <w:start w:val="1"/>
      <w:numFmt w:val="decimal"/>
      <w:lvlText w:val="%1.%2.%3.%4.%5"/>
      <w:lvlJc w:val="left"/>
      <w:pPr>
        <w:ind w:left="2864" w:hanging="1080"/>
      </w:pPr>
      <w:rPr>
        <w:rFonts w:hint="default"/>
      </w:rPr>
    </w:lvl>
    <w:lvl w:ilvl="5">
      <w:start w:val="1"/>
      <w:numFmt w:val="decimal"/>
      <w:lvlText w:val="%1.%2.%3.%4.%5.%6"/>
      <w:lvlJc w:val="left"/>
      <w:pPr>
        <w:ind w:left="3670" w:hanging="1440"/>
      </w:pPr>
      <w:rPr>
        <w:rFonts w:hint="default"/>
      </w:rPr>
    </w:lvl>
    <w:lvl w:ilvl="6">
      <w:start w:val="1"/>
      <w:numFmt w:val="decimal"/>
      <w:lvlText w:val="%1.%2.%3.%4.%5.%6.%7"/>
      <w:lvlJc w:val="left"/>
      <w:pPr>
        <w:ind w:left="4116" w:hanging="1440"/>
      </w:pPr>
      <w:rPr>
        <w:rFonts w:hint="default"/>
      </w:rPr>
    </w:lvl>
    <w:lvl w:ilvl="7">
      <w:start w:val="1"/>
      <w:numFmt w:val="decimal"/>
      <w:lvlText w:val="%1.%2.%3.%4.%5.%6.%7.%8"/>
      <w:lvlJc w:val="left"/>
      <w:pPr>
        <w:ind w:left="4922" w:hanging="1800"/>
      </w:pPr>
      <w:rPr>
        <w:rFonts w:hint="default"/>
      </w:rPr>
    </w:lvl>
    <w:lvl w:ilvl="8">
      <w:start w:val="1"/>
      <w:numFmt w:val="decimal"/>
      <w:lvlText w:val="%1.%2.%3.%4.%5.%6.%7.%8.%9"/>
      <w:lvlJc w:val="left"/>
      <w:pPr>
        <w:ind w:left="5368" w:hanging="1800"/>
      </w:pPr>
      <w:rPr>
        <w:rFonts w:hint="default"/>
      </w:rPr>
    </w:lvl>
  </w:abstractNum>
  <w:abstractNum w:abstractNumId="5" w15:restartNumberingAfterBreak="0">
    <w:nsid w:val="20355BFC"/>
    <w:multiLevelType w:val="hybridMultilevel"/>
    <w:tmpl w:val="B1023FAE"/>
    <w:lvl w:ilvl="0" w:tplc="7690CE32">
      <w:start w:val="1"/>
      <w:numFmt w:val="bullet"/>
      <w:lvlText w:val=""/>
      <w:lvlJc w:val="left"/>
      <w:pPr>
        <w:ind w:left="360" w:hanging="360"/>
      </w:pPr>
      <w:rPr>
        <w:rFonts w:ascii="Symbol" w:hAnsi="Symbol" w:cs="Symbol" w:hint="default"/>
        <w:color w:val="1C6194" w:themeColor="accent2"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2C516B2"/>
    <w:multiLevelType w:val="hybridMultilevel"/>
    <w:tmpl w:val="280C9EA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FDA7EA2"/>
    <w:multiLevelType w:val="hybridMultilevel"/>
    <w:tmpl w:val="6E60F76E"/>
    <w:lvl w:ilvl="0" w:tplc="61BE3144">
      <w:start w:val="5"/>
      <w:numFmt w:val="decimal"/>
      <w:lvlText w:val="%1"/>
      <w:lvlJc w:val="left"/>
      <w:pPr>
        <w:ind w:left="720" w:hanging="360"/>
      </w:pPr>
      <w:rPr>
        <w:rFonts w:hint="default"/>
        <w:b/>
        <w:color w:val="1481AB" w:themeColor="accent1"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AE7AE2"/>
    <w:multiLevelType w:val="hybridMultilevel"/>
    <w:tmpl w:val="063EE61A"/>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415E66C9"/>
    <w:multiLevelType w:val="hybridMultilevel"/>
    <w:tmpl w:val="F6943FF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D4B74C3"/>
    <w:multiLevelType w:val="hybridMultilevel"/>
    <w:tmpl w:val="5E56610C"/>
    <w:lvl w:ilvl="0" w:tplc="4009000F">
      <w:start w:val="1"/>
      <w:numFmt w:val="decimal"/>
      <w:lvlText w:val="%1."/>
      <w:lvlJc w:val="left"/>
      <w:pPr>
        <w:ind w:left="1536" w:hanging="360"/>
      </w:pPr>
    </w:lvl>
    <w:lvl w:ilvl="1" w:tplc="40090019" w:tentative="1">
      <w:start w:val="1"/>
      <w:numFmt w:val="lowerLetter"/>
      <w:lvlText w:val="%2."/>
      <w:lvlJc w:val="left"/>
      <w:pPr>
        <w:ind w:left="2256" w:hanging="360"/>
      </w:pPr>
    </w:lvl>
    <w:lvl w:ilvl="2" w:tplc="4009001B" w:tentative="1">
      <w:start w:val="1"/>
      <w:numFmt w:val="lowerRoman"/>
      <w:lvlText w:val="%3."/>
      <w:lvlJc w:val="right"/>
      <w:pPr>
        <w:ind w:left="2976" w:hanging="180"/>
      </w:pPr>
    </w:lvl>
    <w:lvl w:ilvl="3" w:tplc="4009000F" w:tentative="1">
      <w:start w:val="1"/>
      <w:numFmt w:val="decimal"/>
      <w:lvlText w:val="%4."/>
      <w:lvlJc w:val="left"/>
      <w:pPr>
        <w:ind w:left="3696" w:hanging="360"/>
      </w:pPr>
    </w:lvl>
    <w:lvl w:ilvl="4" w:tplc="40090019" w:tentative="1">
      <w:start w:val="1"/>
      <w:numFmt w:val="lowerLetter"/>
      <w:lvlText w:val="%5."/>
      <w:lvlJc w:val="left"/>
      <w:pPr>
        <w:ind w:left="4416" w:hanging="360"/>
      </w:pPr>
    </w:lvl>
    <w:lvl w:ilvl="5" w:tplc="4009001B" w:tentative="1">
      <w:start w:val="1"/>
      <w:numFmt w:val="lowerRoman"/>
      <w:lvlText w:val="%6."/>
      <w:lvlJc w:val="right"/>
      <w:pPr>
        <w:ind w:left="5136" w:hanging="180"/>
      </w:pPr>
    </w:lvl>
    <w:lvl w:ilvl="6" w:tplc="4009000F" w:tentative="1">
      <w:start w:val="1"/>
      <w:numFmt w:val="decimal"/>
      <w:lvlText w:val="%7."/>
      <w:lvlJc w:val="left"/>
      <w:pPr>
        <w:ind w:left="5856" w:hanging="360"/>
      </w:pPr>
    </w:lvl>
    <w:lvl w:ilvl="7" w:tplc="40090019" w:tentative="1">
      <w:start w:val="1"/>
      <w:numFmt w:val="lowerLetter"/>
      <w:lvlText w:val="%8."/>
      <w:lvlJc w:val="left"/>
      <w:pPr>
        <w:ind w:left="6576" w:hanging="360"/>
      </w:pPr>
    </w:lvl>
    <w:lvl w:ilvl="8" w:tplc="4009001B" w:tentative="1">
      <w:start w:val="1"/>
      <w:numFmt w:val="lowerRoman"/>
      <w:lvlText w:val="%9."/>
      <w:lvlJc w:val="right"/>
      <w:pPr>
        <w:ind w:left="7296" w:hanging="180"/>
      </w:pPr>
    </w:lvl>
  </w:abstractNum>
  <w:abstractNum w:abstractNumId="11" w15:restartNumberingAfterBreak="0">
    <w:nsid w:val="76BD7E2B"/>
    <w:multiLevelType w:val="hybridMultilevel"/>
    <w:tmpl w:val="21CCE28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10"/>
  </w:num>
  <w:num w:numId="2">
    <w:abstractNumId w:val="3"/>
  </w:num>
  <w:num w:numId="3">
    <w:abstractNumId w:val="8"/>
  </w:num>
  <w:num w:numId="4">
    <w:abstractNumId w:val="2"/>
  </w:num>
  <w:num w:numId="5">
    <w:abstractNumId w:val="1"/>
  </w:num>
  <w:num w:numId="6">
    <w:abstractNumId w:val="9"/>
  </w:num>
  <w:num w:numId="7">
    <w:abstractNumId w:val="7"/>
  </w:num>
  <w:num w:numId="8">
    <w:abstractNumId w:val="6"/>
  </w:num>
  <w:num w:numId="9">
    <w:abstractNumId w:val="5"/>
  </w:num>
  <w:num w:numId="10">
    <w:abstractNumId w:val="1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BE"/>
    <w:rsid w:val="00005E73"/>
    <w:rsid w:val="00007C35"/>
    <w:rsid w:val="000103DD"/>
    <w:rsid w:val="00026DB2"/>
    <w:rsid w:val="00033926"/>
    <w:rsid w:val="000411C3"/>
    <w:rsid w:val="00042D00"/>
    <w:rsid w:val="000462FF"/>
    <w:rsid w:val="00054FD7"/>
    <w:rsid w:val="00055EEB"/>
    <w:rsid w:val="00055F0C"/>
    <w:rsid w:val="000659BC"/>
    <w:rsid w:val="0006718C"/>
    <w:rsid w:val="00070EDA"/>
    <w:rsid w:val="0007466E"/>
    <w:rsid w:val="000818F9"/>
    <w:rsid w:val="00085427"/>
    <w:rsid w:val="000919C8"/>
    <w:rsid w:val="000A2ABE"/>
    <w:rsid w:val="000A4FE9"/>
    <w:rsid w:val="000A6B36"/>
    <w:rsid w:val="000C16A1"/>
    <w:rsid w:val="000C2171"/>
    <w:rsid w:val="000C47B6"/>
    <w:rsid w:val="000D0E16"/>
    <w:rsid w:val="000D1889"/>
    <w:rsid w:val="000D3499"/>
    <w:rsid w:val="000D6323"/>
    <w:rsid w:val="000D71FD"/>
    <w:rsid w:val="000E2072"/>
    <w:rsid w:val="000E300C"/>
    <w:rsid w:val="000E3550"/>
    <w:rsid w:val="000F1D32"/>
    <w:rsid w:val="000F4290"/>
    <w:rsid w:val="000F77CB"/>
    <w:rsid w:val="00101CB9"/>
    <w:rsid w:val="001051AA"/>
    <w:rsid w:val="00105628"/>
    <w:rsid w:val="001065BD"/>
    <w:rsid w:val="00111AEE"/>
    <w:rsid w:val="00124DB2"/>
    <w:rsid w:val="0012560E"/>
    <w:rsid w:val="00132EC8"/>
    <w:rsid w:val="0016373D"/>
    <w:rsid w:val="0016393D"/>
    <w:rsid w:val="0016575C"/>
    <w:rsid w:val="00171954"/>
    <w:rsid w:val="001728CF"/>
    <w:rsid w:val="00173C97"/>
    <w:rsid w:val="00176200"/>
    <w:rsid w:val="00181E09"/>
    <w:rsid w:val="00185627"/>
    <w:rsid w:val="00186599"/>
    <w:rsid w:val="00187EA3"/>
    <w:rsid w:val="00191988"/>
    <w:rsid w:val="001926F7"/>
    <w:rsid w:val="00197AA7"/>
    <w:rsid w:val="001A1ABA"/>
    <w:rsid w:val="001B4673"/>
    <w:rsid w:val="001B6CFA"/>
    <w:rsid w:val="001B7863"/>
    <w:rsid w:val="001C36B9"/>
    <w:rsid w:val="001C719D"/>
    <w:rsid w:val="001D1A0D"/>
    <w:rsid w:val="001D7168"/>
    <w:rsid w:val="001E28A3"/>
    <w:rsid w:val="001E2C76"/>
    <w:rsid w:val="001E5169"/>
    <w:rsid w:val="001F0BA0"/>
    <w:rsid w:val="001F350E"/>
    <w:rsid w:val="001F7BC8"/>
    <w:rsid w:val="00202CE5"/>
    <w:rsid w:val="00204DDE"/>
    <w:rsid w:val="00215D49"/>
    <w:rsid w:val="00225FCD"/>
    <w:rsid w:val="00226990"/>
    <w:rsid w:val="00244D2C"/>
    <w:rsid w:val="00250CB3"/>
    <w:rsid w:val="00256A52"/>
    <w:rsid w:val="002814F5"/>
    <w:rsid w:val="00285CEB"/>
    <w:rsid w:val="002902A0"/>
    <w:rsid w:val="002910D3"/>
    <w:rsid w:val="0029215A"/>
    <w:rsid w:val="0029435E"/>
    <w:rsid w:val="002959AD"/>
    <w:rsid w:val="002A2D63"/>
    <w:rsid w:val="002B0C86"/>
    <w:rsid w:val="002B2640"/>
    <w:rsid w:val="002B5BA2"/>
    <w:rsid w:val="002B7334"/>
    <w:rsid w:val="002B74FE"/>
    <w:rsid w:val="002C7CB1"/>
    <w:rsid w:val="002D097C"/>
    <w:rsid w:val="002D75A7"/>
    <w:rsid w:val="002E0817"/>
    <w:rsid w:val="002E2F59"/>
    <w:rsid w:val="002E3A7D"/>
    <w:rsid w:val="002F02A1"/>
    <w:rsid w:val="002F187D"/>
    <w:rsid w:val="003060E5"/>
    <w:rsid w:val="00315933"/>
    <w:rsid w:val="003171AC"/>
    <w:rsid w:val="00317A30"/>
    <w:rsid w:val="00322E5F"/>
    <w:rsid w:val="0032414D"/>
    <w:rsid w:val="0033087B"/>
    <w:rsid w:val="0034032B"/>
    <w:rsid w:val="00343B9D"/>
    <w:rsid w:val="00351455"/>
    <w:rsid w:val="00356AF5"/>
    <w:rsid w:val="003622D2"/>
    <w:rsid w:val="003622E6"/>
    <w:rsid w:val="00362903"/>
    <w:rsid w:val="003631F3"/>
    <w:rsid w:val="0036393F"/>
    <w:rsid w:val="00372ED7"/>
    <w:rsid w:val="00381BA3"/>
    <w:rsid w:val="00384577"/>
    <w:rsid w:val="00385937"/>
    <w:rsid w:val="00393CE2"/>
    <w:rsid w:val="00395796"/>
    <w:rsid w:val="003A7F88"/>
    <w:rsid w:val="003B03E0"/>
    <w:rsid w:val="003B160A"/>
    <w:rsid w:val="003B1BEB"/>
    <w:rsid w:val="003B597F"/>
    <w:rsid w:val="003E442A"/>
    <w:rsid w:val="004018CA"/>
    <w:rsid w:val="00405B14"/>
    <w:rsid w:val="00410A85"/>
    <w:rsid w:val="00413C79"/>
    <w:rsid w:val="00415176"/>
    <w:rsid w:val="00423065"/>
    <w:rsid w:val="00424822"/>
    <w:rsid w:val="00424FDF"/>
    <w:rsid w:val="00425EAD"/>
    <w:rsid w:val="0042666B"/>
    <w:rsid w:val="00427137"/>
    <w:rsid w:val="004308B3"/>
    <w:rsid w:val="0043297A"/>
    <w:rsid w:val="00442163"/>
    <w:rsid w:val="0044284F"/>
    <w:rsid w:val="00443E97"/>
    <w:rsid w:val="00444871"/>
    <w:rsid w:val="00447F6B"/>
    <w:rsid w:val="00452334"/>
    <w:rsid w:val="00456E37"/>
    <w:rsid w:val="0045733E"/>
    <w:rsid w:val="004623D3"/>
    <w:rsid w:val="00467636"/>
    <w:rsid w:val="004727ED"/>
    <w:rsid w:val="004733E3"/>
    <w:rsid w:val="00476181"/>
    <w:rsid w:val="004762C8"/>
    <w:rsid w:val="00476602"/>
    <w:rsid w:val="00483B76"/>
    <w:rsid w:val="00484E69"/>
    <w:rsid w:val="00487083"/>
    <w:rsid w:val="00491069"/>
    <w:rsid w:val="004A1A94"/>
    <w:rsid w:val="004A296F"/>
    <w:rsid w:val="004A76B3"/>
    <w:rsid w:val="004B2220"/>
    <w:rsid w:val="004B2C5B"/>
    <w:rsid w:val="004B474A"/>
    <w:rsid w:val="004C0DBF"/>
    <w:rsid w:val="004C4723"/>
    <w:rsid w:val="004D6757"/>
    <w:rsid w:val="004E2396"/>
    <w:rsid w:val="004E53C0"/>
    <w:rsid w:val="0050096B"/>
    <w:rsid w:val="00502531"/>
    <w:rsid w:val="00502D8B"/>
    <w:rsid w:val="0051055F"/>
    <w:rsid w:val="00514F7F"/>
    <w:rsid w:val="005178C7"/>
    <w:rsid w:val="0052151B"/>
    <w:rsid w:val="00526634"/>
    <w:rsid w:val="0052781B"/>
    <w:rsid w:val="0053712B"/>
    <w:rsid w:val="0054465E"/>
    <w:rsid w:val="005472AC"/>
    <w:rsid w:val="0054757E"/>
    <w:rsid w:val="005515F7"/>
    <w:rsid w:val="0055797E"/>
    <w:rsid w:val="00565F54"/>
    <w:rsid w:val="0056719F"/>
    <w:rsid w:val="005809D3"/>
    <w:rsid w:val="00586311"/>
    <w:rsid w:val="005879D1"/>
    <w:rsid w:val="005B1D39"/>
    <w:rsid w:val="005B2556"/>
    <w:rsid w:val="005B2750"/>
    <w:rsid w:val="005B2C3E"/>
    <w:rsid w:val="005B57AC"/>
    <w:rsid w:val="005C4787"/>
    <w:rsid w:val="005D09C2"/>
    <w:rsid w:val="005E06B2"/>
    <w:rsid w:val="005E278B"/>
    <w:rsid w:val="005E57C1"/>
    <w:rsid w:val="005E5B02"/>
    <w:rsid w:val="005E6514"/>
    <w:rsid w:val="005E6530"/>
    <w:rsid w:val="005F4CDF"/>
    <w:rsid w:val="00610F05"/>
    <w:rsid w:val="00613DA6"/>
    <w:rsid w:val="006217B0"/>
    <w:rsid w:val="00627DF8"/>
    <w:rsid w:val="00632506"/>
    <w:rsid w:val="00634D55"/>
    <w:rsid w:val="006351AD"/>
    <w:rsid w:val="006408CF"/>
    <w:rsid w:val="00645F92"/>
    <w:rsid w:val="00652AD3"/>
    <w:rsid w:val="00655A62"/>
    <w:rsid w:val="00656D86"/>
    <w:rsid w:val="00661DE8"/>
    <w:rsid w:val="006709EC"/>
    <w:rsid w:val="00673912"/>
    <w:rsid w:val="00676C9C"/>
    <w:rsid w:val="00684C3D"/>
    <w:rsid w:val="00691374"/>
    <w:rsid w:val="00693FE4"/>
    <w:rsid w:val="0069553C"/>
    <w:rsid w:val="006B4A12"/>
    <w:rsid w:val="006D14AD"/>
    <w:rsid w:val="006E07BE"/>
    <w:rsid w:val="006F5A70"/>
    <w:rsid w:val="006F5E7F"/>
    <w:rsid w:val="007006B9"/>
    <w:rsid w:val="007014C6"/>
    <w:rsid w:val="00726E92"/>
    <w:rsid w:val="007317E3"/>
    <w:rsid w:val="00736517"/>
    <w:rsid w:val="00741F58"/>
    <w:rsid w:val="00746D17"/>
    <w:rsid w:val="00751257"/>
    <w:rsid w:val="007530E3"/>
    <w:rsid w:val="00754389"/>
    <w:rsid w:val="00755B23"/>
    <w:rsid w:val="00755EC4"/>
    <w:rsid w:val="00756165"/>
    <w:rsid w:val="00761944"/>
    <w:rsid w:val="00763016"/>
    <w:rsid w:val="00763021"/>
    <w:rsid w:val="00770002"/>
    <w:rsid w:val="00773A80"/>
    <w:rsid w:val="00774B32"/>
    <w:rsid w:val="007750AA"/>
    <w:rsid w:val="00782B29"/>
    <w:rsid w:val="007839AD"/>
    <w:rsid w:val="0079253B"/>
    <w:rsid w:val="00792F78"/>
    <w:rsid w:val="007A2303"/>
    <w:rsid w:val="007A294B"/>
    <w:rsid w:val="007B04C6"/>
    <w:rsid w:val="007B601C"/>
    <w:rsid w:val="007D10C3"/>
    <w:rsid w:val="007D3D16"/>
    <w:rsid w:val="007E2C80"/>
    <w:rsid w:val="007E58B2"/>
    <w:rsid w:val="007F2199"/>
    <w:rsid w:val="007F609D"/>
    <w:rsid w:val="00800601"/>
    <w:rsid w:val="00804875"/>
    <w:rsid w:val="00805F1C"/>
    <w:rsid w:val="00807B0A"/>
    <w:rsid w:val="00812439"/>
    <w:rsid w:val="0082070C"/>
    <w:rsid w:val="0082277C"/>
    <w:rsid w:val="00823D7B"/>
    <w:rsid w:val="008315A4"/>
    <w:rsid w:val="00833713"/>
    <w:rsid w:val="008378A7"/>
    <w:rsid w:val="008402D2"/>
    <w:rsid w:val="00852D1A"/>
    <w:rsid w:val="008554BE"/>
    <w:rsid w:val="00855E67"/>
    <w:rsid w:val="00860DF5"/>
    <w:rsid w:val="00861631"/>
    <w:rsid w:val="00861E0A"/>
    <w:rsid w:val="00867D44"/>
    <w:rsid w:val="00871A41"/>
    <w:rsid w:val="00872B44"/>
    <w:rsid w:val="00882222"/>
    <w:rsid w:val="008858B1"/>
    <w:rsid w:val="008917FE"/>
    <w:rsid w:val="008921E4"/>
    <w:rsid w:val="00894241"/>
    <w:rsid w:val="008A69EF"/>
    <w:rsid w:val="008A6BF0"/>
    <w:rsid w:val="008B290B"/>
    <w:rsid w:val="008B3DEC"/>
    <w:rsid w:val="008B4D30"/>
    <w:rsid w:val="008B7D43"/>
    <w:rsid w:val="008B7E48"/>
    <w:rsid w:val="008C5FDE"/>
    <w:rsid w:val="008D772F"/>
    <w:rsid w:val="008E3231"/>
    <w:rsid w:val="008F41DE"/>
    <w:rsid w:val="008F5DD8"/>
    <w:rsid w:val="009028AF"/>
    <w:rsid w:val="009049A6"/>
    <w:rsid w:val="009049D1"/>
    <w:rsid w:val="00910BC2"/>
    <w:rsid w:val="00920BC2"/>
    <w:rsid w:val="00923576"/>
    <w:rsid w:val="00926621"/>
    <w:rsid w:val="00936550"/>
    <w:rsid w:val="009405BA"/>
    <w:rsid w:val="009425CC"/>
    <w:rsid w:val="00945E48"/>
    <w:rsid w:val="00947A23"/>
    <w:rsid w:val="009566A2"/>
    <w:rsid w:val="00965B9B"/>
    <w:rsid w:val="00965E66"/>
    <w:rsid w:val="0096772D"/>
    <w:rsid w:val="00967739"/>
    <w:rsid w:val="00970AED"/>
    <w:rsid w:val="00971992"/>
    <w:rsid w:val="00976427"/>
    <w:rsid w:val="00980CC9"/>
    <w:rsid w:val="009831D9"/>
    <w:rsid w:val="00993564"/>
    <w:rsid w:val="00993AEE"/>
    <w:rsid w:val="009A03F7"/>
    <w:rsid w:val="009A3AAE"/>
    <w:rsid w:val="009A419E"/>
    <w:rsid w:val="009A6F1F"/>
    <w:rsid w:val="009B0F52"/>
    <w:rsid w:val="009B1383"/>
    <w:rsid w:val="009B36A0"/>
    <w:rsid w:val="009C0FFA"/>
    <w:rsid w:val="009C169A"/>
    <w:rsid w:val="009C5B64"/>
    <w:rsid w:val="009D7BD8"/>
    <w:rsid w:val="009E2922"/>
    <w:rsid w:val="009F11D7"/>
    <w:rsid w:val="00A052E1"/>
    <w:rsid w:val="00A157D8"/>
    <w:rsid w:val="00A1750F"/>
    <w:rsid w:val="00A23BCF"/>
    <w:rsid w:val="00A2632C"/>
    <w:rsid w:val="00A26A0A"/>
    <w:rsid w:val="00A42764"/>
    <w:rsid w:val="00A42F02"/>
    <w:rsid w:val="00A43032"/>
    <w:rsid w:val="00A45759"/>
    <w:rsid w:val="00A45D1C"/>
    <w:rsid w:val="00A51B32"/>
    <w:rsid w:val="00A523F1"/>
    <w:rsid w:val="00A536C3"/>
    <w:rsid w:val="00A55CB5"/>
    <w:rsid w:val="00A622E0"/>
    <w:rsid w:val="00A65A0F"/>
    <w:rsid w:val="00A746FE"/>
    <w:rsid w:val="00A74BFA"/>
    <w:rsid w:val="00A7737A"/>
    <w:rsid w:val="00A80917"/>
    <w:rsid w:val="00A815F6"/>
    <w:rsid w:val="00A854D1"/>
    <w:rsid w:val="00A90F80"/>
    <w:rsid w:val="00A96D01"/>
    <w:rsid w:val="00A97A0B"/>
    <w:rsid w:val="00AB20D6"/>
    <w:rsid w:val="00AB5E4D"/>
    <w:rsid w:val="00AC29DA"/>
    <w:rsid w:val="00AC2F74"/>
    <w:rsid w:val="00AC3669"/>
    <w:rsid w:val="00AC6240"/>
    <w:rsid w:val="00AD5C54"/>
    <w:rsid w:val="00AD6B47"/>
    <w:rsid w:val="00B045A4"/>
    <w:rsid w:val="00B0483F"/>
    <w:rsid w:val="00B15E5F"/>
    <w:rsid w:val="00B2438C"/>
    <w:rsid w:val="00B25EA9"/>
    <w:rsid w:val="00B3009F"/>
    <w:rsid w:val="00B44ED1"/>
    <w:rsid w:val="00B55916"/>
    <w:rsid w:val="00B61193"/>
    <w:rsid w:val="00B62FEB"/>
    <w:rsid w:val="00B64FDF"/>
    <w:rsid w:val="00B67C02"/>
    <w:rsid w:val="00B73ED0"/>
    <w:rsid w:val="00B7432F"/>
    <w:rsid w:val="00B76AC2"/>
    <w:rsid w:val="00B809E6"/>
    <w:rsid w:val="00B841AB"/>
    <w:rsid w:val="00B92497"/>
    <w:rsid w:val="00B94DC0"/>
    <w:rsid w:val="00B95F8E"/>
    <w:rsid w:val="00B970D2"/>
    <w:rsid w:val="00B97376"/>
    <w:rsid w:val="00BA2D3F"/>
    <w:rsid w:val="00BA402A"/>
    <w:rsid w:val="00BA6A67"/>
    <w:rsid w:val="00BB2677"/>
    <w:rsid w:val="00BB2E2F"/>
    <w:rsid w:val="00BB357F"/>
    <w:rsid w:val="00BB4045"/>
    <w:rsid w:val="00BB53F6"/>
    <w:rsid w:val="00BB5AE2"/>
    <w:rsid w:val="00BC02D3"/>
    <w:rsid w:val="00BC1350"/>
    <w:rsid w:val="00BC4A72"/>
    <w:rsid w:val="00BC714F"/>
    <w:rsid w:val="00BD39F3"/>
    <w:rsid w:val="00BD4EE7"/>
    <w:rsid w:val="00BD7AA0"/>
    <w:rsid w:val="00BF4DFF"/>
    <w:rsid w:val="00C131CE"/>
    <w:rsid w:val="00C1759A"/>
    <w:rsid w:val="00C20077"/>
    <w:rsid w:val="00C23DEB"/>
    <w:rsid w:val="00C308B9"/>
    <w:rsid w:val="00C3131C"/>
    <w:rsid w:val="00C4112B"/>
    <w:rsid w:val="00C4149A"/>
    <w:rsid w:val="00C503C9"/>
    <w:rsid w:val="00C64BEF"/>
    <w:rsid w:val="00C67CD6"/>
    <w:rsid w:val="00C71DAD"/>
    <w:rsid w:val="00C7566B"/>
    <w:rsid w:val="00C762BE"/>
    <w:rsid w:val="00C81143"/>
    <w:rsid w:val="00C845C7"/>
    <w:rsid w:val="00C86875"/>
    <w:rsid w:val="00CA156E"/>
    <w:rsid w:val="00CA6172"/>
    <w:rsid w:val="00CA6F00"/>
    <w:rsid w:val="00CB3A8A"/>
    <w:rsid w:val="00CB7FB0"/>
    <w:rsid w:val="00CC3EA6"/>
    <w:rsid w:val="00CC5AC5"/>
    <w:rsid w:val="00CD005B"/>
    <w:rsid w:val="00CD1132"/>
    <w:rsid w:val="00CD70C7"/>
    <w:rsid w:val="00CE3BD7"/>
    <w:rsid w:val="00CF4964"/>
    <w:rsid w:val="00D02FB4"/>
    <w:rsid w:val="00D049F4"/>
    <w:rsid w:val="00D127DC"/>
    <w:rsid w:val="00D17EE5"/>
    <w:rsid w:val="00D20752"/>
    <w:rsid w:val="00D2270D"/>
    <w:rsid w:val="00D23BFE"/>
    <w:rsid w:val="00D2687A"/>
    <w:rsid w:val="00D330F2"/>
    <w:rsid w:val="00D34B25"/>
    <w:rsid w:val="00D36570"/>
    <w:rsid w:val="00D37696"/>
    <w:rsid w:val="00D44346"/>
    <w:rsid w:val="00D51D79"/>
    <w:rsid w:val="00D53787"/>
    <w:rsid w:val="00D57585"/>
    <w:rsid w:val="00D616E6"/>
    <w:rsid w:val="00D62B0C"/>
    <w:rsid w:val="00D85A04"/>
    <w:rsid w:val="00D918CA"/>
    <w:rsid w:val="00D94138"/>
    <w:rsid w:val="00DA1D4D"/>
    <w:rsid w:val="00DA5960"/>
    <w:rsid w:val="00DB2323"/>
    <w:rsid w:val="00DB5C6F"/>
    <w:rsid w:val="00DB7071"/>
    <w:rsid w:val="00DB75E2"/>
    <w:rsid w:val="00DC44A5"/>
    <w:rsid w:val="00DC65D4"/>
    <w:rsid w:val="00DD350F"/>
    <w:rsid w:val="00DE783C"/>
    <w:rsid w:val="00DF0ADE"/>
    <w:rsid w:val="00DF16A1"/>
    <w:rsid w:val="00DF5530"/>
    <w:rsid w:val="00DF73F1"/>
    <w:rsid w:val="00E02BF6"/>
    <w:rsid w:val="00E063A8"/>
    <w:rsid w:val="00E12179"/>
    <w:rsid w:val="00E16315"/>
    <w:rsid w:val="00E1729C"/>
    <w:rsid w:val="00E17A4B"/>
    <w:rsid w:val="00E226A4"/>
    <w:rsid w:val="00E24F28"/>
    <w:rsid w:val="00E4110E"/>
    <w:rsid w:val="00E42354"/>
    <w:rsid w:val="00E429C3"/>
    <w:rsid w:val="00E4311B"/>
    <w:rsid w:val="00E466E9"/>
    <w:rsid w:val="00E73DDC"/>
    <w:rsid w:val="00E76CB2"/>
    <w:rsid w:val="00E8334B"/>
    <w:rsid w:val="00E837D1"/>
    <w:rsid w:val="00E840E7"/>
    <w:rsid w:val="00E906B7"/>
    <w:rsid w:val="00EA1DA1"/>
    <w:rsid w:val="00EB416C"/>
    <w:rsid w:val="00EB53B9"/>
    <w:rsid w:val="00EB7C67"/>
    <w:rsid w:val="00EC1A5E"/>
    <w:rsid w:val="00EC28A9"/>
    <w:rsid w:val="00EC5DBF"/>
    <w:rsid w:val="00EE6A0E"/>
    <w:rsid w:val="00EF2CC3"/>
    <w:rsid w:val="00EF2EF4"/>
    <w:rsid w:val="00EF3D40"/>
    <w:rsid w:val="00EF6B1E"/>
    <w:rsid w:val="00F03083"/>
    <w:rsid w:val="00F03FB8"/>
    <w:rsid w:val="00F101B5"/>
    <w:rsid w:val="00F1063B"/>
    <w:rsid w:val="00F21041"/>
    <w:rsid w:val="00F227D6"/>
    <w:rsid w:val="00F24F68"/>
    <w:rsid w:val="00F325FE"/>
    <w:rsid w:val="00F338EA"/>
    <w:rsid w:val="00F35121"/>
    <w:rsid w:val="00F35AB2"/>
    <w:rsid w:val="00F37494"/>
    <w:rsid w:val="00F40422"/>
    <w:rsid w:val="00F443F3"/>
    <w:rsid w:val="00F46447"/>
    <w:rsid w:val="00F46E15"/>
    <w:rsid w:val="00F5008D"/>
    <w:rsid w:val="00F501FD"/>
    <w:rsid w:val="00F510E5"/>
    <w:rsid w:val="00F52339"/>
    <w:rsid w:val="00F53F42"/>
    <w:rsid w:val="00F5513E"/>
    <w:rsid w:val="00F57242"/>
    <w:rsid w:val="00F9187D"/>
    <w:rsid w:val="00F94F08"/>
    <w:rsid w:val="00F9793D"/>
    <w:rsid w:val="00FA10B4"/>
    <w:rsid w:val="00FA1E36"/>
    <w:rsid w:val="00FA703E"/>
    <w:rsid w:val="00FB700B"/>
    <w:rsid w:val="00FC0D30"/>
    <w:rsid w:val="00FC50F5"/>
    <w:rsid w:val="00FC5253"/>
    <w:rsid w:val="00FD11BA"/>
    <w:rsid w:val="00FD5416"/>
    <w:rsid w:val="00FD73D8"/>
    <w:rsid w:val="00FE1794"/>
    <w:rsid w:val="00FE2240"/>
    <w:rsid w:val="00FE3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3A666"/>
  <w15:chartTrackingRefBased/>
  <w15:docId w15:val="{E6814254-EC4B-44D1-A07F-54B06D2A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917"/>
  </w:style>
  <w:style w:type="paragraph" w:styleId="Heading1">
    <w:name w:val="heading 1"/>
    <w:basedOn w:val="Normal"/>
    <w:next w:val="Normal"/>
    <w:link w:val="Heading1Char"/>
    <w:uiPriority w:val="9"/>
    <w:qFormat/>
    <w:rsid w:val="000A2ABE"/>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Heading2">
    <w:name w:val="heading 2"/>
    <w:basedOn w:val="Normal"/>
    <w:next w:val="Normal"/>
    <w:link w:val="Heading2Char"/>
    <w:uiPriority w:val="9"/>
    <w:semiHidden/>
    <w:unhideWhenUsed/>
    <w:qFormat/>
    <w:rsid w:val="000A2ABE"/>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Heading3">
    <w:name w:val="heading 3"/>
    <w:basedOn w:val="Normal"/>
    <w:next w:val="Normal"/>
    <w:link w:val="Heading3Char"/>
    <w:uiPriority w:val="9"/>
    <w:semiHidden/>
    <w:unhideWhenUsed/>
    <w:qFormat/>
    <w:rsid w:val="000A2AB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A2AB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A2AB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A2AB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A2AB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A2AB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A2AB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ABE"/>
    <w:rPr>
      <w:rFonts w:asciiTheme="majorHAnsi" w:eastAsiaTheme="majorEastAsia" w:hAnsiTheme="majorHAnsi" w:cstheme="majorBidi"/>
      <w:color w:val="1481AB" w:themeColor="accent1" w:themeShade="BF"/>
      <w:sz w:val="36"/>
      <w:szCs w:val="36"/>
    </w:rPr>
  </w:style>
  <w:style w:type="character" w:customStyle="1" w:styleId="Heading2Char">
    <w:name w:val="Heading 2 Char"/>
    <w:basedOn w:val="DefaultParagraphFont"/>
    <w:link w:val="Heading2"/>
    <w:uiPriority w:val="9"/>
    <w:semiHidden/>
    <w:rsid w:val="000A2ABE"/>
    <w:rPr>
      <w:rFonts w:asciiTheme="majorHAnsi" w:eastAsiaTheme="majorEastAsia" w:hAnsiTheme="majorHAnsi" w:cstheme="majorBidi"/>
      <w:color w:val="1481AB" w:themeColor="accent1" w:themeShade="BF"/>
      <w:sz w:val="28"/>
      <w:szCs w:val="28"/>
    </w:rPr>
  </w:style>
  <w:style w:type="character" w:customStyle="1" w:styleId="Heading3Char">
    <w:name w:val="Heading 3 Char"/>
    <w:basedOn w:val="DefaultParagraphFont"/>
    <w:link w:val="Heading3"/>
    <w:uiPriority w:val="9"/>
    <w:semiHidden/>
    <w:rsid w:val="000A2AB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A2AB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A2AB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A2AB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A2AB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A2AB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A2AB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A2AB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A2ABE"/>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itleChar">
    <w:name w:val="Title Char"/>
    <w:basedOn w:val="DefaultParagraphFont"/>
    <w:link w:val="Title"/>
    <w:uiPriority w:val="10"/>
    <w:rsid w:val="000A2ABE"/>
    <w:rPr>
      <w:rFonts w:asciiTheme="majorHAnsi" w:eastAsiaTheme="majorEastAsia" w:hAnsiTheme="majorHAnsi" w:cstheme="majorBidi"/>
      <w:color w:val="1481AB" w:themeColor="accent1" w:themeShade="BF"/>
      <w:spacing w:val="-7"/>
      <w:sz w:val="80"/>
      <w:szCs w:val="80"/>
    </w:rPr>
  </w:style>
  <w:style w:type="paragraph" w:styleId="Subtitle">
    <w:name w:val="Subtitle"/>
    <w:basedOn w:val="Normal"/>
    <w:next w:val="Normal"/>
    <w:link w:val="SubtitleChar"/>
    <w:uiPriority w:val="11"/>
    <w:qFormat/>
    <w:rsid w:val="000A2AB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A2AB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A2ABE"/>
    <w:rPr>
      <w:b/>
      <w:bCs/>
    </w:rPr>
  </w:style>
  <w:style w:type="character" w:styleId="Emphasis">
    <w:name w:val="Emphasis"/>
    <w:basedOn w:val="DefaultParagraphFont"/>
    <w:uiPriority w:val="20"/>
    <w:qFormat/>
    <w:rsid w:val="000A2ABE"/>
    <w:rPr>
      <w:i/>
      <w:iCs/>
    </w:rPr>
  </w:style>
  <w:style w:type="paragraph" w:styleId="NoSpacing">
    <w:name w:val="No Spacing"/>
    <w:uiPriority w:val="1"/>
    <w:qFormat/>
    <w:rsid w:val="000A2ABE"/>
    <w:pPr>
      <w:spacing w:after="0" w:line="240" w:lineRule="auto"/>
    </w:pPr>
  </w:style>
  <w:style w:type="paragraph" w:styleId="Quote">
    <w:name w:val="Quote"/>
    <w:basedOn w:val="Normal"/>
    <w:next w:val="Normal"/>
    <w:link w:val="QuoteChar"/>
    <w:uiPriority w:val="29"/>
    <w:qFormat/>
    <w:rsid w:val="000A2AB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A2ABE"/>
    <w:rPr>
      <w:i/>
      <w:iCs/>
    </w:rPr>
  </w:style>
  <w:style w:type="paragraph" w:styleId="IntenseQuote">
    <w:name w:val="Intense Quote"/>
    <w:basedOn w:val="Normal"/>
    <w:next w:val="Normal"/>
    <w:link w:val="IntenseQuoteChar"/>
    <w:uiPriority w:val="30"/>
    <w:qFormat/>
    <w:rsid w:val="000A2ABE"/>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0A2ABE"/>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0A2ABE"/>
    <w:rPr>
      <w:i/>
      <w:iCs/>
      <w:color w:val="595959" w:themeColor="text1" w:themeTint="A6"/>
    </w:rPr>
  </w:style>
  <w:style w:type="character" w:styleId="IntenseEmphasis">
    <w:name w:val="Intense Emphasis"/>
    <w:basedOn w:val="DefaultParagraphFont"/>
    <w:uiPriority w:val="21"/>
    <w:qFormat/>
    <w:rsid w:val="000A2ABE"/>
    <w:rPr>
      <w:b/>
      <w:bCs/>
      <w:i/>
      <w:iCs/>
    </w:rPr>
  </w:style>
  <w:style w:type="character" w:styleId="SubtleReference">
    <w:name w:val="Subtle Reference"/>
    <w:basedOn w:val="DefaultParagraphFont"/>
    <w:uiPriority w:val="31"/>
    <w:qFormat/>
    <w:rsid w:val="000A2ABE"/>
    <w:rPr>
      <w:smallCaps/>
      <w:color w:val="404040" w:themeColor="text1" w:themeTint="BF"/>
    </w:rPr>
  </w:style>
  <w:style w:type="character" w:styleId="IntenseReference">
    <w:name w:val="Intense Reference"/>
    <w:basedOn w:val="DefaultParagraphFont"/>
    <w:uiPriority w:val="32"/>
    <w:qFormat/>
    <w:rsid w:val="000A2ABE"/>
    <w:rPr>
      <w:b/>
      <w:bCs/>
      <w:smallCaps/>
      <w:u w:val="single"/>
    </w:rPr>
  </w:style>
  <w:style w:type="character" w:styleId="BookTitle">
    <w:name w:val="Book Title"/>
    <w:basedOn w:val="DefaultParagraphFont"/>
    <w:uiPriority w:val="33"/>
    <w:qFormat/>
    <w:rsid w:val="000A2ABE"/>
    <w:rPr>
      <w:b/>
      <w:bCs/>
      <w:smallCaps/>
    </w:rPr>
  </w:style>
  <w:style w:type="paragraph" w:styleId="TOCHeading">
    <w:name w:val="TOC Heading"/>
    <w:basedOn w:val="Heading1"/>
    <w:next w:val="Normal"/>
    <w:uiPriority w:val="39"/>
    <w:unhideWhenUsed/>
    <w:qFormat/>
    <w:rsid w:val="000A2ABE"/>
    <w:pPr>
      <w:outlineLvl w:val="9"/>
    </w:pPr>
  </w:style>
  <w:style w:type="paragraph" w:styleId="ListParagraph">
    <w:name w:val="List Paragraph"/>
    <w:basedOn w:val="Normal"/>
    <w:uiPriority w:val="34"/>
    <w:qFormat/>
    <w:rsid w:val="00393CE2"/>
    <w:pPr>
      <w:ind w:left="720"/>
      <w:contextualSpacing/>
    </w:pPr>
  </w:style>
  <w:style w:type="paragraph" w:styleId="Header">
    <w:name w:val="header"/>
    <w:basedOn w:val="Normal"/>
    <w:link w:val="HeaderChar"/>
    <w:uiPriority w:val="99"/>
    <w:unhideWhenUsed/>
    <w:rsid w:val="003171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71AC"/>
  </w:style>
  <w:style w:type="paragraph" w:styleId="Footer">
    <w:name w:val="footer"/>
    <w:basedOn w:val="Normal"/>
    <w:link w:val="FooterChar"/>
    <w:uiPriority w:val="99"/>
    <w:unhideWhenUsed/>
    <w:rsid w:val="003171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71AC"/>
  </w:style>
  <w:style w:type="character" w:customStyle="1" w:styleId="fontstyle01">
    <w:name w:val="fontstyle01"/>
    <w:basedOn w:val="DefaultParagraphFont"/>
    <w:rsid w:val="009425CC"/>
    <w:rPr>
      <w:rFonts w:ascii="CMCSC10" w:hAnsi="CMCSC10" w:hint="default"/>
      <w:b w:val="0"/>
      <w:bCs w:val="0"/>
      <w:i w:val="0"/>
      <w:iCs w:val="0"/>
      <w:color w:val="000000"/>
      <w:sz w:val="42"/>
      <w:szCs w:val="42"/>
    </w:rPr>
  </w:style>
  <w:style w:type="table" w:styleId="TableGrid">
    <w:name w:val="Table Grid"/>
    <w:basedOn w:val="TableNormal"/>
    <w:uiPriority w:val="39"/>
    <w:rsid w:val="00E1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172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1729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172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B60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663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202CE5"/>
    <w:rPr>
      <w:color w:val="0000FF"/>
      <w:u w:val="single"/>
    </w:rPr>
  </w:style>
  <w:style w:type="character" w:styleId="FollowedHyperlink">
    <w:name w:val="FollowedHyperlink"/>
    <w:basedOn w:val="DefaultParagraphFont"/>
    <w:uiPriority w:val="99"/>
    <w:semiHidden/>
    <w:unhideWhenUsed/>
    <w:rsid w:val="007B04C6"/>
    <w:rPr>
      <w:color w:val="B26B02" w:themeColor="followedHyperlink"/>
      <w:u w:val="single"/>
    </w:rPr>
  </w:style>
  <w:style w:type="paragraph" w:styleId="Bibliography">
    <w:name w:val="Bibliography"/>
    <w:basedOn w:val="Normal"/>
    <w:next w:val="Normal"/>
    <w:uiPriority w:val="37"/>
    <w:unhideWhenUsed/>
    <w:rsid w:val="00AD5C54"/>
  </w:style>
  <w:style w:type="paragraph" w:styleId="TOC1">
    <w:name w:val="toc 1"/>
    <w:basedOn w:val="Normal"/>
    <w:next w:val="Normal"/>
    <w:autoRedefine/>
    <w:uiPriority w:val="39"/>
    <w:unhideWhenUsed/>
    <w:rsid w:val="00763021"/>
    <w:pPr>
      <w:spacing w:after="100"/>
    </w:pPr>
  </w:style>
  <w:style w:type="paragraph" w:styleId="TOC2">
    <w:name w:val="toc 2"/>
    <w:basedOn w:val="Normal"/>
    <w:next w:val="Normal"/>
    <w:autoRedefine/>
    <w:uiPriority w:val="39"/>
    <w:unhideWhenUsed/>
    <w:rsid w:val="00763021"/>
    <w:pPr>
      <w:spacing w:after="100" w:line="259" w:lineRule="auto"/>
      <w:ind w:left="220"/>
    </w:pPr>
    <w:rPr>
      <w:rFonts w:cs="Times New Roman"/>
      <w:sz w:val="22"/>
      <w:szCs w:val="22"/>
      <w:lang w:val="en-US"/>
    </w:rPr>
  </w:style>
  <w:style w:type="paragraph" w:styleId="TOC3">
    <w:name w:val="toc 3"/>
    <w:basedOn w:val="Normal"/>
    <w:next w:val="Normal"/>
    <w:autoRedefine/>
    <w:uiPriority w:val="39"/>
    <w:unhideWhenUsed/>
    <w:rsid w:val="00763021"/>
    <w:pPr>
      <w:spacing w:after="100" w:line="259" w:lineRule="auto"/>
      <w:ind w:left="440"/>
    </w:pPr>
    <w:rPr>
      <w:rFonts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4646">
      <w:bodyDiv w:val="1"/>
      <w:marLeft w:val="0"/>
      <w:marRight w:val="0"/>
      <w:marTop w:val="0"/>
      <w:marBottom w:val="0"/>
      <w:divBdr>
        <w:top w:val="none" w:sz="0" w:space="0" w:color="auto"/>
        <w:left w:val="none" w:sz="0" w:space="0" w:color="auto"/>
        <w:bottom w:val="none" w:sz="0" w:space="0" w:color="auto"/>
        <w:right w:val="none" w:sz="0" w:space="0" w:color="auto"/>
      </w:divBdr>
      <w:divsChild>
        <w:div w:id="2076514613">
          <w:marLeft w:val="0"/>
          <w:marRight w:val="0"/>
          <w:marTop w:val="0"/>
          <w:marBottom w:val="0"/>
          <w:divBdr>
            <w:top w:val="none" w:sz="0" w:space="0" w:color="auto"/>
            <w:left w:val="none" w:sz="0" w:space="0" w:color="auto"/>
            <w:bottom w:val="none" w:sz="0" w:space="0" w:color="auto"/>
            <w:right w:val="none" w:sz="0" w:space="0" w:color="auto"/>
          </w:divBdr>
        </w:div>
        <w:div w:id="409693852">
          <w:marLeft w:val="0"/>
          <w:marRight w:val="0"/>
          <w:marTop w:val="0"/>
          <w:marBottom w:val="0"/>
          <w:divBdr>
            <w:top w:val="none" w:sz="0" w:space="0" w:color="auto"/>
            <w:left w:val="none" w:sz="0" w:space="0" w:color="auto"/>
            <w:bottom w:val="none" w:sz="0" w:space="0" w:color="auto"/>
            <w:right w:val="none" w:sz="0" w:space="0" w:color="auto"/>
          </w:divBdr>
        </w:div>
      </w:divsChild>
    </w:div>
    <w:div w:id="61418496">
      <w:bodyDiv w:val="1"/>
      <w:marLeft w:val="0"/>
      <w:marRight w:val="0"/>
      <w:marTop w:val="0"/>
      <w:marBottom w:val="0"/>
      <w:divBdr>
        <w:top w:val="none" w:sz="0" w:space="0" w:color="auto"/>
        <w:left w:val="none" w:sz="0" w:space="0" w:color="auto"/>
        <w:bottom w:val="none" w:sz="0" w:space="0" w:color="auto"/>
        <w:right w:val="none" w:sz="0" w:space="0" w:color="auto"/>
      </w:divBdr>
    </w:div>
    <w:div w:id="119544272">
      <w:bodyDiv w:val="1"/>
      <w:marLeft w:val="0"/>
      <w:marRight w:val="0"/>
      <w:marTop w:val="0"/>
      <w:marBottom w:val="0"/>
      <w:divBdr>
        <w:top w:val="none" w:sz="0" w:space="0" w:color="auto"/>
        <w:left w:val="none" w:sz="0" w:space="0" w:color="auto"/>
        <w:bottom w:val="none" w:sz="0" w:space="0" w:color="auto"/>
        <w:right w:val="none" w:sz="0" w:space="0" w:color="auto"/>
      </w:divBdr>
    </w:div>
    <w:div w:id="120728880">
      <w:bodyDiv w:val="1"/>
      <w:marLeft w:val="0"/>
      <w:marRight w:val="0"/>
      <w:marTop w:val="0"/>
      <w:marBottom w:val="0"/>
      <w:divBdr>
        <w:top w:val="none" w:sz="0" w:space="0" w:color="auto"/>
        <w:left w:val="none" w:sz="0" w:space="0" w:color="auto"/>
        <w:bottom w:val="none" w:sz="0" w:space="0" w:color="auto"/>
        <w:right w:val="none" w:sz="0" w:space="0" w:color="auto"/>
      </w:divBdr>
    </w:div>
    <w:div w:id="146946247">
      <w:bodyDiv w:val="1"/>
      <w:marLeft w:val="0"/>
      <w:marRight w:val="0"/>
      <w:marTop w:val="0"/>
      <w:marBottom w:val="0"/>
      <w:divBdr>
        <w:top w:val="none" w:sz="0" w:space="0" w:color="auto"/>
        <w:left w:val="none" w:sz="0" w:space="0" w:color="auto"/>
        <w:bottom w:val="none" w:sz="0" w:space="0" w:color="auto"/>
        <w:right w:val="none" w:sz="0" w:space="0" w:color="auto"/>
      </w:divBdr>
    </w:div>
    <w:div w:id="168914953">
      <w:bodyDiv w:val="1"/>
      <w:marLeft w:val="0"/>
      <w:marRight w:val="0"/>
      <w:marTop w:val="0"/>
      <w:marBottom w:val="0"/>
      <w:divBdr>
        <w:top w:val="none" w:sz="0" w:space="0" w:color="auto"/>
        <w:left w:val="none" w:sz="0" w:space="0" w:color="auto"/>
        <w:bottom w:val="none" w:sz="0" w:space="0" w:color="auto"/>
        <w:right w:val="none" w:sz="0" w:space="0" w:color="auto"/>
      </w:divBdr>
    </w:div>
    <w:div w:id="244800989">
      <w:bodyDiv w:val="1"/>
      <w:marLeft w:val="0"/>
      <w:marRight w:val="0"/>
      <w:marTop w:val="0"/>
      <w:marBottom w:val="0"/>
      <w:divBdr>
        <w:top w:val="none" w:sz="0" w:space="0" w:color="auto"/>
        <w:left w:val="none" w:sz="0" w:space="0" w:color="auto"/>
        <w:bottom w:val="none" w:sz="0" w:space="0" w:color="auto"/>
        <w:right w:val="none" w:sz="0" w:space="0" w:color="auto"/>
      </w:divBdr>
      <w:divsChild>
        <w:div w:id="748890477">
          <w:marLeft w:val="0"/>
          <w:marRight w:val="0"/>
          <w:marTop w:val="0"/>
          <w:marBottom w:val="0"/>
          <w:divBdr>
            <w:top w:val="none" w:sz="0" w:space="0" w:color="auto"/>
            <w:left w:val="none" w:sz="0" w:space="0" w:color="auto"/>
            <w:bottom w:val="none" w:sz="0" w:space="0" w:color="auto"/>
            <w:right w:val="none" w:sz="0" w:space="0" w:color="auto"/>
          </w:divBdr>
        </w:div>
        <w:div w:id="1527405962">
          <w:marLeft w:val="0"/>
          <w:marRight w:val="0"/>
          <w:marTop w:val="0"/>
          <w:marBottom w:val="0"/>
          <w:divBdr>
            <w:top w:val="none" w:sz="0" w:space="0" w:color="auto"/>
            <w:left w:val="none" w:sz="0" w:space="0" w:color="auto"/>
            <w:bottom w:val="none" w:sz="0" w:space="0" w:color="auto"/>
            <w:right w:val="none" w:sz="0" w:space="0" w:color="auto"/>
          </w:divBdr>
        </w:div>
      </w:divsChild>
    </w:div>
    <w:div w:id="443883051">
      <w:bodyDiv w:val="1"/>
      <w:marLeft w:val="0"/>
      <w:marRight w:val="0"/>
      <w:marTop w:val="0"/>
      <w:marBottom w:val="0"/>
      <w:divBdr>
        <w:top w:val="none" w:sz="0" w:space="0" w:color="auto"/>
        <w:left w:val="none" w:sz="0" w:space="0" w:color="auto"/>
        <w:bottom w:val="none" w:sz="0" w:space="0" w:color="auto"/>
        <w:right w:val="none" w:sz="0" w:space="0" w:color="auto"/>
      </w:divBdr>
    </w:div>
    <w:div w:id="549609564">
      <w:bodyDiv w:val="1"/>
      <w:marLeft w:val="0"/>
      <w:marRight w:val="0"/>
      <w:marTop w:val="0"/>
      <w:marBottom w:val="0"/>
      <w:divBdr>
        <w:top w:val="none" w:sz="0" w:space="0" w:color="auto"/>
        <w:left w:val="none" w:sz="0" w:space="0" w:color="auto"/>
        <w:bottom w:val="none" w:sz="0" w:space="0" w:color="auto"/>
        <w:right w:val="none" w:sz="0" w:space="0" w:color="auto"/>
      </w:divBdr>
      <w:divsChild>
        <w:div w:id="1365254773">
          <w:marLeft w:val="0"/>
          <w:marRight w:val="0"/>
          <w:marTop w:val="0"/>
          <w:marBottom w:val="0"/>
          <w:divBdr>
            <w:top w:val="none" w:sz="0" w:space="0" w:color="auto"/>
            <w:left w:val="none" w:sz="0" w:space="0" w:color="auto"/>
            <w:bottom w:val="none" w:sz="0" w:space="0" w:color="auto"/>
            <w:right w:val="none" w:sz="0" w:space="0" w:color="auto"/>
          </w:divBdr>
        </w:div>
        <w:div w:id="97800779">
          <w:marLeft w:val="0"/>
          <w:marRight w:val="0"/>
          <w:marTop w:val="0"/>
          <w:marBottom w:val="0"/>
          <w:divBdr>
            <w:top w:val="none" w:sz="0" w:space="0" w:color="auto"/>
            <w:left w:val="none" w:sz="0" w:space="0" w:color="auto"/>
            <w:bottom w:val="none" w:sz="0" w:space="0" w:color="auto"/>
            <w:right w:val="none" w:sz="0" w:space="0" w:color="auto"/>
          </w:divBdr>
        </w:div>
      </w:divsChild>
    </w:div>
    <w:div w:id="677198241">
      <w:bodyDiv w:val="1"/>
      <w:marLeft w:val="0"/>
      <w:marRight w:val="0"/>
      <w:marTop w:val="0"/>
      <w:marBottom w:val="0"/>
      <w:divBdr>
        <w:top w:val="none" w:sz="0" w:space="0" w:color="auto"/>
        <w:left w:val="none" w:sz="0" w:space="0" w:color="auto"/>
        <w:bottom w:val="none" w:sz="0" w:space="0" w:color="auto"/>
        <w:right w:val="none" w:sz="0" w:space="0" w:color="auto"/>
      </w:divBdr>
    </w:div>
    <w:div w:id="698972510">
      <w:bodyDiv w:val="1"/>
      <w:marLeft w:val="0"/>
      <w:marRight w:val="0"/>
      <w:marTop w:val="0"/>
      <w:marBottom w:val="0"/>
      <w:divBdr>
        <w:top w:val="none" w:sz="0" w:space="0" w:color="auto"/>
        <w:left w:val="none" w:sz="0" w:space="0" w:color="auto"/>
        <w:bottom w:val="none" w:sz="0" w:space="0" w:color="auto"/>
        <w:right w:val="none" w:sz="0" w:space="0" w:color="auto"/>
      </w:divBdr>
    </w:div>
    <w:div w:id="788279089">
      <w:bodyDiv w:val="1"/>
      <w:marLeft w:val="0"/>
      <w:marRight w:val="0"/>
      <w:marTop w:val="0"/>
      <w:marBottom w:val="0"/>
      <w:divBdr>
        <w:top w:val="none" w:sz="0" w:space="0" w:color="auto"/>
        <w:left w:val="none" w:sz="0" w:space="0" w:color="auto"/>
        <w:bottom w:val="none" w:sz="0" w:space="0" w:color="auto"/>
        <w:right w:val="none" w:sz="0" w:space="0" w:color="auto"/>
      </w:divBdr>
    </w:div>
    <w:div w:id="1049113300">
      <w:bodyDiv w:val="1"/>
      <w:marLeft w:val="0"/>
      <w:marRight w:val="0"/>
      <w:marTop w:val="0"/>
      <w:marBottom w:val="0"/>
      <w:divBdr>
        <w:top w:val="none" w:sz="0" w:space="0" w:color="auto"/>
        <w:left w:val="none" w:sz="0" w:space="0" w:color="auto"/>
        <w:bottom w:val="none" w:sz="0" w:space="0" w:color="auto"/>
        <w:right w:val="none" w:sz="0" w:space="0" w:color="auto"/>
      </w:divBdr>
    </w:div>
    <w:div w:id="1141531780">
      <w:bodyDiv w:val="1"/>
      <w:marLeft w:val="0"/>
      <w:marRight w:val="0"/>
      <w:marTop w:val="0"/>
      <w:marBottom w:val="0"/>
      <w:divBdr>
        <w:top w:val="none" w:sz="0" w:space="0" w:color="auto"/>
        <w:left w:val="none" w:sz="0" w:space="0" w:color="auto"/>
        <w:bottom w:val="none" w:sz="0" w:space="0" w:color="auto"/>
        <w:right w:val="none" w:sz="0" w:space="0" w:color="auto"/>
      </w:divBdr>
    </w:div>
    <w:div w:id="1212886699">
      <w:bodyDiv w:val="1"/>
      <w:marLeft w:val="0"/>
      <w:marRight w:val="0"/>
      <w:marTop w:val="0"/>
      <w:marBottom w:val="0"/>
      <w:divBdr>
        <w:top w:val="none" w:sz="0" w:space="0" w:color="auto"/>
        <w:left w:val="none" w:sz="0" w:space="0" w:color="auto"/>
        <w:bottom w:val="none" w:sz="0" w:space="0" w:color="auto"/>
        <w:right w:val="none" w:sz="0" w:space="0" w:color="auto"/>
      </w:divBdr>
    </w:div>
    <w:div w:id="1256981075">
      <w:bodyDiv w:val="1"/>
      <w:marLeft w:val="0"/>
      <w:marRight w:val="0"/>
      <w:marTop w:val="0"/>
      <w:marBottom w:val="0"/>
      <w:divBdr>
        <w:top w:val="none" w:sz="0" w:space="0" w:color="auto"/>
        <w:left w:val="none" w:sz="0" w:space="0" w:color="auto"/>
        <w:bottom w:val="none" w:sz="0" w:space="0" w:color="auto"/>
        <w:right w:val="none" w:sz="0" w:space="0" w:color="auto"/>
      </w:divBdr>
    </w:div>
    <w:div w:id="1280408221">
      <w:bodyDiv w:val="1"/>
      <w:marLeft w:val="0"/>
      <w:marRight w:val="0"/>
      <w:marTop w:val="0"/>
      <w:marBottom w:val="0"/>
      <w:divBdr>
        <w:top w:val="none" w:sz="0" w:space="0" w:color="auto"/>
        <w:left w:val="none" w:sz="0" w:space="0" w:color="auto"/>
        <w:bottom w:val="none" w:sz="0" w:space="0" w:color="auto"/>
        <w:right w:val="none" w:sz="0" w:space="0" w:color="auto"/>
      </w:divBdr>
    </w:div>
    <w:div w:id="1352948112">
      <w:bodyDiv w:val="1"/>
      <w:marLeft w:val="0"/>
      <w:marRight w:val="0"/>
      <w:marTop w:val="0"/>
      <w:marBottom w:val="0"/>
      <w:divBdr>
        <w:top w:val="none" w:sz="0" w:space="0" w:color="auto"/>
        <w:left w:val="none" w:sz="0" w:space="0" w:color="auto"/>
        <w:bottom w:val="none" w:sz="0" w:space="0" w:color="auto"/>
        <w:right w:val="none" w:sz="0" w:space="0" w:color="auto"/>
      </w:divBdr>
    </w:div>
    <w:div w:id="1439567081">
      <w:bodyDiv w:val="1"/>
      <w:marLeft w:val="0"/>
      <w:marRight w:val="0"/>
      <w:marTop w:val="0"/>
      <w:marBottom w:val="0"/>
      <w:divBdr>
        <w:top w:val="none" w:sz="0" w:space="0" w:color="auto"/>
        <w:left w:val="none" w:sz="0" w:space="0" w:color="auto"/>
        <w:bottom w:val="none" w:sz="0" w:space="0" w:color="auto"/>
        <w:right w:val="none" w:sz="0" w:space="0" w:color="auto"/>
      </w:divBdr>
    </w:div>
    <w:div w:id="1549802796">
      <w:bodyDiv w:val="1"/>
      <w:marLeft w:val="0"/>
      <w:marRight w:val="0"/>
      <w:marTop w:val="0"/>
      <w:marBottom w:val="0"/>
      <w:divBdr>
        <w:top w:val="none" w:sz="0" w:space="0" w:color="auto"/>
        <w:left w:val="none" w:sz="0" w:space="0" w:color="auto"/>
        <w:bottom w:val="none" w:sz="0" w:space="0" w:color="auto"/>
        <w:right w:val="none" w:sz="0" w:space="0" w:color="auto"/>
      </w:divBdr>
    </w:div>
    <w:div w:id="1577399902">
      <w:bodyDiv w:val="1"/>
      <w:marLeft w:val="0"/>
      <w:marRight w:val="0"/>
      <w:marTop w:val="0"/>
      <w:marBottom w:val="0"/>
      <w:divBdr>
        <w:top w:val="none" w:sz="0" w:space="0" w:color="auto"/>
        <w:left w:val="none" w:sz="0" w:space="0" w:color="auto"/>
        <w:bottom w:val="none" w:sz="0" w:space="0" w:color="auto"/>
        <w:right w:val="none" w:sz="0" w:space="0" w:color="auto"/>
      </w:divBdr>
    </w:div>
    <w:div w:id="1656495221">
      <w:bodyDiv w:val="1"/>
      <w:marLeft w:val="0"/>
      <w:marRight w:val="0"/>
      <w:marTop w:val="0"/>
      <w:marBottom w:val="0"/>
      <w:divBdr>
        <w:top w:val="none" w:sz="0" w:space="0" w:color="auto"/>
        <w:left w:val="none" w:sz="0" w:space="0" w:color="auto"/>
        <w:bottom w:val="none" w:sz="0" w:space="0" w:color="auto"/>
        <w:right w:val="none" w:sz="0" w:space="0" w:color="auto"/>
      </w:divBdr>
    </w:div>
    <w:div w:id="1679036786">
      <w:bodyDiv w:val="1"/>
      <w:marLeft w:val="0"/>
      <w:marRight w:val="0"/>
      <w:marTop w:val="0"/>
      <w:marBottom w:val="0"/>
      <w:divBdr>
        <w:top w:val="none" w:sz="0" w:space="0" w:color="auto"/>
        <w:left w:val="none" w:sz="0" w:space="0" w:color="auto"/>
        <w:bottom w:val="none" w:sz="0" w:space="0" w:color="auto"/>
        <w:right w:val="none" w:sz="0" w:space="0" w:color="auto"/>
      </w:divBdr>
    </w:div>
    <w:div w:id="1779106154">
      <w:bodyDiv w:val="1"/>
      <w:marLeft w:val="0"/>
      <w:marRight w:val="0"/>
      <w:marTop w:val="0"/>
      <w:marBottom w:val="0"/>
      <w:divBdr>
        <w:top w:val="none" w:sz="0" w:space="0" w:color="auto"/>
        <w:left w:val="none" w:sz="0" w:space="0" w:color="auto"/>
        <w:bottom w:val="none" w:sz="0" w:space="0" w:color="auto"/>
        <w:right w:val="none" w:sz="0" w:space="0" w:color="auto"/>
      </w:divBdr>
    </w:div>
    <w:div w:id="1782843661">
      <w:bodyDiv w:val="1"/>
      <w:marLeft w:val="0"/>
      <w:marRight w:val="0"/>
      <w:marTop w:val="0"/>
      <w:marBottom w:val="0"/>
      <w:divBdr>
        <w:top w:val="none" w:sz="0" w:space="0" w:color="auto"/>
        <w:left w:val="none" w:sz="0" w:space="0" w:color="auto"/>
        <w:bottom w:val="none" w:sz="0" w:space="0" w:color="auto"/>
        <w:right w:val="none" w:sz="0" w:space="0" w:color="auto"/>
      </w:divBdr>
      <w:divsChild>
        <w:div w:id="812021611">
          <w:marLeft w:val="0"/>
          <w:marRight w:val="0"/>
          <w:marTop w:val="0"/>
          <w:marBottom w:val="0"/>
          <w:divBdr>
            <w:top w:val="none" w:sz="0" w:space="0" w:color="auto"/>
            <w:left w:val="none" w:sz="0" w:space="0" w:color="auto"/>
            <w:bottom w:val="none" w:sz="0" w:space="0" w:color="auto"/>
            <w:right w:val="none" w:sz="0" w:space="0" w:color="auto"/>
          </w:divBdr>
        </w:div>
        <w:div w:id="1620800820">
          <w:marLeft w:val="0"/>
          <w:marRight w:val="0"/>
          <w:marTop w:val="0"/>
          <w:marBottom w:val="0"/>
          <w:divBdr>
            <w:top w:val="none" w:sz="0" w:space="0" w:color="auto"/>
            <w:left w:val="none" w:sz="0" w:space="0" w:color="auto"/>
            <w:bottom w:val="none" w:sz="0" w:space="0" w:color="auto"/>
            <w:right w:val="none" w:sz="0" w:space="0" w:color="auto"/>
          </w:divBdr>
        </w:div>
      </w:divsChild>
    </w:div>
    <w:div w:id="1882206509">
      <w:bodyDiv w:val="1"/>
      <w:marLeft w:val="0"/>
      <w:marRight w:val="0"/>
      <w:marTop w:val="0"/>
      <w:marBottom w:val="0"/>
      <w:divBdr>
        <w:top w:val="none" w:sz="0" w:space="0" w:color="auto"/>
        <w:left w:val="none" w:sz="0" w:space="0" w:color="auto"/>
        <w:bottom w:val="none" w:sz="0" w:space="0" w:color="auto"/>
        <w:right w:val="none" w:sz="0" w:space="0" w:color="auto"/>
      </w:divBdr>
    </w:div>
    <w:div w:id="2050838501">
      <w:bodyDiv w:val="1"/>
      <w:marLeft w:val="0"/>
      <w:marRight w:val="0"/>
      <w:marTop w:val="0"/>
      <w:marBottom w:val="0"/>
      <w:divBdr>
        <w:top w:val="none" w:sz="0" w:space="0" w:color="auto"/>
        <w:left w:val="none" w:sz="0" w:space="0" w:color="auto"/>
        <w:bottom w:val="none" w:sz="0" w:space="0" w:color="auto"/>
        <w:right w:val="none" w:sz="0" w:space="0" w:color="auto"/>
      </w:divBdr>
    </w:div>
    <w:div w:id="206682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chart" Target="charts/chart1.xm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diagramData" Target="diagrams/data1.xml"/><Relationship Id="rId40"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chart" Target="charts/chart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chart" Target="charts/chart2.xml"/><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000Finance\DRM%20Assignment\Contagno%20or%20Backward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000Finance\DRM%20Assignment\Contagno%20or%20Backward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000Finance\DRM%20Assignment\Contagno%20or%20Backwardatio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Near Month</a:t>
            </a:r>
            <a:r>
              <a:rPr lang="en-IN" baseline="0"/>
              <a:t> Futures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Near!$B$1</c:f>
              <c:strCache>
                <c:ptCount val="1"/>
                <c:pt idx="0">
                  <c:v>Underlying Stock Monthly Prices</c:v>
                </c:pt>
              </c:strCache>
            </c:strRef>
          </c:tx>
          <c:spPr>
            <a:ln w="28575" cap="rnd">
              <a:solidFill>
                <a:schemeClr val="accent1"/>
              </a:solidFill>
              <a:round/>
            </a:ln>
            <a:effectLst/>
          </c:spPr>
          <c:marker>
            <c:symbol val="none"/>
          </c:marker>
          <c:cat>
            <c:numRef>
              <c:f>Near!$A$2:$A$12</c:f>
              <c:numCache>
                <c:formatCode>m/d/yyyy</c:formatCode>
                <c:ptCount val="11"/>
                <c:pt idx="0">
                  <c:v>43616</c:v>
                </c:pt>
                <c:pt idx="1">
                  <c:v>43646</c:v>
                </c:pt>
                <c:pt idx="2">
                  <c:v>43677</c:v>
                </c:pt>
                <c:pt idx="3">
                  <c:v>43708</c:v>
                </c:pt>
                <c:pt idx="4">
                  <c:v>43738</c:v>
                </c:pt>
                <c:pt idx="5">
                  <c:v>43769</c:v>
                </c:pt>
                <c:pt idx="6">
                  <c:v>43799</c:v>
                </c:pt>
                <c:pt idx="7">
                  <c:v>43830</c:v>
                </c:pt>
                <c:pt idx="8">
                  <c:v>43861</c:v>
                </c:pt>
                <c:pt idx="9">
                  <c:v>43890</c:v>
                </c:pt>
                <c:pt idx="10">
                  <c:v>43921</c:v>
                </c:pt>
              </c:numCache>
            </c:numRef>
          </c:cat>
          <c:val>
            <c:numRef>
              <c:f>Near!$B$2:$B$12</c:f>
              <c:numCache>
                <c:formatCode>General</c:formatCode>
                <c:ptCount val="11"/>
                <c:pt idx="0">
                  <c:v>11498.099609000001</c:v>
                </c:pt>
                <c:pt idx="1">
                  <c:v>11912.599609000001</c:v>
                </c:pt>
                <c:pt idx="2">
                  <c:v>11675.900390999999</c:v>
                </c:pt>
                <c:pt idx="3">
                  <c:v>12875.200194999999</c:v>
                </c:pt>
                <c:pt idx="4">
                  <c:v>13889.700194999999</c:v>
                </c:pt>
                <c:pt idx="5">
                  <c:v>14947</c:v>
                </c:pt>
                <c:pt idx="6">
                  <c:v>14454</c:v>
                </c:pt>
                <c:pt idx="7">
                  <c:v>14785.299805000001</c:v>
                </c:pt>
                <c:pt idx="8">
                  <c:v>15359.5</c:v>
                </c:pt>
                <c:pt idx="9">
                  <c:v>15778.799805000001</c:v>
                </c:pt>
                <c:pt idx="10">
                  <c:v>16300.599609000001</c:v>
                </c:pt>
              </c:numCache>
            </c:numRef>
          </c:val>
          <c:smooth val="0"/>
          <c:extLst>
            <c:ext xmlns:c16="http://schemas.microsoft.com/office/drawing/2014/chart" uri="{C3380CC4-5D6E-409C-BE32-E72D297353CC}">
              <c16:uniqueId val="{00000000-168E-4FA8-B0A4-D96434DE6523}"/>
            </c:ext>
          </c:extLst>
        </c:ser>
        <c:ser>
          <c:idx val="1"/>
          <c:order val="1"/>
          <c:tx>
            <c:strRef>
              <c:f>Near!$C$1</c:f>
              <c:strCache>
                <c:ptCount val="1"/>
                <c:pt idx="0">
                  <c:v>Near Month Monthly Prices</c:v>
                </c:pt>
              </c:strCache>
            </c:strRef>
          </c:tx>
          <c:spPr>
            <a:ln w="28575" cap="rnd">
              <a:solidFill>
                <a:schemeClr val="accent2"/>
              </a:solidFill>
              <a:round/>
            </a:ln>
            <a:effectLst/>
          </c:spPr>
          <c:marker>
            <c:symbol val="none"/>
          </c:marker>
          <c:cat>
            <c:numRef>
              <c:f>Near!$A$2:$A$12</c:f>
              <c:numCache>
                <c:formatCode>m/d/yyyy</c:formatCode>
                <c:ptCount val="11"/>
                <c:pt idx="0">
                  <c:v>43616</c:v>
                </c:pt>
                <c:pt idx="1">
                  <c:v>43646</c:v>
                </c:pt>
                <c:pt idx="2">
                  <c:v>43677</c:v>
                </c:pt>
                <c:pt idx="3">
                  <c:v>43708</c:v>
                </c:pt>
                <c:pt idx="4">
                  <c:v>43738</c:v>
                </c:pt>
                <c:pt idx="5">
                  <c:v>43769</c:v>
                </c:pt>
                <c:pt idx="6">
                  <c:v>43799</c:v>
                </c:pt>
                <c:pt idx="7">
                  <c:v>43830</c:v>
                </c:pt>
                <c:pt idx="8">
                  <c:v>43861</c:v>
                </c:pt>
                <c:pt idx="9">
                  <c:v>43890</c:v>
                </c:pt>
                <c:pt idx="10">
                  <c:v>43921</c:v>
                </c:pt>
              </c:numCache>
            </c:numRef>
          </c:cat>
          <c:val>
            <c:numRef>
              <c:f>Near!$C$2:$C$12</c:f>
              <c:numCache>
                <c:formatCode>General</c:formatCode>
                <c:ptCount val="11"/>
                <c:pt idx="0">
                  <c:v>11551.3</c:v>
                </c:pt>
                <c:pt idx="1">
                  <c:v>11958.55</c:v>
                </c:pt>
                <c:pt idx="2">
                  <c:v>11710.95</c:v>
                </c:pt>
                <c:pt idx="3">
                  <c:v>12893.05</c:v>
                </c:pt>
                <c:pt idx="4">
                  <c:v>13934.9</c:v>
                </c:pt>
                <c:pt idx="5">
                  <c:v>14947.25</c:v>
                </c:pt>
                <c:pt idx="6">
                  <c:v>14471.75</c:v>
                </c:pt>
                <c:pt idx="7">
                  <c:v>14861.9</c:v>
                </c:pt>
                <c:pt idx="8">
                  <c:v>15443.75</c:v>
                </c:pt>
                <c:pt idx="9">
                  <c:v>15735.75</c:v>
                </c:pt>
                <c:pt idx="10">
                  <c:v>16339.9</c:v>
                </c:pt>
              </c:numCache>
            </c:numRef>
          </c:val>
          <c:smooth val="0"/>
          <c:extLst>
            <c:ext xmlns:c16="http://schemas.microsoft.com/office/drawing/2014/chart" uri="{C3380CC4-5D6E-409C-BE32-E72D297353CC}">
              <c16:uniqueId val="{00000001-168E-4FA8-B0A4-D96434DE6523}"/>
            </c:ext>
          </c:extLst>
        </c:ser>
        <c:dLbls>
          <c:showLegendKey val="0"/>
          <c:showVal val="0"/>
          <c:showCatName val="0"/>
          <c:showSerName val="0"/>
          <c:showPercent val="0"/>
          <c:showBubbleSize val="0"/>
        </c:dLbls>
        <c:smooth val="0"/>
        <c:axId val="522525432"/>
        <c:axId val="319686256"/>
      </c:lineChart>
      <c:dateAx>
        <c:axId val="52252543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686256"/>
        <c:crosses val="autoZero"/>
        <c:auto val="1"/>
        <c:lblOffset val="100"/>
        <c:baseTimeUnit val="months"/>
      </c:dateAx>
      <c:valAx>
        <c:axId val="319686256"/>
        <c:scaling>
          <c:orientation val="minMax"/>
          <c:max val="17000"/>
          <c:min val="105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525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Next Month Futures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Next!$B$1</c:f>
              <c:strCache>
                <c:ptCount val="1"/>
                <c:pt idx="0">
                  <c:v>Underlying Stock Monthly Prices</c:v>
                </c:pt>
              </c:strCache>
            </c:strRef>
          </c:tx>
          <c:spPr>
            <a:ln w="28575" cap="rnd">
              <a:solidFill>
                <a:schemeClr val="accent1"/>
              </a:solidFill>
              <a:round/>
            </a:ln>
            <a:effectLst/>
          </c:spPr>
          <c:marker>
            <c:symbol val="none"/>
          </c:marker>
          <c:cat>
            <c:numRef>
              <c:f>Next!$A$2:$A$12</c:f>
              <c:numCache>
                <c:formatCode>m/d/yyyy</c:formatCode>
                <c:ptCount val="11"/>
                <c:pt idx="0">
                  <c:v>43616</c:v>
                </c:pt>
                <c:pt idx="1">
                  <c:v>43646</c:v>
                </c:pt>
                <c:pt idx="2">
                  <c:v>43677</c:v>
                </c:pt>
                <c:pt idx="3">
                  <c:v>43708</c:v>
                </c:pt>
                <c:pt idx="4">
                  <c:v>43738</c:v>
                </c:pt>
                <c:pt idx="5">
                  <c:v>43769</c:v>
                </c:pt>
                <c:pt idx="6">
                  <c:v>43799</c:v>
                </c:pt>
                <c:pt idx="7">
                  <c:v>43830</c:v>
                </c:pt>
                <c:pt idx="8">
                  <c:v>43861</c:v>
                </c:pt>
                <c:pt idx="9">
                  <c:v>43890</c:v>
                </c:pt>
                <c:pt idx="10">
                  <c:v>43921</c:v>
                </c:pt>
              </c:numCache>
            </c:numRef>
          </c:cat>
          <c:val>
            <c:numRef>
              <c:f>Next!$B$2:$B$12</c:f>
              <c:numCache>
                <c:formatCode>General</c:formatCode>
                <c:ptCount val="11"/>
                <c:pt idx="0">
                  <c:v>11498.099609000001</c:v>
                </c:pt>
                <c:pt idx="1">
                  <c:v>11912.599609000001</c:v>
                </c:pt>
                <c:pt idx="2">
                  <c:v>11675.900390999999</c:v>
                </c:pt>
                <c:pt idx="3">
                  <c:v>12875.200194999999</c:v>
                </c:pt>
                <c:pt idx="4">
                  <c:v>13889.700194999999</c:v>
                </c:pt>
                <c:pt idx="5">
                  <c:v>14947</c:v>
                </c:pt>
                <c:pt idx="6">
                  <c:v>14454</c:v>
                </c:pt>
                <c:pt idx="7">
                  <c:v>14785.299805000001</c:v>
                </c:pt>
                <c:pt idx="8">
                  <c:v>15359.5</c:v>
                </c:pt>
                <c:pt idx="9">
                  <c:v>15778.799805000001</c:v>
                </c:pt>
                <c:pt idx="10">
                  <c:v>16300.599609000001</c:v>
                </c:pt>
              </c:numCache>
            </c:numRef>
          </c:val>
          <c:smooth val="0"/>
          <c:extLst>
            <c:ext xmlns:c16="http://schemas.microsoft.com/office/drawing/2014/chart" uri="{C3380CC4-5D6E-409C-BE32-E72D297353CC}">
              <c16:uniqueId val="{00000000-C88F-4453-8120-60E8D8FBC5B8}"/>
            </c:ext>
          </c:extLst>
        </c:ser>
        <c:ser>
          <c:idx val="1"/>
          <c:order val="1"/>
          <c:tx>
            <c:strRef>
              <c:f>Next!$C$1</c:f>
              <c:strCache>
                <c:ptCount val="1"/>
                <c:pt idx="0">
                  <c:v>Next Month Monthly Prices</c:v>
                </c:pt>
              </c:strCache>
            </c:strRef>
          </c:tx>
          <c:spPr>
            <a:ln w="28575" cap="rnd">
              <a:solidFill>
                <a:schemeClr val="accent2"/>
              </a:solidFill>
              <a:round/>
            </a:ln>
            <a:effectLst/>
          </c:spPr>
          <c:marker>
            <c:symbol val="none"/>
          </c:marker>
          <c:cat>
            <c:numRef>
              <c:f>Next!$A$2:$A$12</c:f>
              <c:numCache>
                <c:formatCode>m/d/yyyy</c:formatCode>
                <c:ptCount val="11"/>
                <c:pt idx="0">
                  <c:v>43616</c:v>
                </c:pt>
                <c:pt idx="1">
                  <c:v>43646</c:v>
                </c:pt>
                <c:pt idx="2">
                  <c:v>43677</c:v>
                </c:pt>
                <c:pt idx="3">
                  <c:v>43708</c:v>
                </c:pt>
                <c:pt idx="4">
                  <c:v>43738</c:v>
                </c:pt>
                <c:pt idx="5">
                  <c:v>43769</c:v>
                </c:pt>
                <c:pt idx="6">
                  <c:v>43799</c:v>
                </c:pt>
                <c:pt idx="7">
                  <c:v>43830</c:v>
                </c:pt>
                <c:pt idx="8">
                  <c:v>43861</c:v>
                </c:pt>
                <c:pt idx="9">
                  <c:v>43890</c:v>
                </c:pt>
                <c:pt idx="10">
                  <c:v>43921</c:v>
                </c:pt>
              </c:numCache>
            </c:numRef>
          </c:cat>
          <c:val>
            <c:numRef>
              <c:f>Next!$C$2:$C$12</c:f>
              <c:numCache>
                <c:formatCode>General</c:formatCode>
                <c:ptCount val="11"/>
                <c:pt idx="0">
                  <c:v>11585</c:v>
                </c:pt>
                <c:pt idx="1">
                  <c:v>12050.2</c:v>
                </c:pt>
                <c:pt idx="2">
                  <c:v>11753.25</c:v>
                </c:pt>
                <c:pt idx="3">
                  <c:v>12973.1</c:v>
                </c:pt>
                <c:pt idx="4">
                  <c:v>13975.5</c:v>
                </c:pt>
                <c:pt idx="5">
                  <c:v>15019.5</c:v>
                </c:pt>
                <c:pt idx="6">
                  <c:v>14533.45</c:v>
                </c:pt>
                <c:pt idx="7">
                  <c:v>14920.65</c:v>
                </c:pt>
                <c:pt idx="8">
                  <c:v>15505.1</c:v>
                </c:pt>
                <c:pt idx="9">
                  <c:v>15788.85</c:v>
                </c:pt>
                <c:pt idx="10">
                  <c:v>16343.5</c:v>
                </c:pt>
              </c:numCache>
            </c:numRef>
          </c:val>
          <c:smooth val="0"/>
          <c:extLst>
            <c:ext xmlns:c16="http://schemas.microsoft.com/office/drawing/2014/chart" uri="{C3380CC4-5D6E-409C-BE32-E72D297353CC}">
              <c16:uniqueId val="{00000001-C88F-4453-8120-60E8D8FBC5B8}"/>
            </c:ext>
          </c:extLst>
        </c:ser>
        <c:dLbls>
          <c:showLegendKey val="0"/>
          <c:showVal val="0"/>
          <c:showCatName val="0"/>
          <c:showSerName val="0"/>
          <c:showPercent val="0"/>
          <c:showBubbleSize val="0"/>
        </c:dLbls>
        <c:smooth val="0"/>
        <c:axId val="522525112"/>
        <c:axId val="522520952"/>
      </c:lineChart>
      <c:dateAx>
        <c:axId val="52252511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520952"/>
        <c:crosses val="autoZero"/>
        <c:auto val="1"/>
        <c:lblOffset val="100"/>
        <c:baseTimeUnit val="months"/>
      </c:dateAx>
      <c:valAx>
        <c:axId val="522520952"/>
        <c:scaling>
          <c:orientation val="minMax"/>
          <c:max val="16500"/>
          <c:min val="1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525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Far Month</a:t>
            </a:r>
          </a:p>
          <a:p>
            <a:pPr>
              <a:defRPr/>
            </a:pP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Far!$B$1</c:f>
              <c:strCache>
                <c:ptCount val="1"/>
                <c:pt idx="0">
                  <c:v>Underlying Stock Monthly Prices</c:v>
                </c:pt>
              </c:strCache>
            </c:strRef>
          </c:tx>
          <c:spPr>
            <a:ln w="28575" cap="rnd">
              <a:solidFill>
                <a:schemeClr val="accent1"/>
              </a:solidFill>
              <a:round/>
            </a:ln>
            <a:effectLst/>
          </c:spPr>
          <c:marker>
            <c:symbol val="none"/>
          </c:marker>
          <c:cat>
            <c:numRef>
              <c:f>Far!$A$2:$A$12</c:f>
              <c:numCache>
                <c:formatCode>m/d/yyyy</c:formatCode>
                <c:ptCount val="11"/>
                <c:pt idx="0">
                  <c:v>43616</c:v>
                </c:pt>
                <c:pt idx="1">
                  <c:v>43646</c:v>
                </c:pt>
                <c:pt idx="2">
                  <c:v>43677</c:v>
                </c:pt>
                <c:pt idx="3">
                  <c:v>43708</c:v>
                </c:pt>
                <c:pt idx="4">
                  <c:v>43738</c:v>
                </c:pt>
                <c:pt idx="5">
                  <c:v>43769</c:v>
                </c:pt>
                <c:pt idx="6">
                  <c:v>43799</c:v>
                </c:pt>
                <c:pt idx="7">
                  <c:v>43830</c:v>
                </c:pt>
                <c:pt idx="8">
                  <c:v>43861</c:v>
                </c:pt>
                <c:pt idx="9">
                  <c:v>43890</c:v>
                </c:pt>
                <c:pt idx="10">
                  <c:v>43921</c:v>
                </c:pt>
              </c:numCache>
            </c:numRef>
          </c:cat>
          <c:val>
            <c:numRef>
              <c:f>Far!$B$2:$B$12</c:f>
              <c:numCache>
                <c:formatCode>General</c:formatCode>
                <c:ptCount val="11"/>
                <c:pt idx="0">
                  <c:v>11498.099609000001</c:v>
                </c:pt>
                <c:pt idx="1">
                  <c:v>11912.599609000001</c:v>
                </c:pt>
                <c:pt idx="2">
                  <c:v>11675.900390999999</c:v>
                </c:pt>
                <c:pt idx="3">
                  <c:v>12875.200194999999</c:v>
                </c:pt>
                <c:pt idx="4">
                  <c:v>13889.700194999999</c:v>
                </c:pt>
                <c:pt idx="5">
                  <c:v>14947</c:v>
                </c:pt>
                <c:pt idx="6">
                  <c:v>14454</c:v>
                </c:pt>
                <c:pt idx="7">
                  <c:v>14785.299805000001</c:v>
                </c:pt>
                <c:pt idx="8">
                  <c:v>15359.5</c:v>
                </c:pt>
                <c:pt idx="9">
                  <c:v>15778.799805000001</c:v>
                </c:pt>
                <c:pt idx="10">
                  <c:v>16300.599609000001</c:v>
                </c:pt>
              </c:numCache>
            </c:numRef>
          </c:val>
          <c:smooth val="0"/>
          <c:extLst>
            <c:ext xmlns:c16="http://schemas.microsoft.com/office/drawing/2014/chart" uri="{C3380CC4-5D6E-409C-BE32-E72D297353CC}">
              <c16:uniqueId val="{00000000-F3D7-423A-A53D-11C14B48DD8B}"/>
            </c:ext>
          </c:extLst>
        </c:ser>
        <c:ser>
          <c:idx val="1"/>
          <c:order val="1"/>
          <c:tx>
            <c:strRef>
              <c:f>Far!$C$1</c:f>
              <c:strCache>
                <c:ptCount val="1"/>
                <c:pt idx="0">
                  <c:v>Far Month Monthly Prices</c:v>
                </c:pt>
              </c:strCache>
            </c:strRef>
          </c:tx>
          <c:spPr>
            <a:ln w="28575" cap="rnd">
              <a:solidFill>
                <a:schemeClr val="accent2"/>
              </a:solidFill>
              <a:round/>
            </a:ln>
            <a:effectLst/>
          </c:spPr>
          <c:marker>
            <c:symbol val="none"/>
          </c:marker>
          <c:cat>
            <c:numRef>
              <c:f>Far!$A$2:$A$12</c:f>
              <c:numCache>
                <c:formatCode>m/d/yyyy</c:formatCode>
                <c:ptCount val="11"/>
                <c:pt idx="0">
                  <c:v>43616</c:v>
                </c:pt>
                <c:pt idx="1">
                  <c:v>43646</c:v>
                </c:pt>
                <c:pt idx="2">
                  <c:v>43677</c:v>
                </c:pt>
                <c:pt idx="3">
                  <c:v>43708</c:v>
                </c:pt>
                <c:pt idx="4">
                  <c:v>43738</c:v>
                </c:pt>
                <c:pt idx="5">
                  <c:v>43769</c:v>
                </c:pt>
                <c:pt idx="6">
                  <c:v>43799</c:v>
                </c:pt>
                <c:pt idx="7">
                  <c:v>43830</c:v>
                </c:pt>
                <c:pt idx="8">
                  <c:v>43861</c:v>
                </c:pt>
                <c:pt idx="9">
                  <c:v>43890</c:v>
                </c:pt>
                <c:pt idx="10">
                  <c:v>43921</c:v>
                </c:pt>
              </c:numCache>
            </c:numRef>
          </c:cat>
          <c:val>
            <c:numRef>
              <c:f>Far!$C$2:$C$12</c:f>
              <c:numCache>
                <c:formatCode>General</c:formatCode>
                <c:ptCount val="11"/>
                <c:pt idx="0">
                  <c:v>11697.75</c:v>
                </c:pt>
                <c:pt idx="1">
                  <c:v>12112.85</c:v>
                </c:pt>
                <c:pt idx="2">
                  <c:v>11870.85</c:v>
                </c:pt>
                <c:pt idx="3">
                  <c:v>13072.15</c:v>
                </c:pt>
                <c:pt idx="4">
                  <c:v>14096.1</c:v>
                </c:pt>
                <c:pt idx="5">
                  <c:v>15082.95</c:v>
                </c:pt>
                <c:pt idx="6">
                  <c:v>14660.75</c:v>
                </c:pt>
                <c:pt idx="7">
                  <c:v>14986.4</c:v>
                </c:pt>
                <c:pt idx="8">
                  <c:v>15578.85</c:v>
                </c:pt>
                <c:pt idx="9">
                  <c:v>15990.15</c:v>
                </c:pt>
                <c:pt idx="10">
                  <c:v>16480.150000000001</c:v>
                </c:pt>
              </c:numCache>
            </c:numRef>
          </c:val>
          <c:smooth val="0"/>
          <c:extLst>
            <c:ext xmlns:c16="http://schemas.microsoft.com/office/drawing/2014/chart" uri="{C3380CC4-5D6E-409C-BE32-E72D297353CC}">
              <c16:uniqueId val="{00000001-F3D7-423A-A53D-11C14B48DD8B}"/>
            </c:ext>
          </c:extLst>
        </c:ser>
        <c:dLbls>
          <c:showLegendKey val="0"/>
          <c:showVal val="0"/>
          <c:showCatName val="0"/>
          <c:showSerName val="0"/>
          <c:showPercent val="0"/>
          <c:showBubbleSize val="0"/>
        </c:dLbls>
        <c:smooth val="0"/>
        <c:axId val="552172816"/>
        <c:axId val="552173776"/>
      </c:lineChart>
      <c:dateAx>
        <c:axId val="55217281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173776"/>
        <c:crosses val="autoZero"/>
        <c:auto val="1"/>
        <c:lblOffset val="100"/>
        <c:baseTimeUnit val="months"/>
      </c:dateAx>
      <c:valAx>
        <c:axId val="552173776"/>
        <c:scaling>
          <c:orientation val="minMax"/>
          <c:max val="17500"/>
          <c:min val="1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172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8F8F27-18E5-479F-9FCA-F01DC83314C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IN"/>
        </a:p>
      </dgm:t>
    </dgm:pt>
    <dgm:pt modelId="{34D17FFE-8D04-4985-9956-D0AE723CC709}">
      <dgm:prSet phldrT="[Text]" custT="1"/>
      <dgm:spPr/>
      <dgm:t>
        <a:bodyPr/>
        <a:lstStyle/>
        <a:p>
          <a:pPr algn="ctr"/>
          <a:r>
            <a:rPr lang="en-IN" sz="3400"/>
            <a:t>S</a:t>
          </a:r>
          <a:r>
            <a:rPr lang="en-IN" sz="1800"/>
            <a:t>o</a:t>
          </a:r>
        </a:p>
        <a:p>
          <a:pPr algn="ctr"/>
          <a:r>
            <a:rPr lang="en-IN" sz="3400"/>
            <a:t>10879.9</a:t>
          </a:r>
        </a:p>
      </dgm:t>
    </dgm:pt>
    <dgm:pt modelId="{0D7AF0F0-24BE-493D-B4A7-544BC8801DDE}" type="parTrans" cxnId="{7FA494C4-1FEA-4F7F-9995-43E9E6CDBD75}">
      <dgm:prSet/>
      <dgm:spPr/>
      <dgm:t>
        <a:bodyPr/>
        <a:lstStyle/>
        <a:p>
          <a:pPr algn="ctr"/>
          <a:endParaRPr lang="en-IN"/>
        </a:p>
      </dgm:t>
    </dgm:pt>
    <dgm:pt modelId="{6C2B077F-24E2-4152-821E-B82C436DCB56}" type="sibTrans" cxnId="{7FA494C4-1FEA-4F7F-9995-43E9E6CDBD75}">
      <dgm:prSet/>
      <dgm:spPr/>
      <dgm:t>
        <a:bodyPr/>
        <a:lstStyle/>
        <a:p>
          <a:pPr algn="ctr"/>
          <a:endParaRPr lang="en-IN"/>
        </a:p>
      </dgm:t>
    </dgm:pt>
    <dgm:pt modelId="{DC925626-001A-4D76-82C5-1C1251C2D06F}">
      <dgm:prSet phldrT="[Text]" custT="1"/>
      <dgm:spPr/>
      <dgm:t>
        <a:bodyPr/>
        <a:lstStyle/>
        <a:p>
          <a:pPr algn="ctr"/>
          <a:r>
            <a:rPr lang="en-IN" sz="2800"/>
            <a:t>S</a:t>
          </a:r>
          <a:r>
            <a:rPr lang="en-IN" sz="1600"/>
            <a:t>o</a:t>
          </a:r>
          <a:r>
            <a:rPr lang="en-IN" sz="2800"/>
            <a:t>u</a:t>
          </a:r>
        </a:p>
        <a:p>
          <a:pPr algn="ctr"/>
          <a:r>
            <a:rPr lang="en-IN" sz="2800"/>
            <a:t>12003.27</a:t>
          </a:r>
          <a:endParaRPr lang="en-IN" sz="6500"/>
        </a:p>
      </dgm:t>
    </dgm:pt>
    <dgm:pt modelId="{D69BB687-2986-4AC5-82FA-38CA62837E1E}" type="parTrans" cxnId="{E75D7B8C-DBF9-4D65-913C-CC28A1346B8D}">
      <dgm:prSet/>
      <dgm:spPr/>
      <dgm:t>
        <a:bodyPr/>
        <a:lstStyle/>
        <a:p>
          <a:pPr algn="ctr"/>
          <a:endParaRPr lang="en-IN"/>
        </a:p>
      </dgm:t>
    </dgm:pt>
    <dgm:pt modelId="{83CA9F10-5835-4D04-BDA8-6E4C00A5E608}" type="sibTrans" cxnId="{E75D7B8C-DBF9-4D65-913C-CC28A1346B8D}">
      <dgm:prSet/>
      <dgm:spPr/>
      <dgm:t>
        <a:bodyPr/>
        <a:lstStyle/>
        <a:p>
          <a:pPr algn="ctr"/>
          <a:endParaRPr lang="en-IN"/>
        </a:p>
      </dgm:t>
    </dgm:pt>
    <dgm:pt modelId="{A29F324C-9578-48E2-8D0F-24B5E533E076}">
      <dgm:prSet phldrT="[Text]" custT="1"/>
      <dgm:spPr/>
      <dgm:t>
        <a:bodyPr/>
        <a:lstStyle/>
        <a:p>
          <a:pPr algn="ctr"/>
          <a:r>
            <a:rPr lang="en-IN" sz="2800"/>
            <a:t>S</a:t>
          </a:r>
          <a:r>
            <a:rPr lang="en-IN" sz="1600"/>
            <a:t>o</a:t>
          </a:r>
          <a:r>
            <a:rPr lang="en-IN" sz="2800"/>
            <a:t>d</a:t>
          </a:r>
        </a:p>
        <a:p>
          <a:pPr algn="ctr"/>
          <a:r>
            <a:rPr lang="en-IN" sz="2800"/>
            <a:t>9861.66</a:t>
          </a:r>
        </a:p>
      </dgm:t>
    </dgm:pt>
    <dgm:pt modelId="{91BCA56F-D01C-4B88-8881-E8B4661A9C8D}" type="parTrans" cxnId="{9F5E0956-73D5-400C-A2D4-A8C483A5E414}">
      <dgm:prSet/>
      <dgm:spPr/>
      <dgm:t>
        <a:bodyPr/>
        <a:lstStyle/>
        <a:p>
          <a:pPr algn="ctr"/>
          <a:endParaRPr lang="en-IN"/>
        </a:p>
      </dgm:t>
    </dgm:pt>
    <dgm:pt modelId="{DD117103-477E-4DD2-AB8A-3EEF76CD2678}" type="sibTrans" cxnId="{9F5E0956-73D5-400C-A2D4-A8C483A5E414}">
      <dgm:prSet/>
      <dgm:spPr/>
      <dgm:t>
        <a:bodyPr/>
        <a:lstStyle/>
        <a:p>
          <a:pPr algn="ctr"/>
          <a:endParaRPr lang="en-IN"/>
        </a:p>
      </dgm:t>
    </dgm:pt>
    <dgm:pt modelId="{A34B48FA-B9D3-4DF4-A010-1645377B6C1F}" type="pres">
      <dgm:prSet presAssocID="{2A8F8F27-18E5-479F-9FCA-F01DC83314CB}" presName="diagram" presStyleCnt="0">
        <dgm:presLayoutVars>
          <dgm:chPref val="1"/>
          <dgm:dir/>
          <dgm:animOne val="branch"/>
          <dgm:animLvl val="lvl"/>
          <dgm:resizeHandles val="exact"/>
        </dgm:presLayoutVars>
      </dgm:prSet>
      <dgm:spPr/>
    </dgm:pt>
    <dgm:pt modelId="{1172CF86-92BD-47A3-B7C4-7809B1502376}" type="pres">
      <dgm:prSet presAssocID="{34D17FFE-8D04-4985-9956-D0AE723CC709}" presName="root1" presStyleCnt="0"/>
      <dgm:spPr/>
    </dgm:pt>
    <dgm:pt modelId="{7CFBCEBF-890B-490A-83EC-68ACD0445478}" type="pres">
      <dgm:prSet presAssocID="{34D17FFE-8D04-4985-9956-D0AE723CC709}" presName="LevelOneTextNode" presStyleLbl="node0" presStyleIdx="0" presStyleCnt="1">
        <dgm:presLayoutVars>
          <dgm:chPref val="3"/>
        </dgm:presLayoutVars>
      </dgm:prSet>
      <dgm:spPr/>
    </dgm:pt>
    <dgm:pt modelId="{43F10420-78E0-41B8-8A9C-1AE59AFE4643}" type="pres">
      <dgm:prSet presAssocID="{34D17FFE-8D04-4985-9956-D0AE723CC709}" presName="level2hierChild" presStyleCnt="0"/>
      <dgm:spPr/>
    </dgm:pt>
    <dgm:pt modelId="{6CCAD8B6-FA60-4E89-A649-E97D58E48151}" type="pres">
      <dgm:prSet presAssocID="{D69BB687-2986-4AC5-82FA-38CA62837E1E}" presName="conn2-1" presStyleLbl="parChTrans1D2" presStyleIdx="0" presStyleCnt="2"/>
      <dgm:spPr/>
    </dgm:pt>
    <dgm:pt modelId="{5C5C2819-4AD1-4C76-B3D8-93EAA7DE7A53}" type="pres">
      <dgm:prSet presAssocID="{D69BB687-2986-4AC5-82FA-38CA62837E1E}" presName="connTx" presStyleLbl="parChTrans1D2" presStyleIdx="0" presStyleCnt="2"/>
      <dgm:spPr/>
    </dgm:pt>
    <dgm:pt modelId="{45630169-9715-448C-8CB6-E5D95E76FA13}" type="pres">
      <dgm:prSet presAssocID="{DC925626-001A-4D76-82C5-1C1251C2D06F}" presName="root2" presStyleCnt="0"/>
      <dgm:spPr/>
    </dgm:pt>
    <dgm:pt modelId="{D217295A-A373-45F5-ACF8-C941C22CCC88}" type="pres">
      <dgm:prSet presAssocID="{DC925626-001A-4D76-82C5-1C1251C2D06F}" presName="LevelTwoTextNode" presStyleLbl="node2" presStyleIdx="0" presStyleCnt="2" custScaleY="91788">
        <dgm:presLayoutVars>
          <dgm:chPref val="3"/>
        </dgm:presLayoutVars>
      </dgm:prSet>
      <dgm:spPr/>
    </dgm:pt>
    <dgm:pt modelId="{E116646A-9F7E-4AA6-9FA8-9AB067BC75C0}" type="pres">
      <dgm:prSet presAssocID="{DC925626-001A-4D76-82C5-1C1251C2D06F}" presName="level3hierChild" presStyleCnt="0"/>
      <dgm:spPr/>
    </dgm:pt>
    <dgm:pt modelId="{84B9F0EC-0B81-4459-A37A-476FB1CA929B}" type="pres">
      <dgm:prSet presAssocID="{91BCA56F-D01C-4B88-8881-E8B4661A9C8D}" presName="conn2-1" presStyleLbl="parChTrans1D2" presStyleIdx="1" presStyleCnt="2"/>
      <dgm:spPr/>
    </dgm:pt>
    <dgm:pt modelId="{D845A6E0-BD0F-4B47-A4F6-F1B8F4745DAB}" type="pres">
      <dgm:prSet presAssocID="{91BCA56F-D01C-4B88-8881-E8B4661A9C8D}" presName="connTx" presStyleLbl="parChTrans1D2" presStyleIdx="1" presStyleCnt="2"/>
      <dgm:spPr/>
    </dgm:pt>
    <dgm:pt modelId="{74DDB845-4D02-41ED-BCE0-B30C52C9A3B0}" type="pres">
      <dgm:prSet presAssocID="{A29F324C-9578-48E2-8D0F-24B5E533E076}" presName="root2" presStyleCnt="0"/>
      <dgm:spPr/>
    </dgm:pt>
    <dgm:pt modelId="{D2AE84F1-6BC9-429D-8DBF-64D0CC9DFBF3}" type="pres">
      <dgm:prSet presAssocID="{A29F324C-9578-48E2-8D0F-24B5E533E076}" presName="LevelTwoTextNode" presStyleLbl="node2" presStyleIdx="1" presStyleCnt="2" custScaleY="93447">
        <dgm:presLayoutVars>
          <dgm:chPref val="3"/>
        </dgm:presLayoutVars>
      </dgm:prSet>
      <dgm:spPr/>
    </dgm:pt>
    <dgm:pt modelId="{E633DFAD-B291-425C-8FA5-2083397A34E3}" type="pres">
      <dgm:prSet presAssocID="{A29F324C-9578-48E2-8D0F-24B5E533E076}" presName="level3hierChild" presStyleCnt="0"/>
      <dgm:spPr/>
    </dgm:pt>
  </dgm:ptLst>
  <dgm:cxnLst>
    <dgm:cxn modelId="{6343381F-0FA9-4F59-8648-F06919BB3FBA}" type="presOf" srcId="{91BCA56F-D01C-4B88-8881-E8B4661A9C8D}" destId="{D845A6E0-BD0F-4B47-A4F6-F1B8F4745DAB}" srcOrd="1" destOrd="0" presId="urn:microsoft.com/office/officeart/2005/8/layout/hierarchy2"/>
    <dgm:cxn modelId="{0AC1BD37-350B-42F8-8A23-3411ECCB4F9E}" type="presOf" srcId="{A29F324C-9578-48E2-8D0F-24B5E533E076}" destId="{D2AE84F1-6BC9-429D-8DBF-64D0CC9DFBF3}" srcOrd="0" destOrd="0" presId="urn:microsoft.com/office/officeart/2005/8/layout/hierarchy2"/>
    <dgm:cxn modelId="{E187E363-687E-4EBE-A06B-AD6ADC2B5143}" type="presOf" srcId="{D69BB687-2986-4AC5-82FA-38CA62837E1E}" destId="{5C5C2819-4AD1-4C76-B3D8-93EAA7DE7A53}" srcOrd="1" destOrd="0" presId="urn:microsoft.com/office/officeart/2005/8/layout/hierarchy2"/>
    <dgm:cxn modelId="{9F5E0956-73D5-400C-A2D4-A8C483A5E414}" srcId="{34D17FFE-8D04-4985-9956-D0AE723CC709}" destId="{A29F324C-9578-48E2-8D0F-24B5E533E076}" srcOrd="1" destOrd="0" parTransId="{91BCA56F-D01C-4B88-8881-E8B4661A9C8D}" sibTransId="{DD117103-477E-4DD2-AB8A-3EEF76CD2678}"/>
    <dgm:cxn modelId="{E0B27B7C-99C1-4412-8B35-C8BDB0632675}" type="presOf" srcId="{2A8F8F27-18E5-479F-9FCA-F01DC83314CB}" destId="{A34B48FA-B9D3-4DF4-A010-1645377B6C1F}" srcOrd="0" destOrd="0" presId="urn:microsoft.com/office/officeart/2005/8/layout/hierarchy2"/>
    <dgm:cxn modelId="{E75D7B8C-DBF9-4D65-913C-CC28A1346B8D}" srcId="{34D17FFE-8D04-4985-9956-D0AE723CC709}" destId="{DC925626-001A-4D76-82C5-1C1251C2D06F}" srcOrd="0" destOrd="0" parTransId="{D69BB687-2986-4AC5-82FA-38CA62837E1E}" sibTransId="{83CA9F10-5835-4D04-BDA8-6E4C00A5E608}"/>
    <dgm:cxn modelId="{992563AF-188E-44C4-B1BF-776251541CBA}" type="presOf" srcId="{DC925626-001A-4D76-82C5-1C1251C2D06F}" destId="{D217295A-A373-45F5-ACF8-C941C22CCC88}" srcOrd="0" destOrd="0" presId="urn:microsoft.com/office/officeart/2005/8/layout/hierarchy2"/>
    <dgm:cxn modelId="{7FA494C4-1FEA-4F7F-9995-43E9E6CDBD75}" srcId="{2A8F8F27-18E5-479F-9FCA-F01DC83314CB}" destId="{34D17FFE-8D04-4985-9956-D0AE723CC709}" srcOrd="0" destOrd="0" parTransId="{0D7AF0F0-24BE-493D-B4A7-544BC8801DDE}" sibTransId="{6C2B077F-24E2-4152-821E-B82C436DCB56}"/>
    <dgm:cxn modelId="{FD4A68CC-CD87-49E7-B2DC-E73701BEC128}" type="presOf" srcId="{91BCA56F-D01C-4B88-8881-E8B4661A9C8D}" destId="{84B9F0EC-0B81-4459-A37A-476FB1CA929B}" srcOrd="0" destOrd="0" presId="urn:microsoft.com/office/officeart/2005/8/layout/hierarchy2"/>
    <dgm:cxn modelId="{3A31FDCD-39F2-4D62-BA56-E08363A611F6}" type="presOf" srcId="{D69BB687-2986-4AC5-82FA-38CA62837E1E}" destId="{6CCAD8B6-FA60-4E89-A649-E97D58E48151}" srcOrd="0" destOrd="0" presId="urn:microsoft.com/office/officeart/2005/8/layout/hierarchy2"/>
    <dgm:cxn modelId="{EA5317FE-2EB4-4EA0-A9F4-1AE714E02F8E}" type="presOf" srcId="{34D17FFE-8D04-4985-9956-D0AE723CC709}" destId="{7CFBCEBF-890B-490A-83EC-68ACD0445478}" srcOrd="0" destOrd="0" presId="urn:microsoft.com/office/officeart/2005/8/layout/hierarchy2"/>
    <dgm:cxn modelId="{F2024DBD-8E43-417C-9C5C-5C0C54DB1C7E}" type="presParOf" srcId="{A34B48FA-B9D3-4DF4-A010-1645377B6C1F}" destId="{1172CF86-92BD-47A3-B7C4-7809B1502376}" srcOrd="0" destOrd="0" presId="urn:microsoft.com/office/officeart/2005/8/layout/hierarchy2"/>
    <dgm:cxn modelId="{3E85D01B-8621-4F87-ADED-5355C9471899}" type="presParOf" srcId="{1172CF86-92BD-47A3-B7C4-7809B1502376}" destId="{7CFBCEBF-890B-490A-83EC-68ACD0445478}" srcOrd="0" destOrd="0" presId="urn:microsoft.com/office/officeart/2005/8/layout/hierarchy2"/>
    <dgm:cxn modelId="{6A7CE9F0-FDDF-4C3F-9513-3D86F1F5A960}" type="presParOf" srcId="{1172CF86-92BD-47A3-B7C4-7809B1502376}" destId="{43F10420-78E0-41B8-8A9C-1AE59AFE4643}" srcOrd="1" destOrd="0" presId="urn:microsoft.com/office/officeart/2005/8/layout/hierarchy2"/>
    <dgm:cxn modelId="{589117DC-95F6-4DFD-91F2-66B70B5C3FEE}" type="presParOf" srcId="{43F10420-78E0-41B8-8A9C-1AE59AFE4643}" destId="{6CCAD8B6-FA60-4E89-A649-E97D58E48151}" srcOrd="0" destOrd="0" presId="urn:microsoft.com/office/officeart/2005/8/layout/hierarchy2"/>
    <dgm:cxn modelId="{402EE405-2D79-406D-B53E-35C0E4B6196A}" type="presParOf" srcId="{6CCAD8B6-FA60-4E89-A649-E97D58E48151}" destId="{5C5C2819-4AD1-4C76-B3D8-93EAA7DE7A53}" srcOrd="0" destOrd="0" presId="urn:microsoft.com/office/officeart/2005/8/layout/hierarchy2"/>
    <dgm:cxn modelId="{E3576C71-B862-4FC7-9499-DD0BCCC413F4}" type="presParOf" srcId="{43F10420-78E0-41B8-8A9C-1AE59AFE4643}" destId="{45630169-9715-448C-8CB6-E5D95E76FA13}" srcOrd="1" destOrd="0" presId="urn:microsoft.com/office/officeart/2005/8/layout/hierarchy2"/>
    <dgm:cxn modelId="{5DED1CF2-C03F-471A-8ACF-D57318244240}" type="presParOf" srcId="{45630169-9715-448C-8CB6-E5D95E76FA13}" destId="{D217295A-A373-45F5-ACF8-C941C22CCC88}" srcOrd="0" destOrd="0" presId="urn:microsoft.com/office/officeart/2005/8/layout/hierarchy2"/>
    <dgm:cxn modelId="{6AF780C3-2381-4D5E-BFD4-28C0D679A7C4}" type="presParOf" srcId="{45630169-9715-448C-8CB6-E5D95E76FA13}" destId="{E116646A-9F7E-4AA6-9FA8-9AB067BC75C0}" srcOrd="1" destOrd="0" presId="urn:microsoft.com/office/officeart/2005/8/layout/hierarchy2"/>
    <dgm:cxn modelId="{4B400A12-D862-4499-856D-AFE0A36D7ECD}" type="presParOf" srcId="{43F10420-78E0-41B8-8A9C-1AE59AFE4643}" destId="{84B9F0EC-0B81-4459-A37A-476FB1CA929B}" srcOrd="2" destOrd="0" presId="urn:microsoft.com/office/officeart/2005/8/layout/hierarchy2"/>
    <dgm:cxn modelId="{973FF7E9-F0BD-404E-96FD-F4324BE53FB2}" type="presParOf" srcId="{84B9F0EC-0B81-4459-A37A-476FB1CA929B}" destId="{D845A6E0-BD0F-4B47-A4F6-F1B8F4745DAB}" srcOrd="0" destOrd="0" presId="urn:microsoft.com/office/officeart/2005/8/layout/hierarchy2"/>
    <dgm:cxn modelId="{9C243A61-DB6F-436C-A0F4-8A723AFE3F70}" type="presParOf" srcId="{43F10420-78E0-41B8-8A9C-1AE59AFE4643}" destId="{74DDB845-4D02-41ED-BCE0-B30C52C9A3B0}" srcOrd="3" destOrd="0" presId="urn:microsoft.com/office/officeart/2005/8/layout/hierarchy2"/>
    <dgm:cxn modelId="{52E0096D-B6CA-4B69-884C-F3671D845220}" type="presParOf" srcId="{74DDB845-4D02-41ED-BCE0-B30C52C9A3B0}" destId="{D2AE84F1-6BC9-429D-8DBF-64D0CC9DFBF3}" srcOrd="0" destOrd="0" presId="urn:microsoft.com/office/officeart/2005/8/layout/hierarchy2"/>
    <dgm:cxn modelId="{8D93F8C8-C8D5-4204-B180-D7BB12C93F63}" type="presParOf" srcId="{74DDB845-4D02-41ED-BCE0-B30C52C9A3B0}" destId="{E633DFAD-B291-425C-8FA5-2083397A34E3}" srcOrd="1" destOrd="0" presId="urn:microsoft.com/office/officeart/2005/8/layout/hierarchy2"/>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FBCEBF-890B-490A-83EC-68ACD0445478}">
      <dsp:nvSpPr>
        <dsp:cNvPr id="0" name=""/>
        <dsp:cNvSpPr/>
      </dsp:nvSpPr>
      <dsp:spPr>
        <a:xfrm>
          <a:off x="2981" y="802811"/>
          <a:ext cx="1883994" cy="941997"/>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1511300">
            <a:lnSpc>
              <a:spcPct val="90000"/>
            </a:lnSpc>
            <a:spcBef>
              <a:spcPct val="0"/>
            </a:spcBef>
            <a:spcAft>
              <a:spcPct val="35000"/>
            </a:spcAft>
            <a:buNone/>
          </a:pPr>
          <a:r>
            <a:rPr lang="en-IN" sz="3400" kern="1200"/>
            <a:t>S</a:t>
          </a:r>
          <a:r>
            <a:rPr lang="en-IN" sz="1800" kern="1200"/>
            <a:t>o</a:t>
          </a:r>
        </a:p>
        <a:p>
          <a:pPr marL="0" lvl="0" indent="0" algn="ctr" defTabSz="1511300">
            <a:lnSpc>
              <a:spcPct val="90000"/>
            </a:lnSpc>
            <a:spcBef>
              <a:spcPct val="0"/>
            </a:spcBef>
            <a:spcAft>
              <a:spcPct val="35000"/>
            </a:spcAft>
            <a:buNone/>
          </a:pPr>
          <a:r>
            <a:rPr lang="en-IN" sz="3400" kern="1200"/>
            <a:t>10879.9</a:t>
          </a:r>
        </a:p>
      </dsp:txBody>
      <dsp:txXfrm>
        <a:off x="30571" y="830401"/>
        <a:ext cx="1828814" cy="886817"/>
      </dsp:txXfrm>
    </dsp:sp>
    <dsp:sp modelId="{6CCAD8B6-FA60-4E89-A649-E97D58E48151}">
      <dsp:nvSpPr>
        <dsp:cNvPr id="0" name=""/>
        <dsp:cNvSpPr/>
      </dsp:nvSpPr>
      <dsp:spPr>
        <a:xfrm rot="19552250">
          <a:off x="1808580" y="985140"/>
          <a:ext cx="910389" cy="66556"/>
        </a:xfrm>
        <a:custGeom>
          <a:avLst/>
          <a:gdLst/>
          <a:ahLst/>
          <a:cxnLst/>
          <a:rect l="0" t="0" r="0" b="0"/>
          <a:pathLst>
            <a:path>
              <a:moveTo>
                <a:pt x="0" y="33278"/>
              </a:moveTo>
              <a:lnTo>
                <a:pt x="910389" y="33278"/>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241015" y="995658"/>
        <a:ext cx="45519" cy="45519"/>
      </dsp:txXfrm>
    </dsp:sp>
    <dsp:sp modelId="{D217295A-A373-45F5-ACF8-C941C22CCC88}">
      <dsp:nvSpPr>
        <dsp:cNvPr id="0" name=""/>
        <dsp:cNvSpPr/>
      </dsp:nvSpPr>
      <dsp:spPr>
        <a:xfrm>
          <a:off x="2640573" y="330706"/>
          <a:ext cx="1883994" cy="864640"/>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IN" sz="2800" kern="1200"/>
            <a:t>S</a:t>
          </a:r>
          <a:r>
            <a:rPr lang="en-IN" sz="1600" kern="1200"/>
            <a:t>o</a:t>
          </a:r>
          <a:r>
            <a:rPr lang="en-IN" sz="2800" kern="1200"/>
            <a:t>u</a:t>
          </a:r>
        </a:p>
        <a:p>
          <a:pPr marL="0" lvl="0" indent="0" algn="ctr" defTabSz="1244600">
            <a:lnSpc>
              <a:spcPct val="90000"/>
            </a:lnSpc>
            <a:spcBef>
              <a:spcPct val="0"/>
            </a:spcBef>
            <a:spcAft>
              <a:spcPct val="35000"/>
            </a:spcAft>
            <a:buNone/>
          </a:pPr>
          <a:r>
            <a:rPr lang="en-IN" sz="2800" kern="1200"/>
            <a:t>12003.27</a:t>
          </a:r>
          <a:endParaRPr lang="en-IN" sz="6500" kern="1200"/>
        </a:p>
      </dsp:txBody>
      <dsp:txXfrm>
        <a:off x="2665897" y="356030"/>
        <a:ext cx="1833346" cy="813992"/>
      </dsp:txXfrm>
    </dsp:sp>
    <dsp:sp modelId="{84B9F0EC-0B81-4459-A37A-476FB1CA929B}">
      <dsp:nvSpPr>
        <dsp:cNvPr id="0" name=""/>
        <dsp:cNvSpPr/>
      </dsp:nvSpPr>
      <dsp:spPr>
        <a:xfrm rot="2023208">
          <a:off x="1810760" y="1492016"/>
          <a:ext cx="906028" cy="66556"/>
        </a:xfrm>
        <a:custGeom>
          <a:avLst/>
          <a:gdLst/>
          <a:ahLst/>
          <a:cxnLst/>
          <a:rect l="0" t="0" r="0" b="0"/>
          <a:pathLst>
            <a:path>
              <a:moveTo>
                <a:pt x="0" y="33278"/>
              </a:moveTo>
              <a:lnTo>
                <a:pt x="906028" y="33278"/>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241124" y="1502644"/>
        <a:ext cx="45301" cy="45301"/>
      </dsp:txXfrm>
    </dsp:sp>
    <dsp:sp modelId="{D2AE84F1-6BC9-429D-8DBF-64D0CC9DFBF3}">
      <dsp:nvSpPr>
        <dsp:cNvPr id="0" name=""/>
        <dsp:cNvSpPr/>
      </dsp:nvSpPr>
      <dsp:spPr>
        <a:xfrm>
          <a:off x="2640573" y="1336645"/>
          <a:ext cx="1883994" cy="880268"/>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IN" sz="2800" kern="1200"/>
            <a:t>S</a:t>
          </a:r>
          <a:r>
            <a:rPr lang="en-IN" sz="1600" kern="1200"/>
            <a:t>o</a:t>
          </a:r>
          <a:r>
            <a:rPr lang="en-IN" sz="2800" kern="1200"/>
            <a:t>d</a:t>
          </a:r>
        </a:p>
        <a:p>
          <a:pPr marL="0" lvl="0" indent="0" algn="ctr" defTabSz="1244600">
            <a:lnSpc>
              <a:spcPct val="90000"/>
            </a:lnSpc>
            <a:spcBef>
              <a:spcPct val="0"/>
            </a:spcBef>
            <a:spcAft>
              <a:spcPct val="35000"/>
            </a:spcAft>
            <a:buNone/>
          </a:pPr>
          <a:r>
            <a:rPr lang="en-IN" sz="2800" kern="1200"/>
            <a:t>9861.66</a:t>
          </a:r>
        </a:p>
      </dsp:txBody>
      <dsp:txXfrm>
        <a:off x="2666355" y="1362427"/>
        <a:ext cx="1832430" cy="82870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The18</b:Tag>
    <b:SourceType>InternetSite</b:SourceType>
    <b:Guid>{9A4F5BCD-CE34-4AFE-B05F-50E41B5A02BC}</b:Guid>
    <b:Title>CSR Report: Nestlé India spent above 2% of average net profits</b:Title>
    <b:Year>2018</b:Year>
    <b:Author>
      <b:Author>
        <b:Corporate>The CSR Journal</b:Corporate>
      </b:Author>
    </b:Author>
    <b:InternetSiteTitle>The CSR Journal</b:InternetSiteTitle>
    <b:Month>December</b:Month>
    <b:Day>11</b:Day>
    <b:URL>https://thecsrjournal.in/csr-report-nestle-india-spent-above-2-of-average-net-profits/</b:URL>
    <b:RefOrder>4</b:RefOrder>
  </b:Source>
  <b:Source>
    <b:Tag>Nes</b:Tag>
    <b:SourceType>InternetSite</b:SourceType>
    <b:Guid>{14C7DFE9-CEF5-4908-8359-E6567CAAF43B}</b:Guid>
    <b:Author>
      <b:Author>
        <b:Corporate>Nestlé</b:Corporate>
      </b:Author>
    </b:Author>
    <b:Title>Nestlé Company History</b:Title>
    <b:InternetSiteTitle>Nestle</b:InternetSiteTitle>
    <b:URL>https://www.nestle.com/aboutus/history/nestle-company-history</b:URL>
    <b:RefOrder>2</b:RefOrder>
  </b:Source>
  <b:Source>
    <b:Tag>Mar15</b:Tag>
    <b:SourceType>InternetSite</b:SourceType>
    <b:Guid>{D77CE626-80A0-41E6-A065-092DDA9AA0C0}</b:Guid>
    <b:Author>
      <b:Author>
        <b:NameList>
          <b:Person>
            <b:Last>Luenendonk</b:Last>
            <b:First>Martin</b:First>
          </b:Person>
        </b:NameList>
      </b:Author>
    </b:Author>
    <b:Title>The History of Neslé</b:Title>
    <b:InternetSiteTitle>Cleverism</b:InternetSiteTitle>
    <b:Year>2015</b:Year>
    <b:Month>September</b:Month>
    <b:Day>3</b:Day>
    <b:URL>https://www.cleverism.com/the-history-of-nestle/</b:URL>
    <b:RefOrder>3</b:RefOrder>
  </b:Source>
  <b:Source>
    <b:Tag>Nes1</b:Tag>
    <b:SourceType>InternetSite</b:SourceType>
    <b:Guid>{939E026D-D9FF-4230-8420-66BC8A552626}</b:Guid>
    <b:Author>
      <b:Author>
        <b:Corporate>Nestlé</b:Corporate>
      </b:Author>
    </b:Author>
    <b:Title>Logo Evolution</b:Title>
    <b:InternetSiteTitle>Nestlé</b:InternetSiteTitle>
    <b:URL>https://www.nestle.com/aboutus/history/logo-evolution</b:URL>
    <b:RefOrder>1</b:RefOrder>
  </b:Source>
  <b:Source>
    <b:Tag>Sub</b:Tag>
    <b:SourceType>InternetSite</b:SourceType>
    <b:Guid>{ABB18688-DDFF-4DE1-B15B-73BF68FFB6D6}</b:Guid>
    <b:Author>
      <b:Author>
        <b:Corporate>Subjecto</b:Corporate>
      </b:Author>
    </b:Author>
    <b:Title>Introduction and Company Profile of Nestlé</b:Title>
    <b:InternetSiteTitle>Subjecto</b:InternetSiteTitle>
    <b:URL>https://subjecto.com/introduction-and-company-profile-of-nestle</b:URL>
    <b:RefOrder>5</b:RefOrder>
  </b:Source>
  <b:Source>
    <b:Tag>CME</b:Tag>
    <b:SourceType>InternetSite</b:SourceType>
    <b:Guid>{99DD3639-3B2B-45D2-9A1B-69EF78511DD1}</b:Guid>
    <b:Author>
      <b:Author>
        <b:Corporate>CME Group</b:Corporate>
      </b:Author>
    </b:Author>
    <b:Title>What is Contango and Backwardation</b:Title>
    <b:InternetSiteTitle>CME Group</b:InternetSiteTitle>
    <b:URL>https://www.cmegroup.com/education/courses/introduction-to-ferrous-metals/what-is-contango-and-backwardation.html</b:URL>
    <b:RefOrder>7</b:RefOrder>
  </b:Source>
  <b:Source>
    <b:Tag>Dav19</b:Tag>
    <b:SourceType>InternetSite</b:SourceType>
    <b:Guid>{17F1B891-02CB-44E5-91EE-3BCBCEF8539D}</b:Guid>
    <b:Author>
      <b:Author>
        <b:NameList>
          <b:Person>
            <b:Last>Harpe</b:Last>
            <b:First>David</b:First>
            <b:Middle>R.</b:Middle>
          </b:Person>
        </b:NameList>
      </b:Author>
    </b:Author>
    <b:Title>Contango &amp; Backwardation: What's the difference?</b:Title>
    <b:InternetSiteTitle>Investopedia</b:InternetSiteTitle>
    <b:Year>2019</b:Year>
    <b:Month>May</b:Month>
    <b:Day>14</b:Day>
    <b:URL>https://www.investopedia.com/articles/07/contango_backwardation.asp</b:URL>
    <b:RefOrder>6</b:RefOrder>
  </b:Source>
</b:Sources>
</file>

<file path=customXml/itemProps1.xml><?xml version="1.0" encoding="utf-8"?>
<ds:datastoreItem xmlns:ds="http://schemas.openxmlformats.org/officeDocument/2006/customXml" ds:itemID="{1723896A-53D4-4C39-BAB3-71310856B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6197</TotalTime>
  <Pages>32</Pages>
  <Words>4454</Words>
  <Characters>25393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madhavanshubh@gmail.com</dc:creator>
  <cp:keywords/>
  <dc:description/>
  <cp:lastModifiedBy>madhavanshubh@gmail.com</cp:lastModifiedBy>
  <cp:revision>549</cp:revision>
  <dcterms:created xsi:type="dcterms:W3CDTF">2020-04-10T09:16:00Z</dcterms:created>
  <dcterms:modified xsi:type="dcterms:W3CDTF">2020-04-19T17:22:00Z</dcterms:modified>
</cp:coreProperties>
</file>