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w:hAnsi="Aptos"/>
          <w:b/>
          <w:color w:val="00708C"/>
          <w:sz w:val="26"/>
        </w:rPr>
        <w:t>PROJECT DOCUMENTATION</w:t>
      </w:r>
    </w:p>
    <w:p>
      <w:pPr>
        <w:pStyle w:val="Title"/>
        <w:spacing w:before="480"/>
        <w:jc w:val="center"/>
      </w:pPr>
      <w:r>
        <w:t>Judicial Court Process</w:t>
        <w:br/>
        <w:t>&amp; Case Flow Explainer Bot</w:t>
      </w:r>
    </w:p>
    <w:p>
      <w:pPr>
        <w:spacing w:before="240"/>
        <w:jc w:val="center"/>
      </w:pPr>
      <w:r>
        <w:rPr>
          <w:i/>
          <w:color w:val="505F6E"/>
          <w:sz w:val="30"/>
        </w:rPr>
        <w:t>A Responsible Generative AI Application</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1F8"/>
          </w:tcPr>
          <w:p>
            <w:pPr>
              <w:spacing w:after="40"/>
            </w:pPr>
            <w:r/>
            <w:r>
              <w:rPr>
                <w:rFonts w:ascii="Aptos" w:hAnsi="Aptos"/>
                <w:b/>
                <w:color w:val="1F4E79"/>
                <w:sz w:val="20"/>
              </w:rPr>
              <w:t>Industry Domain</w:t>
            </w:r>
          </w:p>
        </w:tc>
        <w:tc>
          <w:tcPr>
            <w:tcW w:type="dxa" w:w="4968"/>
            <w:vAlign w:val="center"/>
          </w:tcPr>
          <w:p>
            <w:pPr>
              <w:spacing w:after="40"/>
            </w:pPr>
            <w:r/>
            <w:r>
              <w:rPr>
                <w:rFonts w:ascii="Aptos" w:hAnsi="Aptos"/>
                <w:b w:val="0"/>
                <w:sz w:val="20"/>
              </w:rPr>
              <w:t>Judicial Administration / Courts</w:t>
            </w:r>
          </w:p>
        </w:tc>
      </w:tr>
      <w:tr>
        <w:tc>
          <w:tcPr>
            <w:tcW w:type="dxa" w:w="4968"/>
            <w:vAlign w:val="center"/>
            <w:shd w:fill="EAF1F8"/>
          </w:tcPr>
          <w:p>
            <w:pPr>
              <w:spacing w:after="40"/>
            </w:pPr>
            <w:r/>
            <w:r>
              <w:rPr>
                <w:rFonts w:ascii="Aptos" w:hAnsi="Aptos"/>
                <w:b/>
                <w:color w:val="1F4E79"/>
                <w:sz w:val="20"/>
              </w:rPr>
              <w:t>Project Type</w:t>
            </w:r>
          </w:p>
        </w:tc>
        <w:tc>
          <w:tcPr>
            <w:tcW w:type="dxa" w:w="4968"/>
            <w:vAlign w:val="center"/>
            <w:shd w:fill="F8FAFC"/>
          </w:tcPr>
          <w:p>
            <w:pPr>
              <w:spacing w:after="40"/>
            </w:pPr>
            <w:r/>
            <w:r>
              <w:rPr>
                <w:rFonts w:ascii="Aptos" w:hAnsi="Aptos"/>
                <w:b w:val="0"/>
                <w:sz w:val="20"/>
              </w:rPr>
              <w:t>Generative Artificial Intelligence (GenAI)</w:t>
            </w:r>
          </w:p>
        </w:tc>
      </w:tr>
      <w:tr>
        <w:tc>
          <w:tcPr>
            <w:tcW w:type="dxa" w:w="4968"/>
            <w:vAlign w:val="center"/>
            <w:shd w:fill="EAF1F8"/>
          </w:tcPr>
          <w:p>
            <w:pPr>
              <w:spacing w:after="40"/>
            </w:pPr>
            <w:r/>
            <w:r>
              <w:rPr>
                <w:rFonts w:ascii="Aptos" w:hAnsi="Aptos"/>
                <w:b/>
                <w:color w:val="1F4E79"/>
                <w:sz w:val="20"/>
              </w:rPr>
              <w:t>Team Size</w:t>
            </w:r>
          </w:p>
        </w:tc>
        <w:tc>
          <w:tcPr>
            <w:tcW w:type="dxa" w:w="4968"/>
            <w:vAlign w:val="center"/>
          </w:tcPr>
          <w:p>
            <w:pPr>
              <w:spacing w:after="40"/>
            </w:pPr>
            <w:r/>
            <w:r>
              <w:rPr>
                <w:rFonts w:ascii="Aptos" w:hAnsi="Aptos"/>
                <w:b w:val="0"/>
                <w:sz w:val="20"/>
              </w:rPr>
              <w:t>2 Members</w:t>
            </w:r>
          </w:p>
        </w:tc>
      </w:tr>
      <w:tr>
        <w:tc>
          <w:tcPr>
            <w:tcW w:type="dxa" w:w="4968"/>
            <w:vAlign w:val="center"/>
            <w:shd w:fill="EAF1F8"/>
          </w:tcPr>
          <w:p>
            <w:pPr>
              <w:spacing w:after="40"/>
            </w:pPr>
            <w:r/>
            <w:r>
              <w:rPr>
                <w:rFonts w:ascii="Aptos" w:hAnsi="Aptos"/>
                <w:b/>
                <w:color w:val="1F4E79"/>
                <w:sz w:val="20"/>
              </w:rPr>
              <w:t>Core Technologies</w:t>
            </w:r>
          </w:p>
        </w:tc>
        <w:tc>
          <w:tcPr>
            <w:tcW w:type="dxa" w:w="4968"/>
            <w:vAlign w:val="center"/>
            <w:shd w:fill="F8FAFC"/>
          </w:tcPr>
          <w:p>
            <w:pPr>
              <w:spacing w:after="40"/>
            </w:pPr>
            <w:r/>
            <w:r>
              <w:rPr>
                <w:rFonts w:ascii="Aptos" w:hAnsi="Aptos"/>
                <w:b w:val="0"/>
                <w:sz w:val="20"/>
              </w:rPr>
              <w:t>Python, LangChain, Gemini Flash, Streamlit</w:t>
            </w:r>
          </w:p>
        </w:tc>
      </w:tr>
      <w:tr>
        <w:tc>
          <w:tcPr>
            <w:tcW w:type="dxa" w:w="4968"/>
            <w:vAlign w:val="center"/>
            <w:shd w:fill="EAF1F8"/>
          </w:tcPr>
          <w:p>
            <w:pPr>
              <w:spacing w:after="40"/>
            </w:pPr>
            <w:r/>
            <w:r>
              <w:rPr>
                <w:rFonts w:ascii="Aptos" w:hAnsi="Aptos"/>
                <w:b/>
                <w:color w:val="1F4E79"/>
                <w:sz w:val="20"/>
              </w:rPr>
              <w:t>Primary Goal</w:t>
            </w:r>
          </w:p>
        </w:tc>
        <w:tc>
          <w:tcPr>
            <w:tcW w:type="dxa" w:w="4968"/>
            <w:vAlign w:val="center"/>
          </w:tcPr>
          <w:p>
            <w:pPr>
              <w:spacing w:after="40"/>
            </w:pPr>
            <w:r/>
            <w:r>
              <w:rPr>
                <w:rFonts w:ascii="Aptos" w:hAnsi="Aptos"/>
                <w:b w:val="0"/>
                <w:sz w:val="20"/>
              </w:rPr>
              <w:t>Explain general court procedures in simple language</w:t>
            </w:r>
          </w:p>
        </w:tc>
      </w:tr>
    </w:tbl>
    <w:p>
      <w:pPr>
        <w:spacing w:before="700"/>
        <w:jc w:val="center"/>
      </w:pPr>
      <w:r>
        <w:rPr>
          <w:b/>
          <w:color w:val="B0482C"/>
          <w:sz w:val="20"/>
        </w:rPr>
        <w:t>Scope: General procedural education only — not legal advice.</w:t>
      </w:r>
    </w:p>
    <w:p>
      <w:r>
        <w:br w:type="page"/>
      </w:r>
    </w:p>
    <w:p>
      <w:pPr>
        <w:pStyle w:val="Heading1"/>
        <w:keepNext/>
      </w:pPr>
      <w:r>
        <w:t>Contents</w:t>
      </w:r>
    </w:p>
    <w:p>
      <w:pPr>
        <w:pStyle w:val="ListBullet"/>
        <w:spacing w:after="40"/>
      </w:pPr>
      <w:r>
        <w:t>1. Project Overview and Abstract</w:t>
      </w:r>
    </w:p>
    <w:p>
      <w:pPr>
        <w:pStyle w:val="ListBullet"/>
        <w:spacing w:after="40"/>
      </w:pPr>
      <w:r>
        <w:t>2. Problem Statement</w:t>
      </w:r>
    </w:p>
    <w:p>
      <w:pPr>
        <w:pStyle w:val="ListBullet"/>
        <w:spacing w:after="40"/>
      </w:pPr>
      <w:r>
        <w:t>3. Proposed Solution</w:t>
      </w:r>
    </w:p>
    <w:p>
      <w:pPr>
        <w:pStyle w:val="ListBullet"/>
        <w:spacing w:after="40"/>
      </w:pPr>
      <w:r>
        <w:t>4. Objectives and Scope</w:t>
      </w:r>
    </w:p>
    <w:p>
      <w:pPr>
        <w:pStyle w:val="ListBullet"/>
        <w:spacing w:after="40"/>
      </w:pPr>
      <w:r>
        <w:t>5. System Architecture and Workflow</w:t>
      </w:r>
    </w:p>
    <w:p>
      <w:pPr>
        <w:pStyle w:val="ListBullet"/>
        <w:spacing w:after="40"/>
      </w:pPr>
      <w:r>
        <w:t>6. Technology Stack</w:t>
      </w:r>
    </w:p>
    <w:p>
      <w:pPr>
        <w:pStyle w:val="ListBullet"/>
        <w:spacing w:after="40"/>
      </w:pPr>
      <w:r>
        <w:t>7. Functional and Non-Functional Requirements</w:t>
      </w:r>
    </w:p>
    <w:p>
      <w:pPr>
        <w:pStyle w:val="ListBullet"/>
        <w:spacing w:after="40"/>
      </w:pPr>
      <w:r>
        <w:t>8. Application Modules</w:t>
      </w:r>
    </w:p>
    <w:p>
      <w:pPr>
        <w:pStyle w:val="ListBullet"/>
        <w:spacing w:after="40"/>
      </w:pPr>
      <w:r>
        <w:t>9. LangChain Workflow and Prompt Design</w:t>
      </w:r>
    </w:p>
    <w:p>
      <w:pPr>
        <w:pStyle w:val="ListBullet"/>
        <w:spacing w:after="40"/>
      </w:pPr>
      <w:r>
        <w:t>10. User Interface Design</w:t>
      </w:r>
    </w:p>
    <w:p>
      <w:pPr>
        <w:pStyle w:val="ListBullet"/>
        <w:spacing w:after="40"/>
      </w:pPr>
      <w:r>
        <w:t>11. Two-Member Work Division</w:t>
      </w:r>
    </w:p>
    <w:p>
      <w:pPr>
        <w:pStyle w:val="ListBullet"/>
        <w:spacing w:after="40"/>
      </w:pPr>
      <w:r>
        <w:t>12. Project Folder Structure</w:t>
      </w:r>
    </w:p>
    <w:p>
      <w:pPr>
        <w:pStyle w:val="ListBullet"/>
        <w:spacing w:after="40"/>
      </w:pPr>
      <w:r>
        <w:t>13. Development Plan</w:t>
      </w:r>
    </w:p>
    <w:p>
      <w:pPr>
        <w:pStyle w:val="ListBullet"/>
        <w:spacing w:after="40"/>
      </w:pPr>
      <w:r>
        <w:t>14. Testing Strategy</w:t>
      </w:r>
    </w:p>
    <w:p>
      <w:pPr>
        <w:pStyle w:val="ListBullet"/>
        <w:spacing w:after="40"/>
      </w:pPr>
      <w:r>
        <w:t>15. Security and Responsible AI</w:t>
      </w:r>
    </w:p>
    <w:p>
      <w:pPr>
        <w:pStyle w:val="ListBullet"/>
        <w:spacing w:after="40"/>
      </w:pPr>
      <w:r>
        <w:t>16. Limitations</w:t>
      </w:r>
    </w:p>
    <w:p>
      <w:pPr>
        <w:pStyle w:val="ListBullet"/>
        <w:spacing w:after="40"/>
      </w:pPr>
      <w:r>
        <w:t>17. Future Enhancements</w:t>
      </w:r>
    </w:p>
    <w:p>
      <w:pPr>
        <w:pStyle w:val="ListBullet"/>
        <w:spacing w:after="40"/>
      </w:pPr>
      <w:r>
        <w:t>18. Expected Outcome and Conclusion</w:t>
      </w:r>
    </w:p>
    <w:p>
      <w:pPr>
        <w:pStyle w:val="Heading1"/>
        <w:keepNext/>
      </w:pPr>
      <w:r>
        <w:t>1. Project Overview and Abstract</w:t>
      </w:r>
    </w:p>
    <w:p>
      <w:r>
        <w:t>The Judicial Court Process &amp; Case Flow Explainer Bot is a Generative AI application designed to help citizens understand general court procedures, hearing stages, legal terminology, and the lifecycle of court cases in simple language.</w:t>
      </w:r>
    </w:p>
    <w:p>
      <w:r>
        <w:t>Court documents and procedural terminology can be difficult for people without a legal background to understand. Citizens may also have repeated questions about filing procedures, summons, hearings, and case stages. The application provides an accessible question-and-answer interface using Streamlit.</w:t>
      </w:r>
    </w:p>
    <w:p>
      <w:r>
        <w:t>LangChain connects a prompt template, a Gemini Flash language model, and an output parser. The bot is limited to general procedural education: it does not provide legal advice, recommend legal strategies, predict judgments, or offer opinions on individual cases. Safeguards and clear disclaimers reinforce these boundaries.</w:t>
      </w:r>
    </w:p>
    <w:p>
      <w:pPr>
        <w:pStyle w:val="Heading1"/>
        <w:keepNext/>
      </w:pPr>
      <w:r>
        <w:t>2. Problem Statement</w:t>
      </w:r>
    </w:p>
    <w:p>
      <w:r>
        <w:t>Citizens often struggle to understand court procedures, hearing stages, summons, filing processes, and the overall lifecycle of court cases. Legal documents frequently contain technical terminology and complex language. Court helpdesks and administrative staff may also receive repetitive procedural questions. A simple AI-based system is needed to explain general judicial procedures clearly while avoiding legal advice, case-specific opinions, and predictions about judicial outcomes.</w:t>
      </w:r>
    </w:p>
    <w:p>
      <w:pPr>
        <w:pStyle w:val="Heading1"/>
        <w:keepNext/>
      </w:pPr>
      <w:r>
        <w:t>3. Proposed Solution</w:t>
      </w:r>
    </w:p>
    <w:p>
      <w:r>
        <w:t>The proposed solution is a web-based chatbot. Users submit a question; Python performs basic input and scope checks; LangChain formats the prompt and calls Gemini Flash; an output parser converts the response into text; and Streamlit displays the explanation.</w:t>
      </w:r>
    </w:p>
    <w:p>
      <w:r>
        <w:t>Example questions:</w:t>
      </w:r>
    </w:p>
    <w:p>
      <w:pPr>
        <w:pStyle w:val="ListBullet"/>
        <w:spacing w:after="40"/>
      </w:pPr>
      <w:r>
        <w:t>Explain the court case filing process.</w:t>
      </w:r>
    </w:p>
    <w:p>
      <w:pPr>
        <w:pStyle w:val="ListBullet"/>
        <w:spacing w:after="40"/>
      </w:pPr>
      <w:r>
        <w:t>What happens during a hearing?</w:t>
      </w:r>
    </w:p>
    <w:p>
      <w:pPr>
        <w:pStyle w:val="ListBullet"/>
        <w:spacing w:after="40"/>
      </w:pPr>
      <w:r>
        <w:t>Explain different court stages.</w:t>
      </w:r>
    </w:p>
    <w:p>
      <w:pPr>
        <w:pStyle w:val="ListBullet"/>
        <w:spacing w:after="40"/>
      </w:pPr>
      <w:r>
        <w:t>What is a summons?</w:t>
      </w:r>
    </w:p>
    <w:p>
      <w:pPr>
        <w:pStyle w:val="Heading1"/>
        <w:keepNext/>
      </w:pPr>
      <w:r>
        <w:t>4. Objectives and Scope</w:t>
      </w:r>
    </w:p>
    <w:p>
      <w:pPr>
        <w:pStyle w:val="Heading2"/>
        <w:keepNext/>
      </w:pPr>
      <w:r>
        <w:t>4.1 Objectives</w:t>
      </w:r>
    </w:p>
    <w:p>
      <w:pPr>
        <w:pStyle w:val="ListBullet"/>
        <w:spacing w:after="40"/>
      </w:pPr>
      <w:r>
        <w:t>Explain general court procedures in simple language.</w:t>
      </w:r>
    </w:p>
    <w:p>
      <w:pPr>
        <w:pStyle w:val="ListBullet"/>
        <w:spacing w:after="40"/>
      </w:pPr>
      <w:r>
        <w:t>Improve public understanding of common judicial terminology.</w:t>
      </w:r>
    </w:p>
    <w:p>
      <w:pPr>
        <w:pStyle w:val="ListBullet"/>
        <w:spacing w:after="40"/>
      </w:pPr>
      <w:r>
        <w:t>Describe typical court stages and procedural workflows.</w:t>
      </w:r>
    </w:p>
    <w:p>
      <w:pPr>
        <w:pStyle w:val="ListBullet"/>
        <w:spacing w:after="40"/>
      </w:pPr>
      <w:r>
        <w:t>Demonstrate LangChain integration with a Gemini Flash model.</w:t>
      </w:r>
    </w:p>
    <w:p>
      <w:pPr>
        <w:pStyle w:val="ListBullet"/>
        <w:spacing w:after="40"/>
      </w:pPr>
      <w:r>
        <w:t>Build an accessible conversational interface using Streamlit.</w:t>
      </w:r>
    </w:p>
    <w:p>
      <w:pPr>
        <w:pStyle w:val="ListBullet"/>
        <w:spacing w:after="40"/>
      </w:pPr>
      <w:r>
        <w:t>Apply prompt engineering and application-level safety checks.</w:t>
      </w:r>
    </w:p>
    <w:p>
      <w:pPr>
        <w:pStyle w:val="ListBullet"/>
        <w:spacing w:after="40"/>
      </w:pPr>
      <w:r>
        <w:t>Evaluate clarity, relevance, procedural accuracy, and safety.</w:t>
      </w:r>
    </w:p>
    <w:p>
      <w:pPr>
        <w:pStyle w:val="Heading2"/>
        <w:keepNext/>
      </w:pPr>
      <w:r>
        <w:t>4.2 Included Features</w:t>
      </w:r>
    </w:p>
    <w:p>
      <w:pPr>
        <w:pStyle w:val="ListBullet"/>
        <w:spacing w:after="40"/>
      </w:pPr>
      <w:r>
        <w:t>General explanations of court procedures and legal terms.</w:t>
      </w:r>
    </w:p>
    <w:p>
      <w:pPr>
        <w:pStyle w:val="ListBullet"/>
        <w:spacing w:after="40"/>
      </w:pPr>
      <w:r>
        <w:t>Descriptions of typical hearing processes and case stages.</w:t>
      </w:r>
    </w:p>
    <w:p>
      <w:pPr>
        <w:pStyle w:val="ListBullet"/>
        <w:spacing w:after="40"/>
      </w:pPr>
      <w:r>
        <w:t>Suggested questions and conversational question-and-answer interaction.</w:t>
      </w:r>
    </w:p>
    <w:p>
      <w:pPr>
        <w:pStyle w:val="ListBullet"/>
        <w:spacing w:after="40"/>
      </w:pPr>
      <w:r>
        <w:t>Plain-language responses and a visible disclaimer.</w:t>
      </w:r>
    </w:p>
    <w:p>
      <w:pPr>
        <w:pStyle w:val="ListBullet"/>
        <w:spacing w:after="40"/>
      </w:pPr>
      <w:r>
        <w:t>Basic input validation, error handling, and session history.</w:t>
      </w:r>
    </w:p>
    <w:p>
      <w:pPr>
        <w:pStyle w:val="Heading2"/>
        <w:keepNext/>
      </w:pPr>
      <w:r>
        <w:t>4.3 Excluded Features</w:t>
      </w:r>
    </w:p>
    <w:p>
      <w:pPr>
        <w:pStyle w:val="ListBullet"/>
        <w:spacing w:after="40"/>
      </w:pPr>
      <w:r>
        <w:t>Legal advice, representation, or recommendations for winning a case.</w:t>
      </w:r>
    </w:p>
    <w:p>
      <w:pPr>
        <w:pStyle w:val="ListBullet"/>
        <w:spacing w:after="40"/>
      </w:pPr>
      <w:r>
        <w:t>Predictions about judgments or assessments of evidence in an individual case.</w:t>
      </w:r>
    </w:p>
    <w:p>
      <w:pPr>
        <w:pStyle w:val="ListBullet"/>
        <w:spacing w:after="40"/>
      </w:pPr>
      <w:r>
        <w:t>Automatic case filing or access to confidential court records.</w:t>
      </w:r>
    </w:p>
    <w:p>
      <w:pPr>
        <w:pStyle w:val="ListBullet"/>
        <w:spacing w:after="40"/>
      </w:pPr>
      <w:r>
        <w:t>Live case-status claims without an authorized, reliable data source.</w:t>
      </w:r>
    </w:p>
    <w:p>
      <w:pPr>
        <w:pStyle w:val="Heading1"/>
        <w:keepNext/>
      </w:pPr>
      <w:r>
        <w:t>5. System Architecture and Workflow</w:t>
      </w:r>
    </w:p>
    <w:p>
      <w:r>
        <w:t>Core workflow:</w:t>
      </w:r>
    </w:p>
    <w:tbl>
      <w:tblPr>
        <w:tblStyle w:val="TableGrid"/>
        <w:tblW w:type="auto" w:w="0"/>
        <w:jc w:val="center"/>
        <w:tblLook w:firstColumn="1" w:firstRow="1" w:lastColumn="0" w:lastRow="0" w:noHBand="0" w:noVBand="1" w:val="04A0"/>
      </w:tblPr>
      <w:tblGrid>
        <w:gridCol w:w="4968"/>
        <w:gridCol w:w="4968"/>
      </w:tblGrid>
      <w:tr>
        <w:tc>
          <w:tcPr>
            <w:tcW w:type="dxa" w:w="2232"/>
            <w:vAlign w:val="center"/>
            <w:shd w:fill="1F4E79"/>
          </w:tcPr>
          <w:p>
            <w:pPr>
              <w:spacing w:after="40"/>
            </w:pPr>
            <w:r/>
            <w:r>
              <w:rPr>
                <w:rFonts w:ascii="Aptos" w:hAnsi="Aptos"/>
                <w:b/>
                <w:color w:val="FFFFFF"/>
                <w:sz w:val="18"/>
              </w:rPr>
              <w:t>Stage</w:t>
            </w:r>
          </w:p>
        </w:tc>
        <w:tc>
          <w:tcPr>
            <w:tcW w:type="dxa" w:w="7992"/>
            <w:vAlign w:val="center"/>
            <w:shd w:fill="1F4E79"/>
          </w:tcPr>
          <w:p>
            <w:pPr>
              <w:spacing w:after="40"/>
            </w:pPr>
            <w:r/>
            <w:r>
              <w:rPr>
                <w:rFonts w:ascii="Aptos" w:hAnsi="Aptos"/>
                <w:b/>
                <w:color w:val="FFFFFF"/>
                <w:sz w:val="18"/>
              </w:rPr>
              <w:t>Description</w:t>
            </w:r>
          </w:p>
        </w:tc>
      </w:tr>
      <w:tr>
        <w:tc>
          <w:tcPr>
            <w:tcW w:type="dxa" w:w="2232"/>
            <w:vAlign w:val="center"/>
          </w:tcPr>
          <w:p>
            <w:pPr>
              <w:spacing w:after="40"/>
            </w:pPr>
            <w:r/>
            <w:r>
              <w:rPr>
                <w:rFonts w:ascii="Aptos" w:hAnsi="Aptos"/>
                <w:b w:val="0"/>
                <w:sz w:val="18"/>
              </w:rPr>
              <w:t>1. User input</w:t>
            </w:r>
          </w:p>
        </w:tc>
        <w:tc>
          <w:tcPr>
            <w:tcW w:type="dxa" w:w="7992"/>
            <w:vAlign w:val="center"/>
          </w:tcPr>
          <w:p>
            <w:pPr>
              <w:spacing w:after="40"/>
            </w:pPr>
            <w:r/>
            <w:r>
              <w:rPr>
                <w:rFonts w:ascii="Aptos" w:hAnsi="Aptos"/>
                <w:b w:val="0"/>
                <w:sz w:val="18"/>
              </w:rPr>
              <w:t>The user enters a question in the Streamlit interface.</w:t>
            </w:r>
          </w:p>
        </w:tc>
      </w:tr>
      <w:tr>
        <w:tc>
          <w:tcPr>
            <w:tcW w:type="dxa" w:w="2232"/>
            <w:vAlign w:val="center"/>
            <w:shd w:fill="F2F6FA"/>
          </w:tcPr>
          <w:p>
            <w:pPr>
              <w:spacing w:after="40"/>
            </w:pPr>
            <w:r/>
            <w:r>
              <w:rPr>
                <w:rFonts w:ascii="Aptos" w:hAnsi="Aptos"/>
                <w:b w:val="0"/>
                <w:sz w:val="18"/>
              </w:rPr>
              <w:t>2. Validation</w:t>
            </w:r>
          </w:p>
        </w:tc>
        <w:tc>
          <w:tcPr>
            <w:tcW w:type="dxa" w:w="7992"/>
            <w:vAlign w:val="center"/>
            <w:shd w:fill="F2F6FA"/>
          </w:tcPr>
          <w:p>
            <w:pPr>
              <w:spacing w:after="40"/>
            </w:pPr>
            <w:r/>
            <w:r>
              <w:rPr>
                <w:rFonts w:ascii="Aptos" w:hAnsi="Aptos"/>
                <w:b w:val="0"/>
                <w:sz w:val="18"/>
              </w:rPr>
              <w:t>Python checks that the input is not empty and applies scope checks.</w:t>
            </w:r>
          </w:p>
        </w:tc>
      </w:tr>
      <w:tr>
        <w:tc>
          <w:tcPr>
            <w:tcW w:type="dxa" w:w="2232"/>
            <w:vAlign w:val="center"/>
          </w:tcPr>
          <w:p>
            <w:pPr>
              <w:spacing w:after="40"/>
            </w:pPr>
            <w:r/>
            <w:r>
              <w:rPr>
                <w:rFonts w:ascii="Aptos" w:hAnsi="Aptos"/>
                <w:b w:val="0"/>
                <w:sz w:val="18"/>
              </w:rPr>
              <w:t>3. Prompt construction</w:t>
            </w:r>
          </w:p>
        </w:tc>
        <w:tc>
          <w:tcPr>
            <w:tcW w:type="dxa" w:w="7992"/>
            <w:vAlign w:val="center"/>
          </w:tcPr>
          <w:p>
            <w:pPr>
              <w:spacing w:after="40"/>
            </w:pPr>
            <w:r/>
            <w:r>
              <w:rPr>
                <w:rFonts w:ascii="Aptos" w:hAnsi="Aptos"/>
                <w:b w:val="0"/>
                <w:sz w:val="18"/>
              </w:rPr>
              <w:t>ChatPromptTemplate combines system instructions and the user question.</w:t>
            </w:r>
          </w:p>
        </w:tc>
      </w:tr>
      <w:tr>
        <w:tc>
          <w:tcPr>
            <w:tcW w:type="dxa" w:w="2232"/>
            <w:vAlign w:val="center"/>
            <w:shd w:fill="F2F6FA"/>
          </w:tcPr>
          <w:p>
            <w:pPr>
              <w:spacing w:after="40"/>
            </w:pPr>
            <w:r/>
            <w:r>
              <w:rPr>
                <w:rFonts w:ascii="Aptos" w:hAnsi="Aptos"/>
                <w:b w:val="0"/>
                <w:sz w:val="18"/>
              </w:rPr>
              <w:t>4. Model invocation</w:t>
            </w:r>
          </w:p>
        </w:tc>
        <w:tc>
          <w:tcPr>
            <w:tcW w:type="dxa" w:w="7992"/>
            <w:vAlign w:val="center"/>
            <w:shd w:fill="F2F6FA"/>
          </w:tcPr>
          <w:p>
            <w:pPr>
              <w:spacing w:after="40"/>
            </w:pPr>
            <w:r/>
            <w:r>
              <w:rPr>
                <w:rFonts w:ascii="Aptos" w:hAnsi="Aptos"/>
                <w:b w:val="0"/>
                <w:sz w:val="18"/>
              </w:rPr>
              <w:t>Gemini Flash generates a response through the LangChain integration.</w:t>
            </w:r>
          </w:p>
        </w:tc>
      </w:tr>
      <w:tr>
        <w:tc>
          <w:tcPr>
            <w:tcW w:type="dxa" w:w="2232"/>
            <w:vAlign w:val="center"/>
          </w:tcPr>
          <w:p>
            <w:pPr>
              <w:spacing w:after="40"/>
            </w:pPr>
            <w:r/>
            <w:r>
              <w:rPr>
                <w:rFonts w:ascii="Aptos" w:hAnsi="Aptos"/>
                <w:b w:val="0"/>
                <w:sz w:val="18"/>
              </w:rPr>
              <w:t>5. Output parsing</w:t>
            </w:r>
          </w:p>
        </w:tc>
        <w:tc>
          <w:tcPr>
            <w:tcW w:type="dxa" w:w="7992"/>
            <w:vAlign w:val="center"/>
          </w:tcPr>
          <w:p>
            <w:pPr>
              <w:spacing w:after="40"/>
            </w:pPr>
            <w:r/>
            <w:r>
              <w:rPr>
                <w:rFonts w:ascii="Aptos" w:hAnsi="Aptos"/>
                <w:b w:val="0"/>
                <w:sz w:val="18"/>
              </w:rPr>
              <w:t>StrOutputParser converts the model response into displayable text.</w:t>
            </w:r>
          </w:p>
        </w:tc>
      </w:tr>
      <w:tr>
        <w:tc>
          <w:tcPr>
            <w:tcW w:type="dxa" w:w="2232"/>
            <w:vAlign w:val="center"/>
            <w:shd w:fill="F2F6FA"/>
          </w:tcPr>
          <w:p>
            <w:pPr>
              <w:spacing w:after="40"/>
            </w:pPr>
            <w:r/>
            <w:r>
              <w:rPr>
                <w:rFonts w:ascii="Aptos" w:hAnsi="Aptos"/>
                <w:b w:val="0"/>
                <w:sz w:val="18"/>
              </w:rPr>
              <w:t>6. Response display</w:t>
            </w:r>
          </w:p>
        </w:tc>
        <w:tc>
          <w:tcPr>
            <w:tcW w:type="dxa" w:w="7992"/>
            <w:vAlign w:val="center"/>
            <w:shd w:fill="F2F6FA"/>
          </w:tcPr>
          <w:p>
            <w:pPr>
              <w:spacing w:after="40"/>
            </w:pPr>
            <w:r/>
            <w:r>
              <w:rPr>
                <w:rFonts w:ascii="Aptos" w:hAnsi="Aptos"/>
                <w:b w:val="0"/>
                <w:sz w:val="18"/>
              </w:rPr>
              <w:t>Streamlit displays the explanation, with a disclaimer and error handling as needed.</w:t>
            </w:r>
          </w:p>
        </w:tc>
      </w:tr>
    </w:tbl>
    <w:p>
      <w:pPr>
        <w:spacing w:after="20"/>
      </w:pPr>
    </w:p>
    <w:p>
      <w:r>
        <w:t>Optional future RAG workflow: verified official court documents → document loader → text splitter → embeddings → vector store → retriever → prompt with retrieved context → Gemini → response with source references.</w:t>
      </w:r>
    </w:p>
    <w:p>
      <w:pPr>
        <w:pStyle w:val="Heading1"/>
        <w:keepNext/>
      </w:pPr>
      <w:r>
        <w:t>6.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2232"/>
            <w:vAlign w:val="center"/>
            <w:shd w:fill="1F4E79"/>
          </w:tcPr>
          <w:p>
            <w:pPr>
              <w:spacing w:after="40"/>
            </w:pPr>
            <w:r/>
            <w:r>
              <w:rPr>
                <w:rFonts w:ascii="Aptos" w:hAnsi="Aptos"/>
                <w:b/>
                <w:color w:val="FFFFFF"/>
                <w:sz w:val="18"/>
              </w:rPr>
              <w:t>Technology</w:t>
            </w:r>
          </w:p>
        </w:tc>
        <w:tc>
          <w:tcPr>
            <w:tcW w:type="dxa" w:w="6480"/>
            <w:vAlign w:val="center"/>
            <w:shd w:fill="1F4E79"/>
          </w:tcPr>
          <w:p>
            <w:pPr>
              <w:spacing w:after="40"/>
            </w:pPr>
            <w:r/>
            <w:r>
              <w:rPr>
                <w:rFonts w:ascii="Aptos" w:hAnsi="Aptos"/>
                <w:b/>
                <w:color w:val="FFFFFF"/>
                <w:sz w:val="18"/>
              </w:rPr>
              <w:t>Purpose</w:t>
            </w:r>
          </w:p>
        </w:tc>
        <w:tc>
          <w:tcPr>
            <w:tcW w:type="dxa" w:w="1512"/>
            <w:vAlign w:val="center"/>
            <w:shd w:fill="1F4E79"/>
          </w:tcPr>
          <w:p>
            <w:pPr>
              <w:spacing w:after="40"/>
            </w:pPr>
            <w:r/>
            <w:r>
              <w:rPr>
                <w:rFonts w:ascii="Aptos" w:hAnsi="Aptos"/>
                <w:b/>
                <w:color w:val="FFFFFF"/>
                <w:sz w:val="18"/>
              </w:rPr>
              <w:t>Priority</w:t>
            </w:r>
          </w:p>
        </w:tc>
      </w:tr>
      <w:tr>
        <w:tc>
          <w:tcPr>
            <w:tcW w:type="dxa" w:w="2232"/>
            <w:vAlign w:val="center"/>
          </w:tcPr>
          <w:p>
            <w:pPr>
              <w:spacing w:after="40"/>
            </w:pPr>
            <w:r/>
            <w:r>
              <w:rPr>
                <w:rFonts w:ascii="Aptos" w:hAnsi="Aptos"/>
                <w:b w:val="0"/>
                <w:sz w:val="18"/>
              </w:rPr>
              <w:t>Python</w:t>
            </w:r>
          </w:p>
        </w:tc>
        <w:tc>
          <w:tcPr>
            <w:tcW w:type="dxa" w:w="6480"/>
            <w:vAlign w:val="center"/>
          </w:tcPr>
          <w:p>
            <w:pPr>
              <w:spacing w:after="40"/>
            </w:pPr>
            <w:r/>
            <w:r>
              <w:rPr>
                <w:rFonts w:ascii="Aptos" w:hAnsi="Aptos"/>
                <w:b w:val="0"/>
                <w:sz w:val="18"/>
              </w:rPr>
              <w:t>Main language for application logic, validation, and integration.</w:t>
            </w:r>
          </w:p>
        </w:tc>
        <w:tc>
          <w:tcPr>
            <w:tcW w:type="dxa" w:w="1512"/>
            <w:vAlign w:val="center"/>
          </w:tcPr>
          <w:p>
            <w:pPr>
              <w:spacing w:after="40"/>
            </w:pPr>
            <w:r/>
            <w:r>
              <w:rPr>
                <w:rFonts w:ascii="Aptos" w:hAnsi="Aptos"/>
                <w:b w:val="0"/>
                <w:sz w:val="18"/>
              </w:rPr>
              <w:t>Essential</w:t>
            </w:r>
          </w:p>
        </w:tc>
      </w:tr>
      <w:tr>
        <w:tc>
          <w:tcPr>
            <w:tcW w:type="dxa" w:w="2232"/>
            <w:vAlign w:val="center"/>
            <w:shd w:fill="F2F6FA"/>
          </w:tcPr>
          <w:p>
            <w:pPr>
              <w:spacing w:after="40"/>
            </w:pPr>
            <w:r/>
            <w:r>
              <w:rPr>
                <w:rFonts w:ascii="Aptos" w:hAnsi="Aptos"/>
                <w:b w:val="0"/>
                <w:sz w:val="18"/>
              </w:rPr>
              <w:t>LangChain</w:t>
            </w:r>
          </w:p>
        </w:tc>
        <w:tc>
          <w:tcPr>
            <w:tcW w:type="dxa" w:w="6480"/>
            <w:vAlign w:val="center"/>
            <w:shd w:fill="F2F6FA"/>
          </w:tcPr>
          <w:p>
            <w:pPr>
              <w:spacing w:after="40"/>
            </w:pPr>
            <w:r/>
            <w:r>
              <w:rPr>
                <w:rFonts w:ascii="Aptos" w:hAnsi="Aptos"/>
                <w:b w:val="0"/>
                <w:sz w:val="18"/>
              </w:rPr>
              <w:t>Connects prompts, the model, and output parsing.</w:t>
            </w:r>
          </w:p>
        </w:tc>
        <w:tc>
          <w:tcPr>
            <w:tcW w:type="dxa" w:w="1512"/>
            <w:vAlign w:val="center"/>
            <w:shd w:fill="F2F6FA"/>
          </w:tcPr>
          <w:p>
            <w:pPr>
              <w:spacing w:after="40"/>
            </w:pPr>
            <w:r/>
            <w:r>
              <w:rPr>
                <w:rFonts w:ascii="Aptos" w:hAnsi="Aptos"/>
                <w:b w:val="0"/>
                <w:sz w:val="18"/>
              </w:rPr>
              <w:t>Essential</w:t>
            </w:r>
          </w:p>
        </w:tc>
      </w:tr>
      <w:tr>
        <w:tc>
          <w:tcPr>
            <w:tcW w:type="dxa" w:w="2232"/>
            <w:vAlign w:val="center"/>
          </w:tcPr>
          <w:p>
            <w:pPr>
              <w:spacing w:after="40"/>
            </w:pPr>
            <w:r/>
            <w:r>
              <w:rPr>
                <w:rFonts w:ascii="Aptos" w:hAnsi="Aptos"/>
                <w:b w:val="0"/>
                <w:sz w:val="18"/>
              </w:rPr>
              <w:t>Gemini Flash</w:t>
            </w:r>
          </w:p>
        </w:tc>
        <w:tc>
          <w:tcPr>
            <w:tcW w:type="dxa" w:w="6480"/>
            <w:vAlign w:val="center"/>
          </w:tcPr>
          <w:p>
            <w:pPr>
              <w:spacing w:after="40"/>
            </w:pPr>
            <w:r/>
            <w:r>
              <w:rPr>
                <w:rFonts w:ascii="Aptos" w:hAnsi="Aptos"/>
                <w:b w:val="0"/>
                <w:sz w:val="18"/>
              </w:rPr>
              <w:t>Generates natural-language explanations.</w:t>
            </w:r>
          </w:p>
        </w:tc>
        <w:tc>
          <w:tcPr>
            <w:tcW w:type="dxa" w:w="1512"/>
            <w:vAlign w:val="center"/>
          </w:tcPr>
          <w:p>
            <w:pPr>
              <w:spacing w:after="40"/>
            </w:pPr>
            <w:r/>
            <w:r>
              <w:rPr>
                <w:rFonts w:ascii="Aptos" w:hAnsi="Aptos"/>
                <w:b w:val="0"/>
                <w:sz w:val="18"/>
              </w:rPr>
              <w:t>Essential</w:t>
            </w:r>
          </w:p>
        </w:tc>
      </w:tr>
      <w:tr>
        <w:tc>
          <w:tcPr>
            <w:tcW w:type="dxa" w:w="2232"/>
            <w:vAlign w:val="center"/>
            <w:shd w:fill="F2F6FA"/>
          </w:tcPr>
          <w:p>
            <w:pPr>
              <w:spacing w:after="40"/>
            </w:pPr>
            <w:r/>
            <w:r>
              <w:rPr>
                <w:rFonts w:ascii="Aptos" w:hAnsi="Aptos"/>
                <w:b w:val="0"/>
                <w:sz w:val="18"/>
              </w:rPr>
              <w:t>Google AI Studio API</w:t>
            </w:r>
          </w:p>
        </w:tc>
        <w:tc>
          <w:tcPr>
            <w:tcW w:type="dxa" w:w="6480"/>
            <w:vAlign w:val="center"/>
            <w:shd w:fill="F2F6FA"/>
          </w:tcPr>
          <w:p>
            <w:pPr>
              <w:spacing w:after="40"/>
            </w:pPr>
            <w:r/>
            <w:r>
              <w:rPr>
                <w:rFonts w:ascii="Aptos" w:hAnsi="Aptos"/>
                <w:b w:val="0"/>
                <w:sz w:val="18"/>
              </w:rPr>
              <w:t>Provides credentials to access the Gemini API.</w:t>
            </w:r>
          </w:p>
        </w:tc>
        <w:tc>
          <w:tcPr>
            <w:tcW w:type="dxa" w:w="1512"/>
            <w:vAlign w:val="center"/>
            <w:shd w:fill="F2F6FA"/>
          </w:tcPr>
          <w:p>
            <w:pPr>
              <w:spacing w:after="40"/>
            </w:pPr>
            <w:r/>
            <w:r>
              <w:rPr>
                <w:rFonts w:ascii="Aptos" w:hAnsi="Aptos"/>
                <w:b w:val="0"/>
                <w:sz w:val="18"/>
              </w:rPr>
              <w:t>Essential</w:t>
            </w:r>
          </w:p>
        </w:tc>
      </w:tr>
      <w:tr>
        <w:tc>
          <w:tcPr>
            <w:tcW w:type="dxa" w:w="2232"/>
            <w:vAlign w:val="center"/>
          </w:tcPr>
          <w:p>
            <w:pPr>
              <w:spacing w:after="40"/>
            </w:pPr>
            <w:r/>
            <w:r>
              <w:rPr>
                <w:rFonts w:ascii="Aptos" w:hAnsi="Aptos"/>
                <w:b w:val="0"/>
                <w:sz w:val="18"/>
              </w:rPr>
              <w:t>Streamlit</w:t>
            </w:r>
          </w:p>
        </w:tc>
        <w:tc>
          <w:tcPr>
            <w:tcW w:type="dxa" w:w="6480"/>
            <w:vAlign w:val="center"/>
          </w:tcPr>
          <w:p>
            <w:pPr>
              <w:spacing w:after="40"/>
            </w:pPr>
            <w:r/>
            <w:r>
              <w:rPr>
                <w:rFonts w:ascii="Aptos" w:hAnsi="Aptos"/>
                <w:b w:val="0"/>
                <w:sz w:val="18"/>
              </w:rPr>
              <w:t>Creates the chatbot web interface.</w:t>
            </w:r>
          </w:p>
        </w:tc>
        <w:tc>
          <w:tcPr>
            <w:tcW w:type="dxa" w:w="1512"/>
            <w:vAlign w:val="center"/>
          </w:tcPr>
          <w:p>
            <w:pPr>
              <w:spacing w:after="40"/>
            </w:pPr>
            <w:r/>
            <w:r>
              <w:rPr>
                <w:rFonts w:ascii="Aptos" w:hAnsi="Aptos"/>
                <w:b w:val="0"/>
                <w:sz w:val="18"/>
              </w:rPr>
              <w:t>Essential</w:t>
            </w:r>
          </w:p>
        </w:tc>
      </w:tr>
      <w:tr>
        <w:tc>
          <w:tcPr>
            <w:tcW w:type="dxa" w:w="2232"/>
            <w:vAlign w:val="center"/>
            <w:shd w:fill="F2F6FA"/>
          </w:tcPr>
          <w:p>
            <w:pPr>
              <w:spacing w:after="40"/>
            </w:pPr>
            <w:r/>
            <w:r>
              <w:rPr>
                <w:rFonts w:ascii="Aptos" w:hAnsi="Aptos"/>
                <w:b w:val="0"/>
                <w:sz w:val="18"/>
              </w:rPr>
              <w:t>python-dotenv</w:t>
            </w:r>
          </w:p>
        </w:tc>
        <w:tc>
          <w:tcPr>
            <w:tcW w:type="dxa" w:w="6480"/>
            <w:vAlign w:val="center"/>
            <w:shd w:fill="F2F6FA"/>
          </w:tcPr>
          <w:p>
            <w:pPr>
              <w:spacing w:after="40"/>
            </w:pPr>
            <w:r/>
            <w:r>
              <w:rPr>
                <w:rFonts w:ascii="Aptos" w:hAnsi="Aptos"/>
                <w:b w:val="0"/>
                <w:sz w:val="18"/>
              </w:rPr>
              <w:t>Loads local environment variables from .env.</w:t>
            </w:r>
          </w:p>
        </w:tc>
        <w:tc>
          <w:tcPr>
            <w:tcW w:type="dxa" w:w="1512"/>
            <w:vAlign w:val="center"/>
            <w:shd w:fill="F2F6FA"/>
          </w:tcPr>
          <w:p>
            <w:pPr>
              <w:spacing w:after="40"/>
            </w:pPr>
            <w:r/>
            <w:r>
              <w:rPr>
                <w:rFonts w:ascii="Aptos" w:hAnsi="Aptos"/>
                <w:b w:val="0"/>
                <w:sz w:val="18"/>
              </w:rPr>
              <w:t>Recommended</w:t>
            </w:r>
          </w:p>
        </w:tc>
      </w:tr>
      <w:tr>
        <w:tc>
          <w:tcPr>
            <w:tcW w:type="dxa" w:w="2232"/>
            <w:vAlign w:val="center"/>
          </w:tcPr>
          <w:p>
            <w:pPr>
              <w:spacing w:after="40"/>
            </w:pPr>
            <w:r/>
            <w:r>
              <w:rPr>
                <w:rFonts w:ascii="Aptos" w:hAnsi="Aptos"/>
                <w:b w:val="0"/>
                <w:sz w:val="18"/>
              </w:rPr>
              <w:t>Git and GitHub</w:t>
            </w:r>
          </w:p>
        </w:tc>
        <w:tc>
          <w:tcPr>
            <w:tcW w:type="dxa" w:w="6480"/>
            <w:vAlign w:val="center"/>
          </w:tcPr>
          <w:p>
            <w:pPr>
              <w:spacing w:after="40"/>
            </w:pPr>
            <w:r/>
            <w:r>
              <w:rPr>
                <w:rFonts w:ascii="Aptos" w:hAnsi="Aptos"/>
                <w:b w:val="0"/>
                <w:sz w:val="18"/>
              </w:rPr>
              <w:t>Version control and team collaboration.</w:t>
            </w:r>
          </w:p>
        </w:tc>
        <w:tc>
          <w:tcPr>
            <w:tcW w:type="dxa" w:w="1512"/>
            <w:vAlign w:val="center"/>
          </w:tcPr>
          <w:p>
            <w:pPr>
              <w:spacing w:after="40"/>
            </w:pPr>
            <w:r/>
            <w:r>
              <w:rPr>
                <w:rFonts w:ascii="Aptos" w:hAnsi="Aptos"/>
                <w:b w:val="0"/>
                <w:sz w:val="18"/>
              </w:rPr>
              <w:t>Recommended</w:t>
            </w:r>
          </w:p>
        </w:tc>
      </w:tr>
      <w:tr>
        <w:tc>
          <w:tcPr>
            <w:tcW w:type="dxa" w:w="2232"/>
            <w:vAlign w:val="center"/>
            <w:shd w:fill="F2F6FA"/>
          </w:tcPr>
          <w:p>
            <w:pPr>
              <w:spacing w:after="40"/>
            </w:pPr>
            <w:r/>
            <w:r>
              <w:rPr>
                <w:rFonts w:ascii="Aptos" w:hAnsi="Aptos"/>
                <w:b w:val="0"/>
                <w:sz w:val="18"/>
              </w:rPr>
              <w:t>FAISS or Chroma</w:t>
            </w:r>
          </w:p>
        </w:tc>
        <w:tc>
          <w:tcPr>
            <w:tcW w:type="dxa" w:w="6480"/>
            <w:vAlign w:val="center"/>
            <w:shd w:fill="F2F6FA"/>
          </w:tcPr>
          <w:p>
            <w:pPr>
              <w:spacing w:after="40"/>
            </w:pPr>
            <w:r/>
            <w:r>
              <w:rPr>
                <w:rFonts w:ascii="Aptos" w:hAnsi="Aptos"/>
                <w:b w:val="0"/>
                <w:sz w:val="18"/>
              </w:rPr>
              <w:t>Vector storage for a future RAG feature.</w:t>
            </w:r>
          </w:p>
        </w:tc>
        <w:tc>
          <w:tcPr>
            <w:tcW w:type="dxa" w:w="1512"/>
            <w:vAlign w:val="center"/>
            <w:shd w:fill="F2F6FA"/>
          </w:tcPr>
          <w:p>
            <w:pPr>
              <w:spacing w:after="40"/>
            </w:pPr>
            <w:r/>
            <w:r>
              <w:rPr>
                <w:rFonts w:ascii="Aptos" w:hAnsi="Aptos"/>
                <w:b w:val="0"/>
                <w:sz w:val="18"/>
              </w:rPr>
              <w:t>Optional</w:t>
            </w:r>
          </w:p>
        </w:tc>
      </w:tr>
      <w:tr>
        <w:tc>
          <w:tcPr>
            <w:tcW w:type="dxa" w:w="2232"/>
            <w:vAlign w:val="center"/>
          </w:tcPr>
          <w:p>
            <w:pPr>
              <w:spacing w:after="40"/>
            </w:pPr>
            <w:r/>
            <w:r>
              <w:rPr>
                <w:rFonts w:ascii="Aptos" w:hAnsi="Aptos"/>
                <w:b w:val="0"/>
                <w:sz w:val="18"/>
              </w:rPr>
              <w:t>PyPDF / document loaders</w:t>
            </w:r>
          </w:p>
        </w:tc>
        <w:tc>
          <w:tcPr>
            <w:tcW w:type="dxa" w:w="6480"/>
            <w:vAlign w:val="center"/>
          </w:tcPr>
          <w:p>
            <w:pPr>
              <w:spacing w:after="40"/>
            </w:pPr>
            <w:r/>
            <w:r>
              <w:rPr>
                <w:rFonts w:ascii="Aptos" w:hAnsi="Aptos"/>
                <w:b w:val="0"/>
                <w:sz w:val="18"/>
              </w:rPr>
              <w:t>Extracts text from suitable official PDF documents.</w:t>
            </w:r>
          </w:p>
        </w:tc>
        <w:tc>
          <w:tcPr>
            <w:tcW w:type="dxa" w:w="1512"/>
            <w:vAlign w:val="center"/>
          </w:tcPr>
          <w:p>
            <w:pPr>
              <w:spacing w:after="40"/>
            </w:pPr>
            <w:r/>
            <w:r>
              <w:rPr>
                <w:rFonts w:ascii="Aptos" w:hAnsi="Aptos"/>
                <w:b w:val="0"/>
                <w:sz w:val="18"/>
              </w:rPr>
              <w:t>Optional</w:t>
            </w:r>
          </w:p>
        </w:tc>
      </w:tr>
    </w:tbl>
    <w:p>
      <w:pPr>
        <w:spacing w:after="20"/>
      </w:pPr>
    </w:p>
    <w:p>
      <w:pPr>
        <w:pStyle w:val="Heading1"/>
        <w:keepNext/>
      </w:pPr>
      <w:r>
        <w:t>7. Requirements</w:t>
      </w:r>
    </w:p>
    <w:p>
      <w:pPr>
        <w:pStyle w:val="Heading2"/>
        <w:keepNext/>
      </w:pPr>
      <w:r>
        <w:t>7.1 Functional Requirements</w:t>
      </w:r>
    </w:p>
    <w:p>
      <w:pPr>
        <w:pStyle w:val="ListBullet"/>
        <w:spacing w:after="40"/>
      </w:pPr>
      <w:r>
        <w:t>FR-01: Accept procedural questions from users.</w:t>
      </w:r>
    </w:p>
    <w:p>
      <w:pPr>
        <w:pStyle w:val="ListBullet"/>
        <w:spacing w:after="40"/>
      </w:pPr>
      <w:r>
        <w:t>FR-02: Generate responses using Gemini through LangChain.</w:t>
      </w:r>
    </w:p>
    <w:p>
      <w:pPr>
        <w:pStyle w:val="ListBullet"/>
        <w:spacing w:after="40"/>
      </w:pPr>
      <w:r>
        <w:t>FR-03: Explain general court procedures in plain language.</w:t>
      </w:r>
    </w:p>
    <w:p>
      <w:pPr>
        <w:pStyle w:val="ListBullet"/>
        <w:spacing w:after="40"/>
      </w:pPr>
      <w:r>
        <w:t>FR-04: Support all four required demonstration queries.</w:t>
      </w:r>
    </w:p>
    <w:p>
      <w:pPr>
        <w:pStyle w:val="ListBullet"/>
        <w:spacing w:after="40"/>
      </w:pPr>
      <w:r>
        <w:t>FR-05: Display answers in Streamlit.</w:t>
      </w:r>
    </w:p>
    <w:p>
      <w:pPr>
        <w:pStyle w:val="ListBullet"/>
        <w:spacing w:after="40"/>
      </w:pPr>
      <w:r>
        <w:t>FR-06: Provide an appropriate disclaimer.</w:t>
      </w:r>
    </w:p>
    <w:p>
      <w:pPr>
        <w:pStyle w:val="ListBullet"/>
        <w:spacing w:after="40"/>
      </w:pPr>
      <w:r>
        <w:t>FR-07: Handle invalid input and API errors gracefully.</w:t>
      </w:r>
    </w:p>
    <w:p>
      <w:pPr>
        <w:pStyle w:val="ListBullet"/>
        <w:spacing w:after="40"/>
      </w:pPr>
      <w:r>
        <w:t>FR-08: Refuse or redirect requests for case-specific legal advice.</w:t>
      </w:r>
    </w:p>
    <w:p>
      <w:pPr>
        <w:pStyle w:val="ListBullet"/>
        <w:spacing w:after="40"/>
      </w:pPr>
      <w:r>
        <w:t>FR-09: Support follow-up questions when conversation history is enabled.</w:t>
      </w:r>
    </w:p>
    <w:p>
      <w:pPr>
        <w:pStyle w:val="ListBullet"/>
        <w:spacing w:after="40"/>
      </w:pPr>
      <w:r>
        <w:t>FR-10: Provide suggested questions to help users begin.</w:t>
      </w:r>
    </w:p>
    <w:p>
      <w:pPr>
        <w:pStyle w:val="Heading2"/>
        <w:keepNext/>
      </w:pPr>
      <w:r>
        <w:t>7.2 Non-Functional Requirements</w:t>
      </w:r>
    </w:p>
    <w:p>
      <w:r>
        <w:rPr>
          <w:b/>
        </w:rPr>
        <w:t xml:space="preserve">Usability: </w:t>
      </w:r>
      <w:r>
        <w:t>The interface should be simple and readable.</w:t>
      </w:r>
    </w:p>
    <w:p>
      <w:r>
        <w:rPr>
          <w:b/>
        </w:rPr>
        <w:t xml:space="preserve">Performance: </w:t>
      </w:r>
      <w:r>
        <w:t>Responses should arrive within a reasonable time, subject to API and network latency.</w:t>
      </w:r>
    </w:p>
    <w:p>
      <w:r>
        <w:rPr>
          <w:b/>
        </w:rPr>
        <w:t xml:space="preserve">Security: </w:t>
      </w:r>
      <w:r>
        <w:t>Protect API credentials and avoid unnecessary personal data collection.</w:t>
      </w:r>
    </w:p>
    <w:p>
      <w:r>
        <w:rPr>
          <w:b/>
        </w:rPr>
        <w:t xml:space="preserve">Reliability: </w:t>
      </w:r>
      <w:r>
        <w:t>Show useful errors when the API is unavailable.</w:t>
      </w:r>
    </w:p>
    <w:p>
      <w:r>
        <w:rPr>
          <w:b/>
        </w:rPr>
        <w:t xml:space="preserve">Responsible AI: </w:t>
      </w:r>
      <w:r>
        <w:t>Use neutral language, acknowledge uncertainty, and avoid case-specific advice.</w:t>
      </w:r>
    </w:p>
    <w:p>
      <w:r>
        <w:rPr>
          <w:b/>
        </w:rPr>
        <w:t xml:space="preserve">Maintainability: </w:t>
      </w:r>
      <w:r>
        <w:t>Separate interface, AI logic, configuration, and tests.</w:t>
      </w:r>
    </w:p>
    <w:p>
      <w:pPr>
        <w:pStyle w:val="Heading1"/>
        <w:keepNext/>
      </w:pPr>
      <w:r>
        <w:t>8. Application Modules</w:t>
      </w:r>
    </w:p>
    <w:p>
      <w:pPr>
        <w:pStyle w:val="Heading2"/>
        <w:keepNext/>
      </w:pPr>
      <w:r>
        <w:t>Module 1 — User Interface (app.py)</w:t>
      </w:r>
    </w:p>
    <w:p>
      <w:pPr>
        <w:pStyle w:val="ListBullet"/>
        <w:spacing w:after="40"/>
      </w:pPr>
      <w:r>
        <w:t>Display the title, introduction, and disclaimer.</w:t>
      </w:r>
    </w:p>
    <w:p>
      <w:pPr>
        <w:pStyle w:val="ListBullet"/>
        <w:spacing w:after="40"/>
      </w:pPr>
      <w:r>
        <w:t>Provide suggested questions and a chat input.</w:t>
      </w:r>
    </w:p>
    <w:p>
      <w:pPr>
        <w:pStyle w:val="ListBullet"/>
        <w:spacing w:after="40"/>
      </w:pPr>
      <w:r>
        <w:t>Display user messages and model responses.</w:t>
      </w:r>
    </w:p>
    <w:p>
      <w:pPr>
        <w:pStyle w:val="ListBullet"/>
        <w:spacing w:after="40"/>
      </w:pPr>
      <w:r>
        <w:t>Maintain session history and show friendly error messages.</w:t>
      </w:r>
    </w:p>
    <w:p>
      <w:pPr>
        <w:pStyle w:val="Heading2"/>
        <w:keepNext/>
      </w:pPr>
      <w:r>
        <w:t>Module 2 — Gemini Configuration</w:t>
      </w:r>
    </w:p>
    <w:p>
      <w:pPr>
        <w:pStyle w:val="ListBullet"/>
        <w:spacing w:after="40"/>
      </w:pPr>
      <w:r>
        <w:t>Read the API key securely from an environment variable or deployment secret.</w:t>
      </w:r>
    </w:p>
    <w:p>
      <w:pPr>
        <w:pStyle w:val="ListBullet"/>
        <w:spacing w:after="40"/>
      </w:pPr>
      <w:r>
        <w:t>Initialize a supported Gemini chat model.</w:t>
      </w:r>
    </w:p>
    <w:p>
      <w:pPr>
        <w:pStyle w:val="ListBullet"/>
        <w:spacing w:after="40"/>
      </w:pPr>
      <w:r>
        <w:t>Handle model configuration and connection errors.</w:t>
      </w:r>
    </w:p>
    <w:p>
      <w:pPr>
        <w:pStyle w:val="Heading2"/>
        <w:keepNext/>
      </w:pPr>
      <w:r>
        <w:t>Module 3 — Prompt Engineering</w:t>
      </w:r>
    </w:p>
    <w:p>
      <w:pPr>
        <w:pStyle w:val="ListBullet"/>
        <w:spacing w:after="40"/>
      </w:pPr>
      <w:r>
        <w:t>Define the bot's role, scope, and plain-language response style.</w:t>
      </w:r>
    </w:p>
    <w:p>
      <w:pPr>
        <w:pStyle w:val="ListBullet"/>
        <w:spacing w:after="40"/>
      </w:pPr>
      <w:r>
        <w:t>Prohibit legal strategy, judgment prediction, and individual case opinions.</w:t>
      </w:r>
    </w:p>
    <w:p>
      <w:pPr>
        <w:pStyle w:val="ListBullet"/>
        <w:spacing w:after="40"/>
      </w:pPr>
      <w:r>
        <w:t>Require acknowledgement of jurisdictional variation and uncertainty.</w:t>
      </w:r>
    </w:p>
    <w:p>
      <w:pPr>
        <w:pStyle w:val="Heading2"/>
        <w:keepNext/>
      </w:pPr>
      <w:r>
        <w:t>Module 4 — LangChain Chain</w:t>
      </w:r>
    </w:p>
    <w:p>
      <w:pPr>
        <w:pStyle w:val="ListBullet"/>
        <w:spacing w:after="40"/>
      </w:pPr>
      <w:r>
        <w:t>Receive a validated question.</w:t>
      </w:r>
    </w:p>
    <w:p>
      <w:pPr>
        <w:pStyle w:val="ListBullet"/>
        <w:spacing w:after="40"/>
      </w:pPr>
      <w:r>
        <w:t>Construct the prompt, invoke Gemini, parse the response, and return it.</w:t>
      </w:r>
    </w:p>
    <w:p>
      <w:pPr>
        <w:pStyle w:val="Heading2"/>
        <w:keepNext/>
      </w:pPr>
      <w:r>
        <w:t>Module 5 — Safety and Validation</w:t>
      </w:r>
    </w:p>
    <w:p>
      <w:pPr>
        <w:pStyle w:val="ListBullet"/>
        <w:spacing w:after="40"/>
      </w:pPr>
      <w:r>
        <w:t>Reject empty or excessively long input.</w:t>
      </w:r>
    </w:p>
    <w:p>
      <w:pPr>
        <w:pStyle w:val="ListBullet"/>
        <w:spacing w:after="40"/>
      </w:pPr>
      <w:r>
        <w:t>Redirect requests outside the project scope.</w:t>
      </w:r>
    </w:p>
    <w:p>
      <w:pPr>
        <w:pStyle w:val="ListBullet"/>
        <w:spacing w:after="40"/>
      </w:pPr>
      <w:r>
        <w:t>Handle exceptions without exposing credentials or internal details.</w:t>
      </w:r>
    </w:p>
    <w:p>
      <w:pPr>
        <w:pStyle w:val="Heading2"/>
        <w:keepNext/>
      </w:pPr>
      <w:r>
        <w:t>Module 6 — Testing</w:t>
      </w:r>
    </w:p>
    <w:p>
      <w:pPr>
        <w:pStyle w:val="ListBullet"/>
        <w:spacing w:after="40"/>
      </w:pPr>
      <w:r>
        <w:t>Test required questions, out-of-scope requests, input errors, and API failures.</w:t>
      </w:r>
    </w:p>
    <w:p>
      <w:pPr>
        <w:pStyle w:val="ListBullet"/>
        <w:spacing w:after="40"/>
      </w:pPr>
      <w:r>
        <w:t>Review answer clarity and compare procedural claims against reliable sources.</w:t>
      </w:r>
    </w:p>
    <w:p>
      <w:pPr>
        <w:pStyle w:val="Heading1"/>
        <w:keepNext/>
      </w:pPr>
      <w:r>
        <w:t>9. LangChain Workflow and Prompt Design</w:t>
      </w:r>
    </w:p>
    <w:p>
      <w:r>
        <w:t>The initial LangChain Expression Language (LCEL) chain can follow this pattern:</w:t>
      </w:r>
    </w:p>
    <w:p>
      <w:pPr>
        <w:ind w:left="432"/>
      </w:pPr>
      <w:r>
        <w:rPr>
          <w:rFonts w:ascii="Consolas" w:hAnsi="Consolas"/>
          <w:sz w:val="18"/>
        </w:rPr>
        <w:t>chain = prompt | llm | StrOutputParser()</w:t>
        <w:br/>
        <w:br/>
        <w:t>response = chain.invoke({"question": user_question})</w:t>
      </w:r>
    </w:p>
    <w:p>
      <w:r>
        <w:t>Here, prompt is a configured ChatPromptTemplate and llm is the initialized Gemini chat model. The exact package names and model identifier should be checked against the current LangChain Google integration and Gemini API documentation.</w:t>
      </w:r>
    </w:p>
    <w:p>
      <w:pPr>
        <w:pStyle w:val="Heading2"/>
        <w:keepNext/>
      </w:pPr>
      <w:r>
        <w:t>9.1 Suggested System Prompt</w:t>
      </w:r>
    </w:p>
    <w:p>
      <w:pPr>
        <w:spacing w:after="160"/>
        <w:ind w:left="360" w:right="360"/>
      </w:pPr>
      <w:r>
        <w:rPr>
          <w:i/>
        </w:rPr>
        <w:t>You are a Judicial Court Process and Case Flow Explainer Bot. Explain general court procedures, common legal terminology, hearing stages, and typical case workflows in clear, simple, neutral language. Do not provide legal advice, recommend legal strategies, predict judicial outcomes, assess the merits of individual disputes, or tell users what arguments to present. When procedures differ by jurisdiction or case type, state that variation and ask for the relevant jurisdiction when necessary. Do not invent laws, deadlines, court rules, or official procedures. If verified information is unavailable, acknowledge the limitation. For case-specific advice requests, explain the limitation and offer general procedural information. Do not request unnecessary sensitive personal information. State that the application provides general procedural information and is not a substitute for advice from a qualified legal professional.</w:t>
      </w:r>
    </w:p>
    <w:p>
      <w:r>
        <w:t>Important: A system prompt is not a complete safety mechanism. Use application-level checks and test both direct and indirect attempts to obtain out-of-scope assistance.</w:t>
      </w:r>
    </w:p>
    <w:p>
      <w:pPr>
        <w:pStyle w:val="Heading1"/>
        <w:keepNext/>
      </w:pPr>
      <w:r>
        <w:t>10. User Interface Design</w:t>
      </w:r>
    </w:p>
    <w:p>
      <w:pPr>
        <w:pStyle w:val="ListBullet"/>
        <w:spacing w:after="40"/>
      </w:pPr>
      <w:r>
        <w:t>Header: project title, short description, and educational-use notice.</w:t>
      </w:r>
    </w:p>
    <w:p>
      <w:pPr>
        <w:pStyle w:val="ListBullet"/>
        <w:spacing w:after="40"/>
      </w:pPr>
      <w:r>
        <w:t>Suggested questions: the four required demonstration queries.</w:t>
      </w:r>
    </w:p>
    <w:p>
      <w:pPr>
        <w:pStyle w:val="ListBullet"/>
        <w:spacing w:after="40"/>
      </w:pPr>
      <w:r>
        <w:t>Chat area: input field, submit action, conversation history, and answer display.</w:t>
      </w:r>
    </w:p>
    <w:p>
      <w:pPr>
        <w:pStyle w:val="ListBullet"/>
        <w:spacing w:after="40"/>
      </w:pPr>
      <w:r>
        <w:t>Feedback: loading indicator and friendly error messages.</w:t>
      </w:r>
    </w:p>
    <w:p>
      <w:pPr>
        <w:pStyle w:val="ListBullet"/>
        <w:spacing w:after="40"/>
      </w:pPr>
      <w:r>
        <w:t>Footer: statement that the application is not an official court service and does not provide legal advice.</w:t>
      </w:r>
    </w:p>
    <w:p>
      <w:pPr>
        <w:pStyle w:val="Heading1"/>
        <w:keepNext/>
      </w:pPr>
      <w:r>
        <w:t>11. Two-Member Work Division</w:t>
      </w:r>
    </w:p>
    <w:p>
      <w:pPr>
        <w:pStyle w:val="Heading2"/>
        <w:keepNext/>
      </w:pPr>
      <w:r>
        <w:t>Member 1 — Backend and LangChain Developer</w:t>
      </w:r>
    </w:p>
    <w:p>
      <w:pPr>
        <w:pStyle w:val="ListBullet"/>
        <w:spacing w:after="40"/>
      </w:pPr>
      <w:r>
        <w:t>Set up Python and the virtual environment.</w:t>
      </w:r>
    </w:p>
    <w:p>
      <w:pPr>
        <w:pStyle w:val="ListBullet"/>
        <w:spacing w:after="40"/>
      </w:pPr>
      <w:r>
        <w:t>Install LangChain and Gemini integration packages.</w:t>
      </w:r>
    </w:p>
    <w:p>
      <w:pPr>
        <w:pStyle w:val="ListBullet"/>
        <w:spacing w:after="40"/>
      </w:pPr>
      <w:r>
        <w:t>Configure the API key securely.</w:t>
      </w:r>
    </w:p>
    <w:p>
      <w:pPr>
        <w:pStyle w:val="ListBullet"/>
        <w:spacing w:after="40"/>
      </w:pPr>
      <w:r>
        <w:t>Initialize the Gemini model connection.</w:t>
      </w:r>
    </w:p>
    <w:p>
      <w:pPr>
        <w:pStyle w:val="ListBullet"/>
        <w:spacing w:after="40"/>
      </w:pPr>
      <w:r>
        <w:t>Create the ChatPromptTemplate and LCEL chain.</w:t>
      </w:r>
    </w:p>
    <w:p>
      <w:pPr>
        <w:pStyle w:val="ListBullet"/>
        <w:spacing w:after="40"/>
      </w:pPr>
      <w:r>
        <w:t>Implement scope checks and error handling.</w:t>
      </w:r>
    </w:p>
    <w:p>
      <w:pPr>
        <w:pStyle w:val="ListBullet"/>
        <w:spacing w:after="40"/>
      </w:pPr>
      <w:r>
        <w:t>Test the four required queries and legal-advice refusal behavior.</w:t>
      </w:r>
    </w:p>
    <w:p>
      <w:pPr>
        <w:pStyle w:val="ListBullet"/>
        <w:spacing w:after="40"/>
      </w:pPr>
      <w:r>
        <w:t>Deliver chatbot.py and backend setup instructions.</w:t>
      </w:r>
    </w:p>
    <w:p>
      <w:pPr>
        <w:pStyle w:val="Heading2"/>
        <w:keepNext/>
      </w:pPr>
      <w:r>
        <w:t>Member 2 — Streamlit Developer and Integration Tester</w:t>
      </w:r>
    </w:p>
    <w:p>
      <w:pPr>
        <w:pStyle w:val="ListBullet"/>
        <w:spacing w:after="40"/>
      </w:pPr>
      <w:r>
        <w:t>Create the Streamlit page and layout.</w:t>
      </w:r>
    </w:p>
    <w:p>
      <w:pPr>
        <w:pStyle w:val="ListBullet"/>
        <w:spacing w:after="40"/>
      </w:pPr>
      <w:r>
        <w:t>Add suggested questions, chat input, response display, and disclaimer.</w:t>
      </w:r>
    </w:p>
    <w:p>
      <w:pPr>
        <w:pStyle w:val="ListBullet"/>
        <w:spacing w:after="40"/>
      </w:pPr>
      <w:r>
        <w:t>Maintain session history.</w:t>
      </w:r>
    </w:p>
    <w:p>
      <w:pPr>
        <w:pStyle w:val="ListBullet"/>
        <w:spacing w:after="40"/>
      </w:pPr>
      <w:r>
        <w:t>Integrate the backend function from Member 1.</w:t>
      </w:r>
    </w:p>
    <w:p>
      <w:pPr>
        <w:pStyle w:val="ListBullet"/>
        <w:spacing w:after="40"/>
      </w:pPr>
      <w:r>
        <w:t>Add loading indicators and user-friendly error messages.</w:t>
      </w:r>
    </w:p>
    <w:p>
      <w:pPr>
        <w:pStyle w:val="ListBullet"/>
        <w:spacing w:after="40"/>
      </w:pPr>
      <w:r>
        <w:t>Test the full application and prepare demonstration instructions.</w:t>
      </w:r>
    </w:p>
    <w:p>
      <w:pPr>
        <w:pStyle w:val="ListBullet"/>
        <w:spacing w:after="40"/>
      </w:pPr>
      <w:r>
        <w:t>Help maintain README.md and deployment configuration.</w:t>
      </w:r>
    </w:p>
    <w:p>
      <w:pPr>
        <w:pStyle w:val="Heading2"/>
        <w:keepNext/>
      </w:pPr>
      <w:r>
        <w:t>Shared Responsibilities</w:t>
      </w:r>
    </w:p>
    <w:p>
      <w:pPr>
        <w:pStyle w:val="ListBullet"/>
        <w:spacing w:after="40"/>
      </w:pPr>
      <w:r>
        <w:t>Agree on the backend function interface and project folder structure.</w:t>
      </w:r>
    </w:p>
    <w:p>
      <w:pPr>
        <w:pStyle w:val="ListBullet"/>
        <w:spacing w:after="40"/>
      </w:pPr>
      <w:r>
        <w:t>Test the four required queries and out-of-scope scenarios.</w:t>
      </w:r>
    </w:p>
    <w:p>
      <w:pPr>
        <w:pStyle w:val="ListBullet"/>
        <w:spacing w:after="40"/>
      </w:pPr>
      <w:r>
        <w:t>Review procedural claims against official sources.</w:t>
      </w:r>
    </w:p>
    <w:p>
      <w:pPr>
        <w:pStyle w:val="ListBullet"/>
        <w:spacing w:after="40"/>
      </w:pPr>
      <w:r>
        <w:t>Use GitHub carefully and never commit API credentials.</w:t>
      </w:r>
    </w:p>
    <w:p>
      <w:pPr>
        <w:pStyle w:val="ListBullet"/>
        <w:spacing w:after="40"/>
      </w:pPr>
      <w:r>
        <w:t>Prepare the final demonstration and project explanation together.</w:t>
      </w:r>
    </w:p>
    <w:p>
      <w:pPr>
        <w:pStyle w:val="Heading1"/>
        <w:keepNext/>
      </w:pPr>
      <w:r>
        <w:t>12. Project Folder Structure</w:t>
      </w:r>
    </w:p>
    <w:p>
      <w:pPr>
        <w:ind w:left="360"/>
      </w:pPr>
      <w:r>
        <w:rPr>
          <w:rFonts w:ascii="Consolas" w:hAnsi="Consolas"/>
          <w:sz w:val="18"/>
        </w:rPr>
        <w:t>judicial-explainer-bot/</w:t>
        <w:br/>
        <w:t>├── app.py                 # Streamlit interface (Member 2)</w:t>
        <w:br/>
        <w:t>├── chatbot.py             # LangChain and Gemini logic (Member 1)</w:t>
        <w:br/>
        <w:t>├── requirements.txt        # Python dependencies</w:t>
        <w:br/>
        <w:t>├── .env                   # Local API key; do not commit</w:t>
        <w:br/>
        <w:t>├── .gitignore             # Excludes secrets and virtual environment</w:t>
        <w:br/>
        <w:t>├── README.md              # Setup and usage documentation</w:t>
        <w:br/>
        <w:t>└── tests/</w:t>
        <w:br/>
        <w:t xml:space="preserve">    └── test_chatbot.py    # Basic automated tests</w:t>
      </w:r>
    </w:p>
    <w:p>
      <w:r>
        <w:t>The .env file must be listed in .gitignore. Keep only a placeholder such as GEMINI_API_KEY= in any example environment file committed to the repository.</w:t>
      </w:r>
    </w:p>
    <w:p>
      <w:pPr>
        <w:pStyle w:val="Heading1"/>
        <w:keepNext/>
      </w:pPr>
      <w:r>
        <w:t>13. Development Plan</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center"/>
            <w:shd w:fill="1F4E79"/>
          </w:tcPr>
          <w:p>
            <w:pPr>
              <w:spacing w:after="40"/>
            </w:pPr>
            <w:r/>
            <w:r>
              <w:rPr>
                <w:rFonts w:ascii="Aptos" w:hAnsi="Aptos"/>
                <w:b/>
                <w:color w:val="FFFFFF"/>
                <w:sz w:val="18"/>
              </w:rPr>
              <w:t>Phase</w:t>
            </w:r>
          </w:p>
        </w:tc>
        <w:tc>
          <w:tcPr>
            <w:tcW w:type="dxa" w:w="4320"/>
            <w:vAlign w:val="center"/>
            <w:shd w:fill="1F4E79"/>
          </w:tcPr>
          <w:p>
            <w:pPr>
              <w:spacing w:after="40"/>
            </w:pPr>
            <w:r/>
            <w:r>
              <w:rPr>
                <w:rFonts w:ascii="Aptos" w:hAnsi="Aptos"/>
                <w:b/>
                <w:color w:val="FFFFFF"/>
                <w:sz w:val="18"/>
              </w:rPr>
              <w:t>Member 1</w:t>
            </w:r>
          </w:p>
        </w:tc>
        <w:tc>
          <w:tcPr>
            <w:tcW w:type="dxa" w:w="4104"/>
            <w:vAlign w:val="center"/>
            <w:shd w:fill="1F4E79"/>
          </w:tcPr>
          <w:p>
            <w:pPr>
              <w:spacing w:after="40"/>
            </w:pPr>
            <w:r/>
            <w:r>
              <w:rPr>
                <w:rFonts w:ascii="Aptos" w:hAnsi="Aptos"/>
                <w:b/>
                <w:color w:val="FFFFFF"/>
                <w:sz w:val="18"/>
              </w:rPr>
              <w:t>Member 2</w:t>
            </w:r>
          </w:p>
        </w:tc>
      </w:tr>
      <w:tr>
        <w:tc>
          <w:tcPr>
            <w:tcW w:type="dxa" w:w="1800"/>
            <w:vAlign w:val="center"/>
          </w:tcPr>
          <w:p>
            <w:pPr>
              <w:spacing w:after="40"/>
            </w:pPr>
            <w:r/>
            <w:r>
              <w:rPr>
                <w:rFonts w:ascii="Aptos" w:hAnsi="Aptos"/>
                <w:b w:val="0"/>
                <w:sz w:val="18"/>
              </w:rPr>
              <w:t>1. Environment setup</w:t>
            </w:r>
          </w:p>
        </w:tc>
        <w:tc>
          <w:tcPr>
            <w:tcW w:type="dxa" w:w="4320"/>
            <w:vAlign w:val="center"/>
          </w:tcPr>
          <w:p>
            <w:pPr>
              <w:spacing w:after="40"/>
            </w:pPr>
            <w:r/>
            <w:r>
              <w:rPr>
                <w:rFonts w:ascii="Aptos" w:hAnsi="Aptos"/>
                <w:b w:val="0"/>
                <w:sz w:val="18"/>
              </w:rPr>
              <w:t>Set up Python, packages, and Gemini access.</w:t>
            </w:r>
          </w:p>
        </w:tc>
        <w:tc>
          <w:tcPr>
            <w:tcW w:type="dxa" w:w="4104"/>
            <w:vAlign w:val="center"/>
          </w:tcPr>
          <w:p>
            <w:pPr>
              <w:spacing w:after="40"/>
            </w:pPr>
            <w:r/>
            <w:r>
              <w:rPr>
                <w:rFonts w:ascii="Aptos" w:hAnsi="Aptos"/>
                <w:b w:val="0"/>
                <w:sz w:val="18"/>
              </w:rPr>
              <w:t>Create the Streamlit skeleton.</w:t>
            </w:r>
          </w:p>
        </w:tc>
      </w:tr>
      <w:tr>
        <w:tc>
          <w:tcPr>
            <w:tcW w:type="dxa" w:w="1800"/>
            <w:vAlign w:val="center"/>
            <w:shd w:fill="F2F6FA"/>
          </w:tcPr>
          <w:p>
            <w:pPr>
              <w:spacing w:after="40"/>
            </w:pPr>
            <w:r/>
            <w:r>
              <w:rPr>
                <w:rFonts w:ascii="Aptos" w:hAnsi="Aptos"/>
                <w:b w:val="0"/>
                <w:sz w:val="18"/>
              </w:rPr>
              <w:t>2. Backend</w:t>
            </w:r>
          </w:p>
        </w:tc>
        <w:tc>
          <w:tcPr>
            <w:tcW w:type="dxa" w:w="4320"/>
            <w:vAlign w:val="center"/>
            <w:shd w:fill="F2F6FA"/>
          </w:tcPr>
          <w:p>
            <w:pPr>
              <w:spacing w:after="40"/>
            </w:pPr>
            <w:r/>
            <w:r>
              <w:rPr>
                <w:rFonts w:ascii="Aptos" w:hAnsi="Aptos"/>
                <w:b w:val="0"/>
                <w:sz w:val="18"/>
              </w:rPr>
              <w:t>Build and test the prompt/model chain and safeguards.</w:t>
            </w:r>
          </w:p>
        </w:tc>
        <w:tc>
          <w:tcPr>
            <w:tcW w:type="dxa" w:w="4104"/>
            <w:vAlign w:val="center"/>
            <w:shd w:fill="F2F6FA"/>
          </w:tcPr>
          <w:p>
            <w:pPr>
              <w:spacing w:after="40"/>
            </w:pPr>
            <w:r/>
            <w:r>
              <w:rPr>
                <w:rFonts w:ascii="Aptos" w:hAnsi="Aptos"/>
                <w:b w:val="0"/>
                <w:sz w:val="18"/>
              </w:rPr>
              <w:t>Build the chat interface and suggested questions.</w:t>
            </w:r>
          </w:p>
        </w:tc>
      </w:tr>
      <w:tr>
        <w:tc>
          <w:tcPr>
            <w:tcW w:type="dxa" w:w="1800"/>
            <w:vAlign w:val="center"/>
          </w:tcPr>
          <w:p>
            <w:pPr>
              <w:spacing w:after="40"/>
            </w:pPr>
            <w:r/>
            <w:r>
              <w:rPr>
                <w:rFonts w:ascii="Aptos" w:hAnsi="Aptos"/>
                <w:b w:val="0"/>
                <w:sz w:val="18"/>
              </w:rPr>
              <w:t>3. Integration</w:t>
            </w:r>
          </w:p>
        </w:tc>
        <w:tc>
          <w:tcPr>
            <w:tcW w:type="dxa" w:w="4320"/>
            <w:vAlign w:val="center"/>
          </w:tcPr>
          <w:p>
            <w:pPr>
              <w:spacing w:after="40"/>
            </w:pPr>
            <w:r/>
            <w:r>
              <w:rPr>
                <w:rFonts w:ascii="Aptos" w:hAnsi="Aptos"/>
                <w:b w:val="0"/>
                <w:sz w:val="18"/>
              </w:rPr>
              <w:t>Expose a reusable backend function.</w:t>
            </w:r>
          </w:p>
        </w:tc>
        <w:tc>
          <w:tcPr>
            <w:tcW w:type="dxa" w:w="4104"/>
            <w:vAlign w:val="center"/>
          </w:tcPr>
          <w:p>
            <w:pPr>
              <w:spacing w:after="40"/>
            </w:pPr>
            <w:r/>
            <w:r>
              <w:rPr>
                <w:rFonts w:ascii="Aptos" w:hAnsi="Aptos"/>
                <w:b w:val="0"/>
                <w:sz w:val="18"/>
              </w:rPr>
              <w:t>Connect the UI to the backend function.</w:t>
            </w:r>
          </w:p>
        </w:tc>
      </w:tr>
      <w:tr>
        <w:tc>
          <w:tcPr>
            <w:tcW w:type="dxa" w:w="1800"/>
            <w:vAlign w:val="center"/>
            <w:shd w:fill="F2F6FA"/>
          </w:tcPr>
          <w:p>
            <w:pPr>
              <w:spacing w:after="40"/>
            </w:pPr>
            <w:r/>
            <w:r>
              <w:rPr>
                <w:rFonts w:ascii="Aptos" w:hAnsi="Aptos"/>
                <w:b w:val="0"/>
                <w:sz w:val="18"/>
              </w:rPr>
              <w:t>4. Testing</w:t>
            </w:r>
          </w:p>
        </w:tc>
        <w:tc>
          <w:tcPr>
            <w:tcW w:type="dxa" w:w="4320"/>
            <w:vAlign w:val="center"/>
            <w:shd w:fill="F2F6FA"/>
          </w:tcPr>
          <w:p>
            <w:pPr>
              <w:spacing w:after="40"/>
            </w:pPr>
            <w:r/>
            <w:r>
              <w:rPr>
                <w:rFonts w:ascii="Aptos" w:hAnsi="Aptos"/>
                <w:b w:val="0"/>
                <w:sz w:val="18"/>
              </w:rPr>
              <w:t>Test response quality and refusal behavior.</w:t>
            </w:r>
          </w:p>
        </w:tc>
        <w:tc>
          <w:tcPr>
            <w:tcW w:type="dxa" w:w="4104"/>
            <w:vAlign w:val="center"/>
            <w:shd w:fill="F2F6FA"/>
          </w:tcPr>
          <w:p>
            <w:pPr>
              <w:spacing w:after="40"/>
            </w:pPr>
            <w:r/>
            <w:r>
              <w:rPr>
                <w:rFonts w:ascii="Aptos" w:hAnsi="Aptos"/>
                <w:b w:val="0"/>
                <w:sz w:val="18"/>
              </w:rPr>
              <w:t>Test session history, errors, and UI behavior.</w:t>
            </w:r>
          </w:p>
        </w:tc>
      </w:tr>
      <w:tr>
        <w:tc>
          <w:tcPr>
            <w:tcW w:type="dxa" w:w="1800"/>
            <w:vAlign w:val="center"/>
          </w:tcPr>
          <w:p>
            <w:pPr>
              <w:spacing w:after="40"/>
            </w:pPr>
            <w:r/>
            <w:r>
              <w:rPr>
                <w:rFonts w:ascii="Aptos" w:hAnsi="Aptos"/>
                <w:b w:val="0"/>
                <w:sz w:val="18"/>
              </w:rPr>
              <w:t>5. Finalization</w:t>
            </w:r>
          </w:p>
        </w:tc>
        <w:tc>
          <w:tcPr>
            <w:tcW w:type="dxa" w:w="4320"/>
            <w:vAlign w:val="center"/>
          </w:tcPr>
          <w:p>
            <w:pPr>
              <w:spacing w:after="40"/>
            </w:pPr>
            <w:r/>
            <w:r>
              <w:rPr>
                <w:rFonts w:ascii="Aptos" w:hAnsi="Aptos"/>
                <w:b w:val="0"/>
                <w:sz w:val="18"/>
              </w:rPr>
              <w:t>Fix backend issues and review prompts.</w:t>
            </w:r>
          </w:p>
        </w:tc>
        <w:tc>
          <w:tcPr>
            <w:tcW w:type="dxa" w:w="4104"/>
            <w:vAlign w:val="center"/>
          </w:tcPr>
          <w:p>
            <w:pPr>
              <w:spacing w:after="40"/>
            </w:pPr>
            <w:r/>
            <w:r>
              <w:rPr>
                <w:rFonts w:ascii="Aptos" w:hAnsi="Aptos"/>
                <w:b w:val="0"/>
                <w:sz w:val="18"/>
              </w:rPr>
              <w:t>Finalize demo and README with Member 1.</w:t>
            </w:r>
          </w:p>
        </w:tc>
      </w:tr>
    </w:tbl>
    <w:p>
      <w:pPr>
        <w:spacing w:after="20"/>
      </w:pPr>
    </w:p>
    <w:p>
      <w:pPr>
        <w:pStyle w:val="Heading1"/>
        <w:keepNext/>
      </w:pPr>
      <w:r>
        <w:t>14. Testing Strategy</w:t>
      </w:r>
    </w:p>
    <w:tbl>
      <w:tblPr>
        <w:tblStyle w:val="TableGrid"/>
        <w:tblW w:type="auto" w:w="0"/>
        <w:jc w:val="center"/>
        <w:tblLook w:firstColumn="1" w:firstRow="1" w:lastColumn="0" w:lastRow="0" w:noHBand="0" w:noVBand="1" w:val="04A0"/>
      </w:tblPr>
      <w:tblGrid>
        <w:gridCol w:w="3312"/>
        <w:gridCol w:w="3312"/>
        <w:gridCol w:w="3312"/>
      </w:tblGrid>
      <w:tr>
        <w:tc>
          <w:tcPr>
            <w:tcW w:type="dxa" w:w="1008"/>
            <w:vAlign w:val="center"/>
            <w:shd w:fill="1F4E79"/>
          </w:tcPr>
          <w:p>
            <w:pPr>
              <w:spacing w:after="40"/>
            </w:pPr>
            <w:r/>
            <w:r>
              <w:rPr>
                <w:rFonts w:ascii="Aptos" w:hAnsi="Aptos"/>
                <w:b/>
                <w:color w:val="FFFFFF"/>
                <w:sz w:val="18"/>
              </w:rPr>
              <w:t>Test ID</w:t>
            </w:r>
          </w:p>
        </w:tc>
        <w:tc>
          <w:tcPr>
            <w:tcW w:type="dxa" w:w="3456"/>
            <w:vAlign w:val="center"/>
            <w:shd w:fill="1F4E79"/>
          </w:tcPr>
          <w:p>
            <w:pPr>
              <w:spacing w:after="40"/>
            </w:pPr>
            <w:r/>
            <w:r>
              <w:rPr>
                <w:rFonts w:ascii="Aptos" w:hAnsi="Aptos"/>
                <w:b/>
                <w:color w:val="FFFFFF"/>
                <w:sz w:val="18"/>
              </w:rPr>
              <w:t>Input</w:t>
            </w:r>
          </w:p>
        </w:tc>
        <w:tc>
          <w:tcPr>
            <w:tcW w:type="dxa" w:w="5760"/>
            <w:vAlign w:val="center"/>
            <w:shd w:fill="1F4E79"/>
          </w:tcPr>
          <w:p>
            <w:pPr>
              <w:spacing w:after="40"/>
            </w:pPr>
            <w:r/>
            <w:r>
              <w:rPr>
                <w:rFonts w:ascii="Aptos" w:hAnsi="Aptos"/>
                <w:b/>
                <w:color w:val="FFFFFF"/>
                <w:sz w:val="18"/>
              </w:rPr>
              <w:t>Expected Behavior</w:t>
            </w:r>
          </w:p>
        </w:tc>
      </w:tr>
      <w:tr>
        <w:tc>
          <w:tcPr>
            <w:tcW w:type="dxa" w:w="1008"/>
            <w:vAlign w:val="center"/>
          </w:tcPr>
          <w:p>
            <w:pPr>
              <w:spacing w:after="40"/>
            </w:pPr>
            <w:r/>
            <w:r>
              <w:rPr>
                <w:rFonts w:ascii="Aptos" w:hAnsi="Aptos"/>
                <w:b w:val="0"/>
                <w:sz w:val="18"/>
              </w:rPr>
              <w:t>TC-01</w:t>
            </w:r>
          </w:p>
        </w:tc>
        <w:tc>
          <w:tcPr>
            <w:tcW w:type="dxa" w:w="3456"/>
            <w:vAlign w:val="center"/>
          </w:tcPr>
          <w:p>
            <w:pPr>
              <w:spacing w:after="40"/>
            </w:pPr>
            <w:r/>
            <w:r>
              <w:rPr>
                <w:rFonts w:ascii="Aptos" w:hAnsi="Aptos"/>
                <w:b w:val="0"/>
                <w:sz w:val="18"/>
              </w:rPr>
              <w:t>Explain the court case filing process.</w:t>
            </w:r>
          </w:p>
        </w:tc>
        <w:tc>
          <w:tcPr>
            <w:tcW w:type="dxa" w:w="5760"/>
            <w:vAlign w:val="center"/>
          </w:tcPr>
          <w:p>
            <w:pPr>
              <w:spacing w:after="40"/>
            </w:pPr>
            <w:r/>
            <w:r>
              <w:rPr>
                <w:rFonts w:ascii="Aptos" w:hAnsi="Aptos"/>
                <w:b w:val="0"/>
                <w:sz w:val="18"/>
              </w:rPr>
              <w:t>Give a general overview; clarify that requirements vary by jurisdiction and case type.</w:t>
            </w:r>
          </w:p>
        </w:tc>
      </w:tr>
      <w:tr>
        <w:tc>
          <w:tcPr>
            <w:tcW w:type="dxa" w:w="1008"/>
            <w:vAlign w:val="center"/>
            <w:shd w:fill="F2F6FA"/>
          </w:tcPr>
          <w:p>
            <w:pPr>
              <w:spacing w:after="40"/>
            </w:pPr>
            <w:r/>
            <w:r>
              <w:rPr>
                <w:rFonts w:ascii="Aptos" w:hAnsi="Aptos"/>
                <w:b w:val="0"/>
                <w:sz w:val="18"/>
              </w:rPr>
              <w:t>TC-02</w:t>
            </w:r>
          </w:p>
        </w:tc>
        <w:tc>
          <w:tcPr>
            <w:tcW w:type="dxa" w:w="3456"/>
            <w:vAlign w:val="center"/>
            <w:shd w:fill="F2F6FA"/>
          </w:tcPr>
          <w:p>
            <w:pPr>
              <w:spacing w:after="40"/>
            </w:pPr>
            <w:r/>
            <w:r>
              <w:rPr>
                <w:rFonts w:ascii="Aptos" w:hAnsi="Aptos"/>
                <w:b w:val="0"/>
                <w:sz w:val="18"/>
              </w:rPr>
              <w:t>What happens during a hearing?</w:t>
            </w:r>
          </w:p>
        </w:tc>
        <w:tc>
          <w:tcPr>
            <w:tcW w:type="dxa" w:w="5760"/>
            <w:vAlign w:val="center"/>
            <w:shd w:fill="F2F6FA"/>
          </w:tcPr>
          <w:p>
            <w:pPr>
              <w:spacing w:after="40"/>
            </w:pPr>
            <w:r/>
            <w:r>
              <w:rPr>
                <w:rFonts w:ascii="Aptos" w:hAnsi="Aptos"/>
                <w:b w:val="0"/>
                <w:sz w:val="18"/>
              </w:rPr>
              <w:t>Explain typical activities without implying that every hearing is identical.</w:t>
            </w:r>
          </w:p>
        </w:tc>
      </w:tr>
      <w:tr>
        <w:tc>
          <w:tcPr>
            <w:tcW w:type="dxa" w:w="1008"/>
            <w:vAlign w:val="center"/>
          </w:tcPr>
          <w:p>
            <w:pPr>
              <w:spacing w:after="40"/>
            </w:pPr>
            <w:r/>
            <w:r>
              <w:rPr>
                <w:rFonts w:ascii="Aptos" w:hAnsi="Aptos"/>
                <w:b w:val="0"/>
                <w:sz w:val="18"/>
              </w:rPr>
              <w:t>TC-03</w:t>
            </w:r>
          </w:p>
        </w:tc>
        <w:tc>
          <w:tcPr>
            <w:tcW w:type="dxa" w:w="3456"/>
            <w:vAlign w:val="center"/>
          </w:tcPr>
          <w:p>
            <w:pPr>
              <w:spacing w:after="40"/>
            </w:pPr>
            <w:r/>
            <w:r>
              <w:rPr>
                <w:rFonts w:ascii="Aptos" w:hAnsi="Aptos"/>
                <w:b w:val="0"/>
                <w:sz w:val="18"/>
              </w:rPr>
              <w:t>Explain different court stages.</w:t>
            </w:r>
          </w:p>
        </w:tc>
        <w:tc>
          <w:tcPr>
            <w:tcW w:type="dxa" w:w="5760"/>
            <w:vAlign w:val="center"/>
          </w:tcPr>
          <w:p>
            <w:pPr>
              <w:spacing w:after="40"/>
            </w:pPr>
            <w:r/>
            <w:r>
              <w:rPr>
                <w:rFonts w:ascii="Aptos" w:hAnsi="Aptos"/>
                <w:b w:val="0"/>
                <w:sz w:val="18"/>
              </w:rPr>
              <w:t>Describe general stages and note differences across proceeding types.</w:t>
            </w:r>
          </w:p>
        </w:tc>
      </w:tr>
      <w:tr>
        <w:tc>
          <w:tcPr>
            <w:tcW w:type="dxa" w:w="1008"/>
            <w:vAlign w:val="center"/>
            <w:shd w:fill="F2F6FA"/>
          </w:tcPr>
          <w:p>
            <w:pPr>
              <w:spacing w:after="40"/>
            </w:pPr>
            <w:r/>
            <w:r>
              <w:rPr>
                <w:rFonts w:ascii="Aptos" w:hAnsi="Aptos"/>
                <w:b w:val="0"/>
                <w:sz w:val="18"/>
              </w:rPr>
              <w:t>TC-04</w:t>
            </w:r>
          </w:p>
        </w:tc>
        <w:tc>
          <w:tcPr>
            <w:tcW w:type="dxa" w:w="3456"/>
            <w:vAlign w:val="center"/>
            <w:shd w:fill="F2F6FA"/>
          </w:tcPr>
          <w:p>
            <w:pPr>
              <w:spacing w:after="40"/>
            </w:pPr>
            <w:r/>
            <w:r>
              <w:rPr>
                <w:rFonts w:ascii="Aptos" w:hAnsi="Aptos"/>
                <w:b w:val="0"/>
                <w:sz w:val="18"/>
              </w:rPr>
              <w:t>What is a summons?</w:t>
            </w:r>
          </w:p>
        </w:tc>
        <w:tc>
          <w:tcPr>
            <w:tcW w:type="dxa" w:w="5760"/>
            <w:vAlign w:val="center"/>
            <w:shd w:fill="F2F6FA"/>
          </w:tcPr>
          <w:p>
            <w:pPr>
              <w:spacing w:after="40"/>
            </w:pPr>
            <w:r/>
            <w:r>
              <w:rPr>
                <w:rFonts w:ascii="Aptos" w:hAnsi="Aptos"/>
                <w:b w:val="0"/>
                <w:sz w:val="18"/>
              </w:rPr>
              <w:t>Explain the general meaning accurately and distinguish it from other documents when relevant.</w:t>
            </w:r>
          </w:p>
        </w:tc>
      </w:tr>
      <w:tr>
        <w:tc>
          <w:tcPr>
            <w:tcW w:type="dxa" w:w="1008"/>
            <w:vAlign w:val="center"/>
          </w:tcPr>
          <w:p>
            <w:pPr>
              <w:spacing w:after="40"/>
            </w:pPr>
            <w:r/>
            <w:r>
              <w:rPr>
                <w:rFonts w:ascii="Aptos" w:hAnsi="Aptos"/>
                <w:b w:val="0"/>
                <w:sz w:val="18"/>
              </w:rPr>
              <w:t>TC-05</w:t>
            </w:r>
          </w:p>
        </w:tc>
        <w:tc>
          <w:tcPr>
            <w:tcW w:type="dxa" w:w="3456"/>
            <w:vAlign w:val="center"/>
          </w:tcPr>
          <w:p>
            <w:pPr>
              <w:spacing w:after="40"/>
            </w:pPr>
            <w:r/>
            <w:r>
              <w:rPr>
                <w:rFonts w:ascii="Aptos" w:hAnsi="Aptos"/>
                <w:b w:val="0"/>
                <w:sz w:val="18"/>
              </w:rPr>
              <w:t>Tell me what argument I should make to win my case.</w:t>
            </w:r>
          </w:p>
        </w:tc>
        <w:tc>
          <w:tcPr>
            <w:tcW w:type="dxa" w:w="5760"/>
            <w:vAlign w:val="center"/>
          </w:tcPr>
          <w:p>
            <w:pPr>
              <w:spacing w:after="40"/>
            </w:pPr>
            <w:r/>
            <w:r>
              <w:rPr>
                <w:rFonts w:ascii="Aptos" w:hAnsi="Aptos"/>
                <w:b w:val="0"/>
                <w:sz w:val="18"/>
              </w:rPr>
              <w:t>Decline case-specific strategy and offer general procedural information.</w:t>
            </w:r>
          </w:p>
        </w:tc>
      </w:tr>
      <w:tr>
        <w:tc>
          <w:tcPr>
            <w:tcW w:type="dxa" w:w="1008"/>
            <w:vAlign w:val="center"/>
            <w:shd w:fill="F2F6FA"/>
          </w:tcPr>
          <w:p>
            <w:pPr>
              <w:spacing w:after="40"/>
            </w:pPr>
            <w:r/>
            <w:r>
              <w:rPr>
                <w:rFonts w:ascii="Aptos" w:hAnsi="Aptos"/>
                <w:b w:val="0"/>
                <w:sz w:val="18"/>
              </w:rPr>
              <w:t>TC-06</w:t>
            </w:r>
          </w:p>
        </w:tc>
        <w:tc>
          <w:tcPr>
            <w:tcW w:type="dxa" w:w="3456"/>
            <w:vAlign w:val="center"/>
            <w:shd w:fill="F2F6FA"/>
          </w:tcPr>
          <w:p>
            <w:pPr>
              <w:spacing w:after="40"/>
            </w:pPr>
            <w:r/>
            <w:r>
              <w:rPr>
                <w:rFonts w:ascii="Aptos" w:hAnsi="Aptos"/>
                <w:b w:val="0"/>
                <w:sz w:val="18"/>
              </w:rPr>
              <w:t>What is the exact deadline for my case?</w:t>
            </w:r>
          </w:p>
        </w:tc>
        <w:tc>
          <w:tcPr>
            <w:tcW w:type="dxa" w:w="5760"/>
            <w:vAlign w:val="center"/>
            <w:shd w:fill="F2F6FA"/>
          </w:tcPr>
          <w:p>
            <w:pPr>
              <w:spacing w:after="40"/>
            </w:pPr>
            <w:r/>
            <w:r>
              <w:rPr>
                <w:rFonts w:ascii="Aptos" w:hAnsi="Aptos"/>
                <w:b w:val="0"/>
                <w:sz w:val="18"/>
              </w:rPr>
              <w:t>Do not invent a deadline; explain that it depends on applicable rules and circumstances.</w:t>
            </w:r>
          </w:p>
        </w:tc>
      </w:tr>
      <w:tr>
        <w:tc>
          <w:tcPr>
            <w:tcW w:type="dxa" w:w="1008"/>
            <w:vAlign w:val="center"/>
          </w:tcPr>
          <w:p>
            <w:pPr>
              <w:spacing w:after="40"/>
            </w:pPr>
            <w:r/>
            <w:r>
              <w:rPr>
                <w:rFonts w:ascii="Aptos" w:hAnsi="Aptos"/>
                <w:b w:val="0"/>
                <w:sz w:val="18"/>
              </w:rPr>
              <w:t>TC-07</w:t>
            </w:r>
          </w:p>
        </w:tc>
        <w:tc>
          <w:tcPr>
            <w:tcW w:type="dxa" w:w="3456"/>
            <w:vAlign w:val="center"/>
          </w:tcPr>
          <w:p>
            <w:pPr>
              <w:spacing w:after="40"/>
            </w:pPr>
            <w:r/>
            <w:r>
              <w:rPr>
                <w:rFonts w:ascii="Aptos" w:hAnsi="Aptos"/>
                <w:b w:val="0"/>
                <w:sz w:val="18"/>
              </w:rPr>
              <w:t>Empty input.</w:t>
            </w:r>
          </w:p>
        </w:tc>
        <w:tc>
          <w:tcPr>
            <w:tcW w:type="dxa" w:w="5760"/>
            <w:vAlign w:val="center"/>
          </w:tcPr>
          <w:p>
            <w:pPr>
              <w:spacing w:after="40"/>
            </w:pPr>
            <w:r/>
            <w:r>
              <w:rPr>
                <w:rFonts w:ascii="Aptos" w:hAnsi="Aptos"/>
                <w:b w:val="0"/>
                <w:sz w:val="18"/>
              </w:rPr>
              <w:t>Ask the user to enter a question without invoking the model.</w:t>
            </w:r>
          </w:p>
        </w:tc>
      </w:tr>
      <w:tr>
        <w:tc>
          <w:tcPr>
            <w:tcW w:type="dxa" w:w="1008"/>
            <w:vAlign w:val="center"/>
            <w:shd w:fill="F2F6FA"/>
          </w:tcPr>
          <w:p>
            <w:pPr>
              <w:spacing w:after="40"/>
            </w:pPr>
            <w:r/>
            <w:r>
              <w:rPr>
                <w:rFonts w:ascii="Aptos" w:hAnsi="Aptos"/>
                <w:b w:val="0"/>
                <w:sz w:val="18"/>
              </w:rPr>
              <w:t>TC-08</w:t>
            </w:r>
          </w:p>
        </w:tc>
        <w:tc>
          <w:tcPr>
            <w:tcW w:type="dxa" w:w="3456"/>
            <w:vAlign w:val="center"/>
            <w:shd w:fill="F2F6FA"/>
          </w:tcPr>
          <w:p>
            <w:pPr>
              <w:spacing w:after="40"/>
            </w:pPr>
            <w:r/>
            <w:r>
              <w:rPr>
                <w:rFonts w:ascii="Aptos" w:hAnsi="Aptos"/>
                <w:b w:val="0"/>
                <w:sz w:val="18"/>
              </w:rPr>
              <w:t>API unavailable.</w:t>
            </w:r>
          </w:p>
        </w:tc>
        <w:tc>
          <w:tcPr>
            <w:tcW w:type="dxa" w:w="5760"/>
            <w:vAlign w:val="center"/>
            <w:shd w:fill="F2F6FA"/>
          </w:tcPr>
          <w:p>
            <w:pPr>
              <w:spacing w:after="40"/>
            </w:pPr>
            <w:r/>
            <w:r>
              <w:rPr>
                <w:rFonts w:ascii="Aptos" w:hAnsi="Aptos"/>
                <w:b w:val="0"/>
                <w:sz w:val="18"/>
              </w:rPr>
              <w:t>Show a friendly error without revealing credentials or internal details.</w:t>
            </w:r>
          </w:p>
        </w:tc>
      </w:tr>
    </w:tbl>
    <w:p>
      <w:pPr>
        <w:spacing w:after="20"/>
      </w:pPr>
    </w:p>
    <w:p>
      <w:pPr>
        <w:pStyle w:val="Heading2"/>
        <w:keepNext/>
      </w:pPr>
      <w:r>
        <w:t>Evaluation Criteria</w:t>
      </w:r>
    </w:p>
    <w:p>
      <w:pPr>
        <w:pStyle w:val="ListBullet"/>
        <w:spacing w:after="40"/>
      </w:pPr>
      <w:r>
        <w:t>Relevance to the question.</w:t>
      </w:r>
    </w:p>
    <w:p>
      <w:pPr>
        <w:pStyle w:val="ListBullet"/>
        <w:spacing w:after="40"/>
      </w:pPr>
      <w:r>
        <w:t>Clarity and plain-language quality.</w:t>
      </w:r>
    </w:p>
    <w:p>
      <w:pPr>
        <w:pStyle w:val="ListBullet"/>
        <w:spacing w:after="40"/>
      </w:pPr>
      <w:r>
        <w:t>Procedural accuracy checked against reliable sources.</w:t>
      </w:r>
    </w:p>
    <w:p>
      <w:pPr>
        <w:pStyle w:val="ListBullet"/>
        <w:spacing w:after="40"/>
      </w:pPr>
      <w:r>
        <w:t>Compliance with the no-legal-advice requirement.</w:t>
      </w:r>
    </w:p>
    <w:p>
      <w:pPr>
        <w:pStyle w:val="ListBullet"/>
        <w:spacing w:after="40"/>
      </w:pPr>
      <w:r>
        <w:t>Appropriate acknowledgement of uncertainty.</w:t>
      </w:r>
    </w:p>
    <w:p>
      <w:pPr>
        <w:pStyle w:val="ListBullet"/>
        <w:spacing w:after="40"/>
      </w:pPr>
      <w:r>
        <w:t>Correct interface and error-handling behavior.</w:t>
      </w:r>
    </w:p>
    <w:p>
      <w:pPr>
        <w:pStyle w:val="Heading1"/>
        <w:keepNext/>
      </w:pPr>
      <w:r>
        <w:t>15. Security and Responsible AI</w:t>
      </w:r>
    </w:p>
    <w:p>
      <w:pPr>
        <w:pStyle w:val="ListBullet"/>
        <w:spacing w:after="40"/>
      </w:pPr>
      <w:r>
        <w:t>Store API keys in environment variables or secure deployment secrets.</w:t>
      </w:r>
    </w:p>
    <w:p>
      <w:pPr>
        <w:pStyle w:val="ListBullet"/>
        <w:spacing w:after="40"/>
      </w:pPr>
      <w:r>
        <w:t>Never commit .env or API keys to GitHub.</w:t>
      </w:r>
    </w:p>
    <w:p>
      <w:pPr>
        <w:pStyle w:val="ListBullet"/>
        <w:spacing w:after="40"/>
      </w:pPr>
      <w:r>
        <w:t>Avoid collecting unnecessary personal details or confidential case information.</w:t>
      </w:r>
    </w:p>
    <w:p>
      <w:pPr>
        <w:pStyle w:val="ListBullet"/>
        <w:spacing w:after="40"/>
      </w:pPr>
      <w:r>
        <w:t>Clearly state that the app is an educational tool, not an official court service.</w:t>
      </w:r>
    </w:p>
    <w:p>
      <w:pPr>
        <w:pStyle w:val="ListBullet"/>
        <w:spacing w:after="40"/>
      </w:pPr>
      <w:r>
        <w:t>Validate important procedural explanations against official court sources.</w:t>
      </w:r>
    </w:p>
    <w:p>
      <w:pPr>
        <w:pStyle w:val="ListBullet"/>
        <w:spacing w:after="40"/>
      </w:pPr>
      <w:r>
        <w:t>Test attempts to override the bot's intended role.</w:t>
      </w:r>
    </w:p>
    <w:p>
      <w:pPr>
        <w:pStyle w:val="ListBullet"/>
        <w:spacing w:after="40"/>
      </w:pPr>
      <w:r>
        <w:t>Do not treat a disclaimer or confident wording as proof of accuracy.</w:t>
      </w:r>
    </w:p>
    <w:p>
      <w:pPr>
        <w:pStyle w:val="ListBullet"/>
        <w:spacing w:after="40"/>
      </w:pPr>
      <w:r>
        <w:t>Provide safe redirection for case-specific legal advice requests.</w:t>
      </w:r>
    </w:p>
    <w:p>
      <w:pPr>
        <w:pStyle w:val="ListBullet"/>
        <w:spacing w:after="40"/>
      </w:pPr>
      <w:r>
        <w:t>Review the API provider's applicable data handling terms before deployment.</w:t>
      </w:r>
    </w:p>
    <w:p>
      <w:pPr>
        <w:pStyle w:val="Heading1"/>
        <w:keepNext/>
      </w:pPr>
      <w:r>
        <w:t>16. Limitations</w:t>
      </w:r>
    </w:p>
    <w:p>
      <w:pPr>
        <w:pStyle w:val="ListBullet"/>
        <w:spacing w:after="40"/>
      </w:pPr>
      <w:r>
        <w:t>The language model may generate inaccurate or incomplete explanations.</w:t>
      </w:r>
    </w:p>
    <w:p>
      <w:pPr>
        <w:pStyle w:val="ListBullet"/>
        <w:spacing w:after="40"/>
      </w:pPr>
      <w:r>
        <w:t>The initial prompt-based version does not verify every statement against official documents.</w:t>
      </w:r>
    </w:p>
    <w:p>
      <w:pPr>
        <w:pStyle w:val="ListBullet"/>
        <w:spacing w:after="40"/>
      </w:pPr>
      <w:r>
        <w:t>Procedures vary by jurisdiction, court, case type, and procedural stage.</w:t>
      </w:r>
    </w:p>
    <w:p>
      <w:pPr>
        <w:pStyle w:val="ListBullet"/>
        <w:spacing w:after="40"/>
      </w:pPr>
      <w:r>
        <w:t>The system does not provide live court status or confidential case records.</w:t>
      </w:r>
    </w:p>
    <w:p>
      <w:pPr>
        <w:pStyle w:val="ListBullet"/>
        <w:spacing w:after="40"/>
      </w:pPr>
      <w:r>
        <w:t>Prompt instructions cannot eliminate all unsafe or incorrect responses.</w:t>
      </w:r>
    </w:p>
    <w:p>
      <w:pPr>
        <w:pStyle w:val="ListBullet"/>
        <w:spacing w:after="40"/>
      </w:pPr>
      <w:r>
        <w:t>The application depends on internet connectivity, API availability, and usage limits.</w:t>
      </w:r>
    </w:p>
    <w:p>
      <w:pPr>
        <w:pStyle w:val="ListBullet"/>
        <w:spacing w:after="40"/>
      </w:pPr>
      <w:r>
        <w:t>Generated explanations must not be treated as authoritative legal instructions.</w:t>
      </w:r>
    </w:p>
    <w:p>
      <w:pPr>
        <w:pStyle w:val="Heading1"/>
        <w:keepNext/>
      </w:pPr>
      <w:r>
        <w:t>17. Future Enhancements</w:t>
      </w:r>
    </w:p>
    <w:p>
      <w:r>
        <w:rPr>
          <w:b/>
        </w:rPr>
        <w:t xml:space="preserve">Retrieval-Augmented Generation (RAG): </w:t>
      </w:r>
      <w:r>
        <w:t>Ground answers in verified official court procedure documents.</w:t>
      </w:r>
    </w:p>
    <w:p>
      <w:r>
        <w:rPr>
          <w:b/>
        </w:rPr>
        <w:t xml:space="preserve">Source references: </w:t>
      </w:r>
      <w:r>
        <w:t>Display links or references to official material used to support an explanation.</w:t>
      </w:r>
    </w:p>
    <w:p>
      <w:r>
        <w:rPr>
          <w:b/>
        </w:rPr>
        <w:t xml:space="preserve">Multilingual support: </w:t>
      </w:r>
      <w:r>
        <w:t>Offer Telugu, Hindi, and other language explanations with appropriate verification.</w:t>
      </w:r>
    </w:p>
    <w:p>
      <w:r>
        <w:rPr>
          <w:b/>
        </w:rPr>
        <w:t xml:space="preserve">Case-flow diagrams: </w:t>
      </w:r>
      <w:r>
        <w:t>Display typical procedural stages as visual flowcharts.</w:t>
      </w:r>
    </w:p>
    <w:p>
      <w:r>
        <w:rPr>
          <w:b/>
        </w:rPr>
        <w:t xml:space="preserve">Terminology explainer: </w:t>
      </w:r>
      <w:r>
        <w:t>Explain terms from non-confidential sample documents.</w:t>
      </w:r>
    </w:p>
    <w:p>
      <w:r>
        <w:rPr>
          <w:b/>
        </w:rPr>
        <w:t xml:space="preserve">Improved evaluation: </w:t>
      </w:r>
      <w:r>
        <w:t>Maintain a test dataset to monitor accuracy, relevance, and safety.</w:t>
      </w:r>
    </w:p>
    <w:p>
      <w:pPr>
        <w:pStyle w:val="Heading1"/>
        <w:keepNext/>
      </w:pPr>
      <w:r>
        <w:t>18. Expected Outcome and Conclusion</w:t>
      </w:r>
    </w:p>
    <w:p>
      <w:r>
        <w:t>The final application will be a working Streamlit chatbot using LangChain and Gemini Flash to explain general court procedures in plain language. It will demonstrate prompt engineering, LLM integration, a conversational interface, application-level safety checks, and responsible use of Generative AI.</w:t>
      </w:r>
    </w:p>
    <w:p>
      <w:r>
        <w:t>The two-member development plan separates backend AI logic from the user interface, making the project easier to build, test, and maintain. A successful implementation will provide clear explanations, acknowledge uncertainty, and maintain strict boundaries against case-specific legal advice. Future improvements may include RAG, verified source references, multilingual explanations, and interactive case-flow diagrams.</w:t>
      </w:r>
    </w:p>
    <w:p>
      <w:pPr>
        <w:pStyle w:val="Heading1"/>
        <w:keepNext/>
      </w:pPr>
      <w:r>
        <w:t>Appendix A — Initial Dependency List</w:t>
      </w:r>
    </w:p>
    <w:p>
      <w:r>
        <w:t>Use a compatible set of package versions and verify the latest package instructions before installation. A starting requirements.txt may contain:</w:t>
      </w:r>
    </w:p>
    <w:p>
      <w:pPr>
        <w:ind w:left="360"/>
      </w:pPr>
      <w:r>
        <w:rPr>
          <w:rFonts w:ascii="Consolas" w:hAnsi="Consolas"/>
          <w:sz w:val="18"/>
        </w:rPr>
        <w:t>langchain</w:t>
        <w:br/>
        <w:t>langchain-google-genai</w:t>
        <w:br/>
        <w:t>streamlit</w:t>
        <w:br/>
        <w:t>python-dotenv</w:t>
      </w:r>
    </w:p>
    <w:p>
      <w:r>
        <w:t>Install dependencies inside a virtual environment. Select a Gemini model identifier currently supported by the API and the installed LangChain integration.</w:t>
      </w:r>
    </w:p>
    <w:p>
      <w:pPr>
        <w:pStyle w:val="Heading1"/>
        <w:keepNext/>
      </w:pPr>
      <w:r>
        <w:t>Appendix B — Suggested Official Information Sources</w:t>
      </w:r>
    </w:p>
    <w:p>
      <w:r>
        <w:t>For an India-focused version, use relevant official court websites and the eCourts Services portal to verify general procedural information. If the chatbot covers another jurisdiction, use that jurisdiction's official judicial sources. The application should not invent citations or claim that it checked a source when it did not.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82"/>
        <w:sz w:val="16"/>
      </w:rPr>
      <w:t xml:space="preserve">Judicial Court Process &amp; Case Flow Explainer Bot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382"/>
        <w:sz w:val="16"/>
      </w:rPr>
      <w:t>GENAI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708C"/>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