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1F4E79"/>
          <w:sz w:val="56"/>
          <w:szCs w:val="56"/>
        </w:rPr>
        <w:t xml:space="preserve">Sales Insights Analysis</w:t>
      </w:r>
    </w:p>
    <w:p>
      <w:pPr>
        <w:pBdr>
          <w:bottom w:val="single" w:color="1F4E79" w:sz="12" w:space="6"/>
        </w:pBdr>
        <w:spacing w:after="240"/>
      </w:pPr>
      <w:r>
        <w:rPr>
          <w:color w:val="595959"/>
          <w:sz w:val="32"/>
          <w:szCs w:val="32"/>
        </w:rPr>
        <w:t xml:space="preserve">SQL and Power BI Project Report</w:t>
      </w:r>
    </w:p>
    <w:p>
      <w:pPr>
        <w:spacing w:after="120" w:line="300"/>
      </w:pPr>
      <w:r>
        <w:t xml:space="preserve">Data source: MySQL "sales" database (Oct 2017 to Jun 2020)</w:t>
      </w:r>
    </w:p>
    <w:p>
      <w:pPr>
        <w:spacing w:after="120" w:line="300"/>
      </w:pPr>
      <w:r>
        <w:t xml:space="preserve">Tools: MySQL 8, SQL, Power BI, DAX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300"/>
      </w:pPr>
      <w:r>
        <w:t xml:space="preserve">This project analyses roughly 148,000 sales transactions from a hardware retailer operating across 14 Indian cities. The data was stored in MySQL, cleaned and enriched with profit fields, queried with SQL, and presented in a three-page interactive Power BI dashboard.</w:t>
      </w:r>
    </w:p>
    <w:p>
      <w:pPr>
        <w:spacing w:after="120" w:line="300"/>
      </w:pPr>
      <w:r>
        <w:t xml:space="preserve">The headline result is that revenue of about ₹984.8 million translates into a profit margin of only about 2.5%, and that both revenue and profit are concentrated in a few markets and customers. The largest market is not the most profitable one, and two markets lose money.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 total revenue and sales quantity, and track the trend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the markets, customers and products that drive the business.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beyond revenue and assess profitability by market and customer.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performance against the prior year and against a profit target.</w:t>
      </w:r>
    </w:p>
    <w:p>
      <w:pPr>
        <w:pStyle w:val="Heading1"/>
      </w:pPr>
      <w:r>
        <w:t xml:space="preserve">3. Data Overview</w:t>
      </w:r>
    </w:p>
    <w:p>
      <w:pPr>
        <w:spacing w:after="120" w:line="300"/>
      </w:pPr>
      <w:r>
        <w:t xml:space="preserve">The database contains five tables. Transactions form the fact table; customers, products, markets and the date table are dimensions.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Rows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transactions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148,395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Orders with product, customer, market, date, quantity, sales amount, currency, profit margin %, profit margin and cost price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customers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38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 Brick &amp; Mortar and 19 E-Commerce customers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products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279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191 Own Brand and 88 Distribution products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markets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City and zone (North, South, Central); 14 markets have sales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1,126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Calendar table with year, month name and a current-year date key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Raw versus cleaned data</w:t>
      </w:r>
    </w:p>
    <w:p>
      <w:pPr>
        <w:spacing w:after="120" w:line="300"/>
      </w:pPr>
      <w:r>
        <w:t xml:space="preserve">Two database dumps were prepared. The first is the raw load; the second is the cleaned and enriched version used by the dashboard.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db_dump (v1, raw)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db_dump_version_2 (v2)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Transactions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150,283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148,395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Duplicate row groups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281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Zero or negative sales rows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1,611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Currency values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Trailing carriage return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Clean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Profit columns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Margin %, margin, cost price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Cleaning. </w:t>
      </w:r>
      <w:r>
        <w:t xml:space="preserve">Removed duplicate and zero or negative sales rows, stripped stray carriage-return characters from currency values, and added cost price and profit margin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SQL exploration. </w:t>
      </w:r>
      <w:r>
        <w:t xml:space="preserve">Filtered, joined and aggregated the data to answer questions such as revenue by year, month and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model. </w:t>
      </w:r>
      <w:r>
        <w:t xml:space="preserve">Loaded the tables into Power BI as a star schema with transactions at the centre.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Measures. </w:t>
      </w:r>
      <w:r>
        <w:t xml:space="preserve">Built DAX measures for Revenue, Sales Qty, Revenue LY, Revenue Contribution %, Profit Margin %, Profit Margin Contribution % and Total Profit Margin.</w:t>
      </w:r>
    </w:p>
    <w:p>
      <w:pPr>
        <w:pStyle w:val="Heading2"/>
      </w:pPr>
      <w:r>
        <w:t xml:space="preserve">4.1 Sample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SUM(t.sales_amount) AS revenue_2020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transactions 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INNER JOIN date d ON t.order_date = d.date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WHERE d.year = 2020;</w:t>
      </w:r>
    </w:p>
    <w:p>
      <w:pPr>
        <w:spacing w:after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m.markets_name, SUM(t.sales_amount) AS revenue,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ROUND(100*SUM(t.profit_margin)/SUM(t.sales_amount),1) AS profit_margin_pct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transactions t JOIN markets m ON m.markets_code = t.market_code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GROUP BY m.markets_name ORDER BY revenue DESC;</w:t>
      </w:r>
    </w:p>
    <w:p>
      <w:pPr>
        <w:spacing w:after="120"/>
      </w:pPr>
    </w:p>
    <w:p>
      <w:pPr>
        <w:pStyle w:val="Heading1"/>
      </w:pPr>
      <w:r>
        <w:t xml:space="preserve">5. Dashboard Design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Key Insights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Revenue and quantity KPIs; revenue and quantity by market; top 5 customers; top 5 products; revenue trend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Profit Analysis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Profit margin % and contribution % by market; revenue contribution %; top customers with profit metrics; total profit margin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Performance Insights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Revenue against last year with profit margin % overlay; drill-down by zone, market, customer and product; profit target parameter</w:t>
            </w:r>
          </w:p>
        </w:tc>
      </w:tr>
    </w:tbl>
    <w:p>
      <w:pPr>
        <w:spacing w:after="120" w:before="120"/>
      </w:pPr>
      <w:r>
        <w:t xml:space="preserve">Year and date slicers are available on every page, so each view can be filtered to a period. The screenshots below are filtered to 2020.</w:t>
      </w:r>
    </w:p>
    <w:p>
      <w:pPr>
        <w:pStyle w:val="Heading2"/>
      </w:pPr>
      <w:r>
        <w:t xml:space="preserve">5.1 Key Insights</w:t>
      </w:r>
    </w:p>
    <w:p>
      <w:pPr>
        <w:spacing w:after="120"/>
        <w:jc w:val="center"/>
      </w:pPr>
      <w:r>
        <w:drawing>
          <wp:inline distT="0" distB="0" distL="0" distR="0">
            <wp:extent cx="5715000" cy="3590925"/>
            <wp:effectExtent t="0" r="0" b="0" l="0"/>
            <wp:docPr id="1" name="/mnt/user-data/outputs/images/key-insights.png" descr="/mnt/user-data/outputs/images/key-insights.png" title="/mnt/user-data/outputs/images/key-insigh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5.2 Profit Analysis</w:t>
      </w:r>
    </w:p>
    <w:p>
      <w:pPr>
        <w:spacing w:after="120"/>
        <w:jc w:val="center"/>
      </w:pPr>
      <w:r>
        <w:drawing>
          <wp:inline distT="0" distB="0" distL="0" distR="0">
            <wp:extent cx="5715000" cy="3590925"/>
            <wp:effectExtent t="0" r="0" b="0" l="0"/>
            <wp:docPr id="1" name="/mnt/user-data/outputs/images/profit-analysis.png" descr="/mnt/user-data/outputs/images/profit-analysis.png" title="/mnt/user-data/outputs/images/profit-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5.3 Performance Insights</w:t>
      </w:r>
    </w:p>
    <w:p>
      <w:pPr>
        <w:spacing w:after="120"/>
        <w:jc w:val="center"/>
      </w:pPr>
      <w:r>
        <w:drawing>
          <wp:inline distT="0" distB="0" distL="0" distR="0">
            <wp:extent cx="5715000" cy="3590925"/>
            <wp:effectExtent t="0" r="0" b="0" l="0"/>
            <wp:docPr id="1" name="/mnt/user-data/outputs/images/performance-insights.png" descr="/mnt/user-data/outputs/images/performance-insights.png" title="/mnt/user-data/outputs/images/performance-insigh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2020 snapshot (January to June): revenue ₹142.2M, 350K units and ₹2.1M profit, a 1.4% margin that is below the overall 2.5%. Delhi NCR contributes 54.7% of revenue but only 0.6% margin, and Lucknow loses money (-2.7%). Bhubaneshwar (10.5%), Hyderabad (6.7%) and Chennai (6.3%) lead on margin. Electricalsara Stores alone is 46.2% of 2020 revenue.</w:t>
      </w:r>
    </w:p>
    <w:p>
      <w:pPr>
        <w:pStyle w:val="Heading1"/>
      </w:pPr>
      <w:r>
        <w:t xml:space="preserve">6. Findings</w:t>
      </w:r>
    </w:p>
    <w:p>
      <w:pPr>
        <w:pStyle w:val="Heading2"/>
      </w:pPr>
      <w:r>
        <w:t xml:space="preserve">6.1 Revenue</w:t>
      </w:r>
    </w:p>
    <w:p>
      <w:pPr>
        <w:spacing w:after="120" w:line="300"/>
      </w:pPr>
      <w:r>
        <w:t xml:space="preserve">Total revenue is about ₹984.8 million on 2.43 million units. Revenue peaked in 2018 and declined in 2019. 2020 covers January to June only.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Revenue (₹ million)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2017 (Oct to Dec)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92.9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2018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413.7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2019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336.0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2020 (Jan to Jun)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142.2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Brick &amp; Mortar customers contribute about ₹744.5 million (76%) and E-Commerce about ₹240.3 million (24%).</w:t>
      </w:r>
    </w:p>
    <w:p>
      <w:pPr>
        <w:spacing w:after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rev.png" descr="rev.png" title="re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Delhi NCR generates about 53% of revenue, followed by Mumbai (15%) and Ahmedabad (13%). The top three markets account for over 80% of sales.</w:t>
      </w:r>
    </w:p>
    <w:p>
      <w:pPr>
        <w:pStyle w:val="Heading2"/>
      </w:pPr>
      <w:r>
        <w:t xml:space="preserve">6.2 Customers and products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Top customers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Revenue (₹ million)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Share of revenue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Electricalsara Stores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413.3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42.0%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Electricalslytical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49.6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5.0%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Excel Stores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49.1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5.0%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Premium Stores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44.9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4.6%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Nixon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43.9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4.5%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Electricalsara Stores alone accounts for 42% of revenue, a significant dependency. By transaction product code, the top sellers are Prod318 (₹69.0M), Prod316 (₹60.9M) and Prod324 (₹41.5M). Note that the dashboard cannot show these names because they are missing from the products table (see section 7).</w:t>
      </w:r>
    </w:p>
    <w:p>
      <w:pPr>
        <w:pStyle w:val="Heading2"/>
      </w:pPr>
      <w:r>
        <w:t xml:space="preserve">6.3 Profitability</w:t>
      </w:r>
    </w:p>
    <w:p>
      <w:pPr>
        <w:spacing w:after="120" w:line="300"/>
      </w:pPr>
      <w:r>
        <w:t xml:space="preserve">Total profit margin is about ₹24.7 million on ₹984.8 million of revenue, an overall margin of about 2.5%. About 46% of transactions (68,501 rows) were sold at a loss.</w:t>
      </w:r>
    </w:p>
    <w:p>
      <w:pPr>
        <w:spacing w:after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pm.png" descr="pm.png" title="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Revenue (₹M)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Profit (₹M)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Margin 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Delhi NCR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519.5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11.95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2.3%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Mumbai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150.1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4.87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Ahmedabad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132.3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2.85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Bhopal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58.6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2.29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3.9%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Nagpur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55.0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1.41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Kochi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18.8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0.70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3.7%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Chennai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18.0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1.7%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Kanpur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13.6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-0.07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-0.5%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Bengaluru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-0.08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-20.8%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Delhi NCR delivers nearly half of all profit, but at a margin below the average. Smaller markets such as Surat (4.9%), Patna (4.1%) and Bhopal (3.9%) earn better margins on much lower volumes. Bengaluru and Kanpur are loss-making.</w:t>
      </w:r>
    </w:p>
    <w:p>
      <w:pPr>
        <w:pStyle w:val="Heading1"/>
      </w:pPr>
      <w:r>
        <w:t xml:space="preserve">7. Data Quality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products table covers only Prod001 to Prod279, but 54,599 transactions (about ₹469M, 48% of revenue) use Prod280 to Prod339. These appear as (Blank) in Power BI, so the Top 5 Products chart shows one blank bar (₹65M in 2020). The fix is to add the missing product codes to the products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product_type field still contains trailing carriage-return characters and should be trimmed.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USD transactions (₹750 in total) are not converted to INR; the effect is immaterial.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Bhopal appears under two market codes (Mark007 and Mark013).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Mark097 (New York) and Mark999 (Paris) have no transactions.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customers table column custmer_name is misspelled in the source schema.</w:t>
      </w:r>
    </w:p>
    <w:p>
      <w:pPr>
        <w:pStyle w:val="Heading1"/>
      </w:pPr>
      <w:r>
        <w:t xml:space="preserve">8.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customer concentration: build account plans to grow the next 10 customers, since one customer holds 42% of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pricing and discounts in Delhi NCR. A one-point margin gain on 53% of revenue would add roughly ₹5.2 million of profit.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Investigate loss-making markets (Bengaluru, Kanpur) and the 46% of transactions sold below cost before committing more volume.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Explore growth in high-margin markets such as Surat, Patna and Bhopal.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the products dimension so that product-level analysis in the dashboard covers all revenue, not just 52% of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Investigate the 2019 revenue decline against 2018 using the Revenue LY view.</w:t>
      </w:r>
    </w:p>
    <w:p>
      <w:pPr>
        <w:pStyle w:val="Heading1"/>
      </w:pPr>
      <w:r>
        <w:t xml:space="preserve">9. Conclusion</w:t>
      </w:r>
    </w:p>
    <w:p>
      <w:pPr>
        <w:spacing w:after="120" w:line="300"/>
      </w:pPr>
      <w:r>
        <w:t xml:space="preserve">The analysis shows a business with healthy revenue but thin margins and heavy dependence on one city and one customer. The dashboard gives decision-makers a single place to monitor revenue, profitability and year-over-year performance, and to find where margin is being lost.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1e28f3fcf6c5b6e34d1e3b501dd536a6636c56.png"/><Relationship Id="rId8" Type="http://schemas.openxmlformats.org/officeDocument/2006/relationships/image" Target="media/820e11f96bf8850ebc1a4a2c87baf7c4b74f5ab9.png"/><Relationship Id="rId9" Type="http://schemas.openxmlformats.org/officeDocument/2006/relationships/image" Target="media/a2d5f42d72c1a3c6cf267342a1de801a73ff3cea.png"/><Relationship Id="rId10" Type="http://schemas.openxmlformats.org/officeDocument/2006/relationships/image" Target="media/d6476efa72dbd2a3eca4c807f2b2243655ea283a.png"/><Relationship Id="rId11" Type="http://schemas.openxmlformats.org/officeDocument/2006/relationships/image" Target="media/7daccd15645930bc00bc8ceae1b3fa0fbf62c45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2026-10-06T19:05:03.802Z</dcterms:created>
  <dcterms:modified xsi:type="dcterms:W3CDTF">2026-10-06T19:05:03.807Z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