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etadata_for_design_for_six_sigma_11eb01"/>
      <w:r>
        <w:rPr>
          <w:rFonts w:eastAsia="source serif 4" w:cs="source serif 4" w:ascii="source serif 4" w:hAnsi="source serif 4"/>
          <w:b/>
          <w:color w:val="000000"/>
          <w:sz w:val="39"/>
        </w:rPr>
        <w:t xml:space="preserve">Metadata for Design for Six Sigma (DFSS): Concepts, Schema, and Project Application</w:t>
      </w:r>
      <w:bookmarkEnd w:id="0"/>
    </w:p>
    <w:p>
      <w:pPr>
        <w:spacing w:line="360" w:before="315" w:after="105" w:lineRule="auto"/>
        <w:ind w:left="-30"/>
        <w:jc w:val="left"/>
      </w:pPr>
      <w:bookmarkStart w:id="1" w:name="abstract"/>
      <w:r>
        <w:rPr>
          <w:rFonts w:eastAsia="source serif 4" w:cs="source serif 4" w:ascii="source serif 4" w:hAnsi="source serif 4"/>
          <w:b/>
          <w:color w:val="000000"/>
          <w:sz w:val="24"/>
        </w:rPr>
        <w:t xml:space="preserve">Abstract</w:t>
      </w:r>
      <w:bookmarkEnd w:id="1"/>
    </w:p>
    <w:p>
      <w:pPr>
        <w:spacing w:line="360" w:after="210" w:lineRule="auto"/>
      </w:pPr>
      <w:r>
        <w:rPr>
          <w:rFonts w:eastAsia="source serif 4" w:cs="source serif 4" w:ascii="source serif 4" w:hAnsi="source serif 4"/>
          <w:color w:val="000000"/>
        </w:rPr>
        <w:t xml:space="preserve">Metadata—structured information that describes, explains, and manages data—plays a critical role in ensuring traceability, reproducibility, and quality in engineering and process-improvement initiatives. While metadata management has been extensively studied in large-scale distributed file systems (DFS) for scalability, performance, and availability [web:1][web:8], its application within Design for Six Sigma (DFSS) projects remains underexplored. This paper synthesizes state-of-the-art metadata management concepts with DFSS methodology (specifically the DIMDOV framework: Define, Identify, Measure, Design, Optimize, Verify) to propose a practical metadata schema for DFSS projects. We describe how metadata can capture customer requirements, critical-to-quality (CTQ) characteristics, measurement systems, design parameters, and verification results. Finally, we outline how students and practitioners can implement this metadata approach in academic or industry projects to improve documentation, enable data-driven decisions, and support FAIR (Findable, Accessible, Interoperable, Reusable) principles for project artifacts.</w:t>
      </w:r>
    </w:p>
    <w:p>
      <w:pPr>
        <w:spacing w:line="360" w:after="210" w:lineRule="auto"/>
      </w:pPr>
      <w:r>
        <w:rPr>
          <w:rFonts w:eastAsia="source serif 4" w:cs="source serif 4" w:ascii="source serif 4" w:hAnsi="source serif 4"/>
          <w:b/>
          <w:color w:val="000000"/>
        </w:rPr>
        <w:t xml:space="preserve">Keywords:</w:t>
      </w:r>
      <w:r>
        <w:rPr>
          <w:rFonts w:eastAsia="source serif 4" w:cs="source serif 4" w:ascii="source serif 4" w:hAnsi="source serif 4"/>
          <w:color w:val="000000"/>
        </w:rPr>
        <w:t xml:space="preserve"> Metadata, Design for Six Sigma, DFSS, DIMDOV, CTQ, measurement systems, project documentation, FAIR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introduction"/>
      <w:r>
        <w:rPr>
          <w:rFonts w:eastAsia="source serif 4" w:cs="source serif 4" w:ascii="source serif 4" w:hAnsi="source serif 4"/>
          <w:b/>
          <w:color w:val="000000"/>
          <w:sz w:val="24"/>
        </w:rPr>
        <w:t xml:space="preserve">1. Introduction</w:t>
      </w:r>
      <w:bookmarkEnd w:id="2"/>
    </w:p>
    <w:p>
      <w:pPr>
        <w:spacing w:line="360" w:after="210" w:lineRule="auto"/>
      </w:pPr>
      <w:r>
        <w:rPr>
          <w:rFonts w:eastAsia="source serif 4" w:cs="source serif 4" w:ascii="source serif 4" w:hAnsi="source serif 4"/>
          <w:color w:val="000000"/>
        </w:rPr>
        <w:t xml:space="preserve">Six Sigma and its design-oriented extension, Design for Six Sigma (DFSS), are widely adopted methodologies for developing new products, services, and processes at high quality levels [web:2][web:11][web:13]. Unlike DMAIC (Define–Measure–Analyze–Improve–Control), which improves existing processes, DFSS focuses on </w:t>
      </w:r>
      <w:r>
        <w:rPr>
          <w:rFonts w:eastAsia="source serif 4" w:cs="source serif 4" w:ascii="source serif 4" w:hAnsi="source serif 4"/>
          <w:i/>
          <w:color w:val="000000"/>
        </w:rPr>
        <w:t xml:space="preserve">preventing</w:t>
      </w:r>
      <w:r>
        <w:rPr>
          <w:rFonts w:eastAsia="source serif 4" w:cs="source serif 4" w:ascii="source serif 4" w:hAnsi="source serif 4"/>
          <w:color w:val="000000"/>
        </w:rPr>
        <w:t xml:space="preserve"> defects by embedding quality into the design phase [web:11]. Common DFSS roadmaps include DMADV, IDOV, and the more comprehensive DIMDOV (Define, Identify, Measure, Design, Optimize, Verify) process [web:11].</w:t>
      </w:r>
    </w:p>
    <w:p>
      <w:pPr>
        <w:spacing w:line="360" w:after="210" w:lineRule="auto"/>
      </w:pPr>
      <w:r>
        <w:rPr>
          <w:rFonts w:eastAsia="source serif 4" w:cs="source serif 4" w:ascii="source serif 4" w:hAnsi="source serif 4"/>
          <w:color w:val="000000"/>
        </w:rPr>
        <w:t xml:space="preserve">Parallel to this, metadata management has become essential in large-scale distributed systems, where metadata operations can account for up to 80% of file-system activity [web:1]. Metadata ensures namespace integrity, permission semantics, and data-block location tracking, directly influencing system performance and scalability [web:1][web:14].</w:t>
      </w:r>
    </w:p>
    <w:p>
      <w:pPr>
        <w:spacing w:line="360" w:after="210" w:lineRule="auto"/>
      </w:pPr>
      <w:r>
        <w:rPr>
          <w:rFonts w:eastAsia="source serif 4" w:cs="source serif 4" w:ascii="source serif 4" w:hAnsi="source serif 4"/>
          <w:color w:val="000000"/>
        </w:rPr>
        <w:t xml:space="preserve">Despite these advances, DFSS projects—especially in academic or small-team settings—often lack structured metadata practices. This leads to fragmented documentation, lost traceability between customer needs and design parameters, and difficulties in reproducing or auditing project decisions.</w:t>
      </w:r>
    </w:p>
    <w:p>
      <w:pPr>
        <w:spacing w:line="360" w:after="210" w:lineRule="auto"/>
      </w:pPr>
      <w:r>
        <w:rPr>
          <w:rFonts w:eastAsia="source serif 4" w:cs="source serif 4" w:ascii="source serif 4" w:hAnsi="source serif 4"/>
          <w:color w:val="000000"/>
        </w:rPr>
        <w:t xml:space="preserve">This paper addresses this gap by:</w:t>
      </w:r>
    </w:p>
    <w:p>
      <w:pPr>
        <w:numPr>
          <w:ilvl w:val="0"/>
          <w:numId w:val="1"/>
        </w:numPr>
        <w:spacing w:line="360" w:before="105" w:after="105" w:lineRule="auto"/>
      </w:pPr>
      <w:r>
        <w:rPr>
          <w:rFonts w:eastAsia="source serif 4" w:cs="source serif 4" w:ascii="source serif 4" w:hAnsi="source serif 4"/>
          <w:color w:val="000000"/>
          <w:sz w:val="21"/>
        </w:rPr>
        <w:t xml:space="preserve">Defining what metadata means in the context of DFSS.</w:t>
      </w:r>
    </w:p>
    <w:p>
      <w:pPr>
        <w:numPr>
          <w:ilvl w:val="0"/>
          <w:numId w:val="1"/>
        </w:numPr>
        <w:spacing w:line="360" w:before="105" w:after="105" w:lineRule="auto"/>
      </w:pPr>
      <w:r>
        <w:rPr>
          <w:rFonts w:eastAsia="source serif 4" w:cs="source serif 4" w:ascii="source serif 4" w:hAnsi="source serif 4"/>
          <w:color w:val="000000"/>
          <w:sz w:val="21"/>
        </w:rPr>
        <w:t xml:space="preserve">Proposing a metadata schema aligned with the DIMDOV phases.</w:t>
      </w:r>
    </w:p>
    <w:p>
      <w:pPr>
        <w:numPr>
          <w:ilvl w:val="0"/>
          <w:numId w:val="1"/>
        </w:numPr>
        <w:spacing w:line="360" w:before="105" w:after="105" w:lineRule="auto"/>
      </w:pPr>
      <w:r>
        <w:rPr>
          <w:rFonts w:eastAsia="source serif 4" w:cs="source serif 4" w:ascii="source serif 4" w:hAnsi="source serif 4"/>
          <w:color w:val="000000"/>
          <w:sz w:val="21"/>
        </w:rPr>
        <w:t xml:space="preserve">Demonstrating how to apply this schema in a real or academic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background"/>
      <w:r>
        <w:rPr>
          <w:rFonts w:eastAsia="source serif 4" w:cs="source serif 4" w:ascii="source serif 4" w:hAnsi="source serif 4"/>
          <w:b/>
          <w:color w:val="000000"/>
          <w:sz w:val="24"/>
        </w:rPr>
        <w:t xml:space="preserve">2. Background</w:t>
      </w:r>
      <w:bookmarkEnd w:id="3"/>
    </w:p>
    <w:p>
      <w:pPr>
        <w:spacing w:line="360" w:before="315" w:after="105" w:lineRule="auto"/>
        <w:ind w:left="-30"/>
        <w:jc w:val="left"/>
      </w:pPr>
      <w:bookmarkStart w:id="4" w:name="bm_2_1_what_is_metadata"/>
      <w:r>
        <w:rPr>
          <w:rFonts w:eastAsia="source serif 4" w:cs="source serif 4" w:ascii="source serif 4" w:hAnsi="source serif 4"/>
          <w:b/>
          <w:color w:val="000000"/>
          <w:sz w:val="24"/>
        </w:rPr>
        <w:t xml:space="preserve">2.1 What Is Metadata?</w:t>
      </w:r>
      <w:bookmarkEnd w:id="4"/>
    </w:p>
    <w:p>
      <w:pPr>
        <w:spacing w:line="360" w:after="210" w:lineRule="auto"/>
      </w:pPr>
      <w:r>
        <w:rPr>
          <w:rFonts w:eastAsia="source serif 4" w:cs="source serif 4" w:ascii="source serif 4" w:hAnsi="source serif 4"/>
          <w:color w:val="000000"/>
        </w:rPr>
        <w:t xml:space="preserve">Metadata is “data about data.” In file systems, it includes file names, sizes, permissions, timestamps, and block locations [web:1]. In research and engineering contexts, metadata describes experimental conditions, instrument calibration, data provenance, and analytical methods [web:3][web:9][web:12].</w:t>
      </w:r>
    </w:p>
    <w:p>
      <w:pPr>
        <w:spacing w:line="360" w:after="210" w:lineRule="auto"/>
      </w:pPr>
      <w:r>
        <w:rPr>
          <w:rFonts w:eastAsia="source serif 4" w:cs="source serif 4" w:ascii="source serif 4" w:hAnsi="source serif 4"/>
          <w:color w:val="000000"/>
        </w:rPr>
        <w:t xml:space="preserve">Key purposes of metadata:</w:t>
      </w:r>
    </w:p>
    <w:p>
      <w:pPr>
        <w:numPr>
          <w:ilvl w:val="0"/>
          <w:numId w:val="2"/>
        </w:numPr>
        <w:spacing w:line="360" w:before="105" w:after="105" w:lineRule="auto"/>
      </w:pPr>
      <w:r>
        <w:rPr>
          <w:rFonts w:eastAsia="source serif 4" w:cs="source serif 4" w:ascii="source serif 4" w:hAnsi="source serif 4"/>
          <w:b/>
          <w:color w:val="000000"/>
          <w:sz w:val="21"/>
        </w:rPr>
        <w:t xml:space="preserve">Discovery</w:t>
      </w:r>
      <w:r>
        <w:rPr>
          <w:rFonts w:eastAsia="source serif 4" w:cs="source serif 4" w:ascii="source serif 4" w:hAnsi="source serif 4"/>
          <w:color w:val="000000"/>
          <w:sz w:val="21"/>
        </w:rPr>
        <w:t xml:space="preserve">: Makes artifacts findable via search.</w:t>
      </w:r>
    </w:p>
    <w:p>
      <w:pPr>
        <w:numPr>
          <w:ilvl w:val="0"/>
          <w:numId w:val="2"/>
        </w:numPr>
        <w:spacing w:line="360" w:before="105" w:after="105" w:lineRule="auto"/>
      </w:pPr>
      <w:r>
        <w:rPr>
          <w:rFonts w:eastAsia="source serif 4" w:cs="source serif 4" w:ascii="source serif 4" w:hAnsi="source serif 4"/>
          <w:b/>
          <w:color w:val="000000"/>
          <w:sz w:val="21"/>
        </w:rPr>
        <w:t xml:space="preserve">Interpretation</w:t>
      </w:r>
      <w:r>
        <w:rPr>
          <w:rFonts w:eastAsia="source serif 4" w:cs="source serif 4" w:ascii="source serif 4" w:hAnsi="source serif 4"/>
          <w:color w:val="000000"/>
          <w:sz w:val="21"/>
        </w:rPr>
        <w:t xml:space="preserve">: Provides context to understand data.</w:t>
      </w:r>
    </w:p>
    <w:p>
      <w:pPr>
        <w:numPr>
          <w:ilvl w:val="0"/>
          <w:numId w:val="2"/>
        </w:numPr>
        <w:spacing w:line="360" w:before="105" w:after="105" w:lineRule="auto"/>
      </w:pPr>
      <w:r>
        <w:rPr>
          <w:rFonts w:eastAsia="source serif 4" w:cs="source serif 4" w:ascii="source serif 4" w:hAnsi="source serif 4"/>
          <w:b/>
          <w:color w:val="000000"/>
          <w:sz w:val="21"/>
        </w:rPr>
        <w:t xml:space="preserve">Management</w:t>
      </w:r>
      <w:r>
        <w:rPr>
          <w:rFonts w:eastAsia="source serif 4" w:cs="source serif 4" w:ascii="source serif 4" w:hAnsi="source serif 4"/>
          <w:color w:val="000000"/>
          <w:sz w:val="21"/>
        </w:rPr>
        <w:t xml:space="preserve">: Supports versioning, access control, and lifecycle tracking.</w:t>
      </w:r>
    </w:p>
    <w:p>
      <w:pPr>
        <w:numPr>
          <w:ilvl w:val="0"/>
          <w:numId w:val="2"/>
        </w:numPr>
        <w:spacing w:line="360" w:before="105" w:after="105" w:lineRule="auto"/>
      </w:pPr>
      <w:r>
        <w:rPr>
          <w:rFonts w:eastAsia="source serif 4" w:cs="source serif 4" w:ascii="source serif 4" w:hAnsi="source serif 4"/>
          <w:b/>
          <w:color w:val="000000"/>
          <w:sz w:val="21"/>
        </w:rPr>
        <w:t xml:space="preserve">Reproducibility</w:t>
      </w:r>
      <w:r>
        <w:rPr>
          <w:rFonts w:eastAsia="source serif 4" w:cs="source serif 4" w:ascii="source serif 4" w:hAnsi="source serif 4"/>
          <w:color w:val="000000"/>
          <w:sz w:val="21"/>
        </w:rPr>
        <w:t xml:space="preserve">: Enables others to replicate methods and results.</w:t>
      </w:r>
    </w:p>
    <w:p>
      <w:pPr>
        <w:spacing w:line="360" w:before="315" w:after="105" w:lineRule="auto"/>
        <w:ind w:left="-30"/>
        <w:jc w:val="left"/>
      </w:pPr>
      <w:bookmarkStart w:id="5" w:name="bm_2_2_overview_of_dfss_and_dimdov"/>
      <w:r>
        <w:rPr>
          <w:rFonts w:eastAsia="source serif 4" w:cs="source serif 4" w:ascii="source serif 4" w:hAnsi="source serif 4"/>
          <w:b/>
          <w:color w:val="000000"/>
          <w:sz w:val="24"/>
        </w:rPr>
        <w:t xml:space="preserve">2.2 Overview of DFSS and DIMDOV</w:t>
      </w:r>
      <w:bookmarkEnd w:id="5"/>
    </w:p>
    <w:p>
      <w:pPr>
        <w:spacing w:line="360" w:after="210" w:lineRule="auto"/>
      </w:pPr>
      <w:r>
        <w:rPr>
          <w:rFonts w:eastAsia="source serif 4" w:cs="source serif 4" w:ascii="source serif 4" w:hAnsi="source serif 4"/>
          <w:color w:val="000000"/>
        </w:rPr>
        <w:t xml:space="preserve">DFSS shifts quality focus upstream—from post-production correction to pre-production prevention [web:11]. The DIMDOV framework extends traditional DFSS by adding explicit </w:t>
      </w:r>
      <w:r>
        <w:rPr>
          <w:rFonts w:eastAsia="source serif 4" w:cs="source serif 4" w:ascii="source serif 4" w:hAnsi="source serif 4"/>
          <w:i/>
          <w:color w:val="000000"/>
        </w:rPr>
        <w:t xml:space="preserve">Identify</w:t>
      </w:r>
      <w:r>
        <w:rPr>
          <w:rFonts w:eastAsia="source serif 4" w:cs="source serif 4" w:ascii="source serif 4" w:hAnsi="source serif 4"/>
          <w:color w:val="000000"/>
        </w:rPr>
        <w:t xml:space="preserve"> and </w:t>
      </w:r>
      <w:r>
        <w:rPr>
          <w:rFonts w:eastAsia="source serif 4" w:cs="source serif 4" w:ascii="source serif 4" w:hAnsi="source serif 4"/>
          <w:i/>
          <w:color w:val="000000"/>
        </w:rPr>
        <w:t xml:space="preserve">Measure</w:t>
      </w:r>
      <w:r>
        <w:rPr>
          <w:rFonts w:eastAsia="source serif 4" w:cs="source serif 4" w:ascii="source serif 4" w:hAnsi="source serif 4"/>
          <w:color w:val="000000"/>
        </w:rPr>
        <w:t xml:space="preserve"> phases before design </w:t>
      </w:r>
      <m:oMathPara>
        <m:oMath>
          <m:r>
            <m:rPr>
              <m:sty m:val="i"/>
            </m:rPr>
            <w:rPr>
              <w:color w:val="000000"/>
            </w:rPr>
            <m:t>w</m:t>
          </m:r>
          <m:r>
            <m:rPr>
              <m:sty m:val="i"/>
            </m:rPr>
            <w:rPr>
              <w:color w:val="000000"/>
            </w:rPr>
            <m:t>e</m:t>
          </m:r>
          <m:r>
            <m:rPr>
              <m:sty m:val="i"/>
            </m:rPr>
            <w:rPr>
              <w:color w:val="000000"/>
            </w:rPr>
            <m:t>b</m:t>
          </m:r>
          <m:r>
            <m:rPr>
              <m:sty m:val="p"/>
            </m:rPr>
            <w:rPr>
              <w:color w:val="000000"/>
            </w:rPr>
            <m:t>:</m:t>
          </m:r>
          <m:r>
            <m:rPr>
              <m:sty m:val="p"/>
            </m:rPr>
            <w:rPr>
              <w:color w:val="000000"/>
            </w:rPr>
            <m:t>11</m:t>
          </m:r>
        </m:oMath>
      </m:oMathPara>
      <w:r>
        <w:rPr>
          <w:rFonts w:eastAsia="source serif 4" w:cs="source serif 4" w:ascii="source serif 4" w:hAnsi="source serif 4"/>
          <w:color w:val="000000"/>
        </w:rPr>
        <w:t xml:space="preserve">:</w:t>
      </w:r>
    </w:p>
    <w:p>
      <w:pPr>
        <w:numPr>
          <w:ilvl w:val="0"/>
          <w:numId w:val="3"/>
        </w:numPr>
        <w:spacing w:line="360" w:before="105" w:after="105" w:lineRule="auto"/>
      </w:pPr>
      <w:r>
        <w:rPr>
          <w:rFonts w:eastAsia="source serif 4" w:cs="source serif 4" w:ascii="source serif 4" w:hAnsi="source serif 4"/>
          <w:b/>
          <w:color w:val="000000"/>
          <w:sz w:val="21"/>
        </w:rPr>
        <w:t xml:space="preserve">Define</w:t>
      </w:r>
      <w:r>
        <w:rPr>
          <w:rFonts w:eastAsia="source serif 4" w:cs="source serif 4" w:ascii="source serif 4" w:hAnsi="source serif 4"/>
          <w:color w:val="000000"/>
          <w:sz w:val="21"/>
        </w:rPr>
        <w:t xml:space="preserve">: Project charter, customer needs, objectives.</w:t>
      </w:r>
    </w:p>
    <w:p>
      <w:pPr>
        <w:numPr>
          <w:ilvl w:val="0"/>
          <w:numId w:val="3"/>
        </w:numPr>
        <w:spacing w:line="360" w:before="105" w:after="105" w:lineRule="auto"/>
      </w:pPr>
      <w:r>
        <w:rPr>
          <w:rFonts w:eastAsia="source serif 4" w:cs="source serif 4" w:ascii="source serif 4" w:hAnsi="source serif 4"/>
          <w:b/>
          <w:color w:val="000000"/>
          <w:sz w:val="21"/>
        </w:rPr>
        <w:t xml:space="preserve">Identify</w:t>
      </w:r>
      <w:r>
        <w:rPr>
          <w:rFonts w:eastAsia="source serif 4" w:cs="source serif 4" w:ascii="source serif 4" w:hAnsi="source serif 4"/>
          <w:color w:val="000000"/>
          <w:sz w:val="21"/>
        </w:rPr>
        <w:t xml:space="preserve">: Critical-to-Quality (CTQ) characteristics, Critical-to-Process (CTP) factors.</w:t>
      </w:r>
    </w:p>
    <w:p>
      <w:pPr>
        <w:numPr>
          <w:ilvl w:val="0"/>
          <w:numId w:val="3"/>
        </w:numPr>
        <w:spacing w:line="360" w:before="105" w:after="105" w:lineRule="auto"/>
      </w:pPr>
      <w:r>
        <w:rPr>
          <w:rFonts w:eastAsia="source serif 4" w:cs="source serif 4" w:ascii="source serif 4" w:hAnsi="source serif 4"/>
          <w:b/>
          <w:color w:val="000000"/>
          <w:sz w:val="21"/>
        </w:rPr>
        <w:t xml:space="preserve">Measure</w:t>
      </w:r>
      <w:r>
        <w:rPr>
          <w:rFonts w:eastAsia="source serif 4" w:cs="source serif 4" w:ascii="source serif 4" w:hAnsi="source serif 4"/>
          <w:color w:val="000000"/>
          <w:sz w:val="21"/>
        </w:rPr>
        <w:t xml:space="preserve">: Measurement systems, metrics, baselines.</w:t>
      </w:r>
    </w:p>
    <w:p>
      <w:pPr>
        <w:numPr>
          <w:ilvl w:val="0"/>
          <w:numId w:val="3"/>
        </w:numPr>
        <w:spacing w:line="360" w:before="105" w:after="105" w:lineRule="auto"/>
      </w:pPr>
      <w:r>
        <w:rPr>
          <w:rFonts w:eastAsia="source serif 4" w:cs="source serif 4" w:ascii="source serif 4" w:hAnsi="source serif 4"/>
          <w:b/>
          <w:color w:val="000000"/>
          <w:sz w:val="21"/>
        </w:rPr>
        <w:t xml:space="preserve">Design</w:t>
      </w:r>
      <w:r>
        <w:rPr>
          <w:rFonts w:eastAsia="source serif 4" w:cs="source serif 4" w:ascii="source serif 4" w:hAnsi="source serif 4"/>
          <w:color w:val="000000"/>
          <w:sz w:val="21"/>
        </w:rPr>
        <w:t xml:space="preserve">: Conceptual and detailed design, DFMEA, tolerances.</w:t>
      </w:r>
    </w:p>
    <w:p>
      <w:pPr>
        <w:numPr>
          <w:ilvl w:val="0"/>
          <w:numId w:val="3"/>
        </w:numPr>
        <w:spacing w:line="360" w:before="105" w:after="105" w:lineRule="auto"/>
      </w:pPr>
      <w:r>
        <w:rPr>
          <w:rFonts w:eastAsia="source serif 4" w:cs="source serif 4" w:ascii="source serif 4" w:hAnsi="source serif 4"/>
          <w:b/>
          <w:color w:val="000000"/>
          <w:sz w:val="21"/>
        </w:rPr>
        <w:t xml:space="preserve">Optimize</w:t>
      </w:r>
      <w:r>
        <w:rPr>
          <w:rFonts w:eastAsia="source serif 4" w:cs="source serif 4" w:ascii="source serif 4" w:hAnsi="source serif 4"/>
          <w:color w:val="000000"/>
          <w:sz w:val="21"/>
        </w:rPr>
        <w:t xml:space="preserve">: Robust parameter design, DOE, SOPs.</w:t>
      </w:r>
    </w:p>
    <w:p>
      <w:pPr>
        <w:numPr>
          <w:ilvl w:val="0"/>
          <w:numId w:val="3"/>
        </w:numPr>
        <w:spacing w:line="360" w:before="105" w:after="105" w:lineRule="auto"/>
      </w:pPr>
      <w:r>
        <w:rPr>
          <w:rFonts w:eastAsia="source serif 4" w:cs="source serif 4" w:ascii="source serif 4" w:hAnsi="source serif 4"/>
          <w:b/>
          <w:color w:val="000000"/>
          <w:sz w:val="21"/>
        </w:rPr>
        <w:t xml:space="preserve">Verify</w:t>
      </w:r>
      <w:r>
        <w:rPr>
          <w:rFonts w:eastAsia="source serif 4" w:cs="source serif 4" w:ascii="source serif 4" w:hAnsi="source serif 4"/>
          <w:color w:val="000000"/>
          <w:sz w:val="21"/>
        </w:rPr>
        <w:t xml:space="preserve">: Pilot runs, capability analysis, SPC, PFMEA.</w:t>
      </w:r>
    </w:p>
    <w:p>
      <w:pPr>
        <w:spacing w:line="360" w:after="210" w:lineRule="auto"/>
      </w:pPr>
      <w:r>
        <w:rPr>
          <w:rFonts w:eastAsia="source serif 4" w:cs="source serif 4" w:ascii="source serif 4" w:hAnsi="source serif 4"/>
          <w:color w:val="000000"/>
        </w:rPr>
        <w:t xml:space="preserve">Each phase generates structured information that can—and should—be captured as metadata.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metadata_schema_for_dfss_projects"/>
      <w:r>
        <w:rPr>
          <w:rFonts w:eastAsia="source serif 4" w:cs="source serif 4" w:ascii="source serif 4" w:hAnsi="source serif 4"/>
          <w:b/>
          <w:color w:val="000000"/>
          <w:sz w:val="24"/>
        </w:rPr>
        <w:t xml:space="preserve">3. Metadata Schema for DFSS Projects</w:t>
      </w:r>
      <w:bookmarkEnd w:id="6"/>
    </w:p>
    <w:p>
      <w:pPr>
        <w:spacing w:line="360" w:after="210" w:lineRule="auto"/>
      </w:pPr>
      <w:r>
        <w:rPr>
          <w:rFonts w:eastAsia="source serif 4" w:cs="source serif 4" w:ascii="source serif 4" w:hAnsi="source serif 4"/>
          <w:color w:val="000000"/>
        </w:rPr>
        <w:t xml:space="preserve">We propose a hierarchical metadata schema organized by DIMDOV phase. Each metadata element includes a </w:t>
      </w:r>
      <w:r>
        <w:rPr>
          <w:rFonts w:eastAsia="source serif 4" w:cs="source serif 4" w:ascii="source serif 4" w:hAnsi="source serif 4"/>
          <w:b/>
          <w:color w:val="000000"/>
        </w:rPr>
        <w:t xml:space="preserve">name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type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example</w:t>
      </w:r>
      <w:r>
        <w:rPr>
          <w:rFonts w:eastAsia="source serif 4" w:cs="source serif 4" w:ascii="source serif 4" w:hAnsi="source serif 4"/>
          <w:color w:val="000000"/>
        </w:rPr>
        <w:t xml:space="preserve">.</w:t>
      </w:r>
    </w:p>
    <w:p>
      <w:pPr>
        <w:spacing w:line="360" w:before="315" w:after="105" w:lineRule="auto"/>
        <w:ind w:left="-30"/>
        <w:jc w:val="left"/>
      </w:pPr>
      <w:bookmarkStart w:id="7" w:name="bm_3_1_define_phase_metadata"/>
      <w:r>
        <w:rPr>
          <w:rFonts w:eastAsia="source serif 4" w:cs="source serif 4" w:ascii="source serif 4" w:hAnsi="source serif 4"/>
          <w:b/>
          <w:color w:val="000000"/>
          <w:sz w:val="24"/>
        </w:rPr>
        <w:t xml:space="preserve">3.1 Define Phase Metadata</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project_id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Unique identifier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DFSS-2026-001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project_title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Descriptive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“Brake Microswitch Alignment Improvement”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customer_name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stakeholder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“Sunrise Medical, Netherlands”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problem_statement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Concise problem 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“Microswitch misalignment causes brake failure”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voc_sources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Voice-of-Customer sources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[“complaint logs”, “survey Q3”, “interview_2025-11”]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team_members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Roles and names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[“Black Belt: A. Roy”, “Green Belt: S. Das”]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baseline_sigma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process sigma level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5.0</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target_sigma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float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Goal sigma level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6.0</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Enables project tracking, stakeholder alignment, and baseline comparison.</w:t>
      </w:r>
    </w:p>
    <w:p>
      <w:pPr>
        <w:spacing w:line="360" w:before="315" w:after="105" w:lineRule="auto"/>
        <w:ind w:left="-30"/>
        <w:jc w:val="left"/>
      </w:pPr>
      <w:bookmarkStart w:id="8" w:name="bm_3_2_identify_phase_metadata"/>
      <w:r>
        <w:rPr>
          <w:rFonts w:eastAsia="source serif 4" w:cs="source serif 4" w:ascii="source serif 4" w:hAnsi="source serif 4"/>
          <w:b/>
          <w:color w:val="000000"/>
          <w:sz w:val="24"/>
        </w:rPr>
        <w:t xml:space="preserve">3.2 Identify Phase Metadata</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ctq_tree_id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Reference to CTQ diagram</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CTQ-BRAKE-01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ctq_items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 of CTQs with specs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[{"name": "Microswitch position", "spec": "≤0.1mm deviation"}]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ctp_factors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Critical-to-Process variables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[“torque_setting”, “fixture_alignment”]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sipoc_ref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SIPOC diagram identifier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SIPOC-MTM-BRAKE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kano_classification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Kano model results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{"must_be": ["safety"], "performance": ["response_time"]}</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Links customer needs to measurable outputs and process inputs.</w:t>
      </w:r>
    </w:p>
    <w:p>
      <w:pPr>
        <w:spacing w:line="360" w:before="315" w:after="105" w:lineRule="auto"/>
        <w:ind w:left="-30"/>
        <w:jc w:val="left"/>
      </w:pPr>
      <w:bookmarkStart w:id="9" w:name="bm_3_3_measure_phase_metadata"/>
      <w:r>
        <w:rPr>
          <w:rFonts w:eastAsia="source serif 4" w:cs="source serif 4" w:ascii="source serif 4" w:hAnsi="source serif 4"/>
          <w:b/>
          <w:color w:val="000000"/>
          <w:sz w:val="24"/>
        </w:rPr>
        <w:t xml:space="preserve">3.3 Measure Phase Metadata</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measurement_system_id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MSA reference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MSA-2026-03</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instrument_calibration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Calibration dates and certs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{"caliper": "2026-08-15", "cert": "ISO-17025"}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metrics_definitions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SMART metrics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[{"name": "Deviation_mm", "target": "≤0.1", "unit": "mm"}]</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axiomatic_model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 = f(X, Z) formulation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Deviation = f(torque, fixture_temp, operator_skill)</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data_collection_form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 sheet or digital form</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checksheet_microswitch_v2.csv</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Ensures measurement validity and traceability—critical for DFSS success [web:11].</w:t>
      </w:r>
    </w:p>
    <w:p>
      <w:pPr>
        <w:spacing w:line="360" w:before="315" w:after="105" w:lineRule="auto"/>
        <w:ind w:left="-30"/>
        <w:jc w:val="left"/>
      </w:pPr>
      <w:bookmarkStart w:id="10" w:name="bm_3_4_design_phase_metadata"/>
      <w:r>
        <w:rPr>
          <w:rFonts w:eastAsia="source serif 4" w:cs="source serif 4" w:ascii="source serif 4" w:hAnsi="source serif 4"/>
          <w:b/>
          <w:color w:val="000000"/>
          <w:sz w:val="24"/>
        </w:rPr>
        <w:t xml:space="preserve">3.4 Design Phase Metadata</w:t>
      </w:r>
      <w:bookmarkEnd w:id="1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concept_alternatives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 options evaluated</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[“auto_fixture”, “laser_guide”, “manual_jig”]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dfmea_ref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DFMEA document ID</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DFMEA-BRAKE-2026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design_parameters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DPs from axiomatic design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[“fixture_clamp_force”, “switch_mount_angle”]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tolerance_specs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Target and tolerance for Xs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{"torque": {"target": 5.2, "tol": ±0.1}}</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simulation_results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CAD/FEA outputs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fea_stress_analysis_v3.pdf</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Captures design rationale, trade-offs, and robustness considerations.</w:t>
      </w:r>
    </w:p>
    <w:p>
      <w:pPr>
        <w:spacing w:line="360" w:before="315" w:after="105" w:lineRule="auto"/>
        <w:ind w:left="-30"/>
        <w:jc w:val="left"/>
      </w:pPr>
      <w:bookmarkStart w:id="11" w:name="bm_3_5_optimize_phase_metadata"/>
      <w:r>
        <w:rPr>
          <w:rFonts w:eastAsia="source serif 4" w:cs="source serif 4" w:ascii="source serif 4" w:hAnsi="source serif 4"/>
          <w:b/>
          <w:color w:val="000000"/>
          <w:sz w:val="24"/>
        </w:rPr>
        <w:t xml:space="preserve">3.5 Optimize Phase Metadata</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doe_design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design type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Taguchi L9</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optimal_parameters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X settings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{"torque": 5.2, "temp": 23.5}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sop_documents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array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Operating Procedures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[“SOP-Assembly-Rev4”, “SOP-Inspection-Rev2”]</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capability_indices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Cp, Cpk values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{"Cp": 1.67, "Cpk": 1.52}</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Documents how robustness was achieved and how to sustain it.</w:t>
      </w:r>
    </w:p>
    <w:p>
      <w:pPr>
        <w:spacing w:line="360" w:before="315" w:after="105" w:lineRule="auto"/>
        <w:ind w:left="-30"/>
        <w:jc w:val="left"/>
      </w:pPr>
      <w:bookmarkStart w:id="12" w:name="bm_3_6_verify_phase_metadata"/>
      <w:r>
        <w:rPr>
          <w:rFonts w:eastAsia="source serif 4" w:cs="source serif 4" w:ascii="source serif 4" w:hAnsi="source serif 4"/>
          <w:b/>
          <w:color w:val="000000"/>
          <w:sz w:val="24"/>
        </w:rPr>
        <w:t xml:space="preserve">3.6 Verify Phase Metadata</w:t>
      </w:r>
      <w:bookmarkEnd w:id="1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Description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Example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pilot_run_id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Pilot batch identifier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PILOT-2026-09</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customer_validation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Acceptance test results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{"passed": true, "cert": "CE-2026-445"}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spf_control_plan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SPC charts and limits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spc_chart_deviation_2026Q3.xlsx</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pfmea_ref</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Process FMEA reference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PFMEA-BRAKE-2026</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lessons_learned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takeaways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“Fixture wear after 10k cycles; schedule replacement”</w:t>
            </w:r>
          </w:p>
        </w:tc>
      </w:tr>
    </w:tbl>
    <w:p>
      <w:pPr>
        <w:spacing w:lineRule="auto"/>
      </w:pPr>
    </w:p>
    <w:p>
      <w:pPr>
        <w:spacing w:line="360" w:after="210" w:lineRule="auto"/>
      </w:pPr>
      <w:r>
        <w:rPr>
          <w:rFonts w:eastAsia="source serif 4" w:cs="source serif 4" w:ascii="source serif 4" w:hAnsi="source serif 4"/>
          <w:i/>
          <w:color w:val="000000"/>
        </w:rPr>
        <w:t xml:space="preserve">Purpose</w:t>
      </w:r>
      <w:r>
        <w:rPr>
          <w:rFonts w:eastAsia="source serif 4" w:cs="source serif 4" w:ascii="source serif 4" w:hAnsi="source serif 4"/>
          <w:color w:val="000000"/>
        </w:rPr>
        <w:t xml:space="preserve">: Closes the loop with evidence of success and continuous improvement.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4_how_to_use_metadata_in_your_project"/>
      <w:r>
        <w:rPr>
          <w:rFonts w:eastAsia="source serif 4" w:cs="source serif 4" w:ascii="source serif 4" w:hAnsi="source serif 4"/>
          <w:b/>
          <w:color w:val="000000"/>
          <w:sz w:val="24"/>
        </w:rPr>
        <w:t xml:space="preserve">4. How to Use Metadata in Your Project</w:t>
      </w:r>
      <w:bookmarkEnd w:id="13"/>
    </w:p>
    <w:p>
      <w:pPr>
        <w:spacing w:line="360" w:after="210" w:lineRule="auto"/>
      </w:pPr>
      <w:r>
        <w:rPr>
          <w:rFonts w:eastAsia="source serif 4" w:cs="source serif 4" w:ascii="source serif 4" w:hAnsi="source serif 4"/>
          <w:color w:val="000000"/>
        </w:rPr>
        <w:t xml:space="preserve">Whether you’re working on a semester project, a startup prototype, or an industry DFSS initiative, here’s how to apply this metadata framework:</w:t>
      </w:r>
    </w:p>
    <w:p>
      <w:pPr>
        <w:spacing w:line="360" w:before="315" w:after="105" w:lineRule="auto"/>
        <w:ind w:left="-30"/>
        <w:jc w:val="left"/>
      </w:pPr>
      <w:bookmarkStart w:id="14" w:name="step_1_choose_a_storage_format"/>
      <w:r>
        <w:rPr>
          <w:rFonts w:eastAsia="source serif 4" w:cs="source serif 4" w:ascii="source serif 4" w:hAnsi="source serif 4"/>
          <w:b/>
          <w:color w:val="000000"/>
          <w:sz w:val="24"/>
        </w:rPr>
        <w:t xml:space="preserve">Step 1: Choose a Storage Format</w:t>
      </w:r>
      <w:bookmarkEnd w:id="14"/>
    </w:p>
    <w:p>
      <w:pPr>
        <w:numPr>
          <w:ilvl w:val="0"/>
          <w:numId w:val="4"/>
        </w:numPr>
        <w:spacing w:line="360" w:before="105" w:after="105" w:lineRule="auto"/>
      </w:pPr>
      <w:r>
        <w:rPr>
          <w:rFonts w:eastAsia="source serif 4" w:cs="source serif 4" w:ascii="source serif 4" w:hAnsi="source serif 4"/>
          <w:b/>
          <w:color w:val="000000"/>
          <w:sz w:val="21"/>
        </w:rPr>
        <w:t xml:space="preserve">Simple</w:t>
      </w:r>
      <w:r>
        <w:rPr>
          <w:rFonts w:eastAsia="source serif 4" w:cs="source serif 4" w:ascii="source serif 4" w:hAnsi="source serif 4"/>
          <w:color w:val="000000"/>
          <w:sz w:val="21"/>
        </w:rPr>
        <w:t xml:space="preserve">: Use a structured JSON or YAML file (e.g., </w:t>
      </w:r>
      <w:r>
        <w:rPr>
          <w:rStyle w:val="VerbatimChar"/>
          <w:rFonts w:eastAsia="menlo" w:cs="menlo" w:ascii="menlo" w:hAnsi="menlo"/>
          <w:color w:val="000000"/>
          <w:sz w:val="18"/>
          <w:shd w:val="clear" w:color="auto" w:fill="F8F8FA"/>
        </w:rPr>
        <w:t xml:space="preserve">dfss_metadata.json</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Academic</w:t>
      </w:r>
      <w:r>
        <w:rPr>
          <w:rFonts w:eastAsia="source serif 4" w:cs="source serif 4" w:ascii="source serif 4" w:hAnsi="source serif 4"/>
          <w:color w:val="000000"/>
          <w:sz w:val="21"/>
        </w:rPr>
        <w:t xml:space="preserve">: Embed metadata in a Markdown or LaTeX document with front-matter.</w:t>
      </w:r>
    </w:p>
    <w:p>
      <w:pPr>
        <w:numPr>
          <w:ilvl w:val="0"/>
          <w:numId w:val="4"/>
        </w:numPr>
        <w:spacing w:line="360" w:before="105" w:after="105" w:lineRule="auto"/>
      </w:pPr>
      <w:r>
        <w:rPr>
          <w:rFonts w:eastAsia="source serif 4" w:cs="source serif 4" w:ascii="source serif 4" w:hAnsi="source serif 4"/>
          <w:b/>
          <w:color w:val="000000"/>
          <w:sz w:val="21"/>
        </w:rPr>
        <w:t xml:space="preserve">Enterprise</w:t>
      </w:r>
      <w:r>
        <w:rPr>
          <w:rFonts w:eastAsia="source serif 4" w:cs="source serif 4" w:ascii="source serif 4" w:hAnsi="source serif 4"/>
          <w:color w:val="000000"/>
          <w:sz w:val="21"/>
        </w:rPr>
        <w:t xml:space="preserve">: Store in a database or PLM (Product Lifecycle Management) system.</w:t>
      </w:r>
    </w:p>
    <w:p>
      <w:pPr>
        <w:spacing w:line="360" w:before="315" w:after="105" w:lineRule="auto"/>
        <w:ind w:left="-30"/>
        <w:jc w:val="left"/>
      </w:pPr>
      <w:bookmarkStart w:id="15" w:name="step_2_integrate_with_your_workflow"/>
      <w:r>
        <w:rPr>
          <w:rFonts w:eastAsia="source serif 4" w:cs="source serif 4" w:ascii="source serif 4" w:hAnsi="source serif 4"/>
          <w:b/>
          <w:color w:val="000000"/>
          <w:sz w:val="24"/>
        </w:rPr>
        <w:t xml:space="preserve">Step 2: Integrate with Your Workflow</w:t>
      </w:r>
      <w:bookmarkEnd w:id="15"/>
    </w:p>
    <w:p>
      <w:pPr>
        <w:numPr>
          <w:ilvl w:val="0"/>
          <w:numId w:val="5"/>
        </w:numPr>
        <w:spacing w:line="360" w:before="105" w:after="105" w:lineRule="auto"/>
      </w:pPr>
      <w:r>
        <w:rPr>
          <w:rFonts w:eastAsia="source serif 4" w:cs="source serif 4" w:ascii="source serif 4" w:hAnsi="source serif 4"/>
          <w:b/>
          <w:color w:val="000000"/>
          <w:sz w:val="21"/>
        </w:rPr>
        <w:t xml:space="preserve">During Define</w:t>
      </w:r>
      <w:r>
        <w:rPr>
          <w:rFonts w:eastAsia="source serif 4" w:cs="source serif 4" w:ascii="source serif 4" w:hAnsi="source serif 4"/>
          <w:color w:val="000000"/>
          <w:sz w:val="21"/>
        </w:rPr>
        <w:t xml:space="preserve">: Fill in </w:t>
      </w: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voc_sources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baseline_sigma</w:t>
      </w:r>
      <w:r>
        <w:rPr>
          <w:rFonts w:eastAsia="source serif 4" w:cs="source serif 4" w:ascii="source serif 4" w:hAnsi="source serif 4"/>
          <w:color w:val="000000"/>
          <w:sz w:val="21"/>
        </w:rPr>
        <w:t xml:space="preserve">.</w:t>
      </w:r>
    </w:p>
    <w:p>
      <w:pPr>
        <w:numPr>
          <w:ilvl w:val="0"/>
          <w:numId w:val="5"/>
        </w:numPr>
        <w:spacing w:line="360" w:before="105" w:after="105" w:lineRule="auto"/>
      </w:pPr>
      <w:r>
        <w:rPr>
          <w:rFonts w:eastAsia="source serif 4" w:cs="source serif 4" w:ascii="source serif 4" w:hAnsi="source serif 4"/>
          <w:b/>
          <w:color w:val="000000"/>
          <w:sz w:val="21"/>
        </w:rPr>
        <w:t xml:space="preserve">During Identify</w:t>
      </w:r>
      <w:r>
        <w:rPr>
          <w:rFonts w:eastAsia="source serif 4" w:cs="source serif 4" w:ascii="source serif 4" w:hAnsi="source serif 4"/>
          <w:color w:val="000000"/>
          <w:sz w:val="21"/>
        </w:rPr>
        <w:t xml:space="preserve">: Populate </w:t>
      </w:r>
      <w:r>
        <w:rPr>
          <w:rStyle w:val="VerbatimChar"/>
          <w:rFonts w:eastAsia="menlo" w:cs="menlo" w:ascii="menlo" w:hAnsi="menlo"/>
          <w:color w:val="000000"/>
          <w:sz w:val="18"/>
          <w:shd w:val="clear" w:color="auto" w:fill="F8F8FA"/>
        </w:rPr>
        <w:t xml:space="preserve">ctq_items</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ctp_factors</w:t>
      </w:r>
      <w:r>
        <w:rPr>
          <w:rFonts w:eastAsia="source serif 4" w:cs="source serif 4" w:ascii="source serif 4" w:hAnsi="source serif 4"/>
          <w:color w:val="000000"/>
          <w:sz w:val="21"/>
        </w:rPr>
        <w:t xml:space="preserve"> as you build CTQ trees and SIPOC diagrams.</w:t>
      </w:r>
    </w:p>
    <w:p>
      <w:pPr>
        <w:numPr>
          <w:ilvl w:val="0"/>
          <w:numId w:val="5"/>
        </w:numPr>
        <w:spacing w:line="360" w:before="105" w:after="105" w:lineRule="auto"/>
      </w:pPr>
      <w:r>
        <w:rPr>
          <w:rFonts w:eastAsia="source serif 4" w:cs="source serif 4" w:ascii="source serif 4" w:hAnsi="source serif 4"/>
          <w:b/>
          <w:color w:val="000000"/>
          <w:sz w:val="21"/>
        </w:rPr>
        <w:t xml:space="preserve">During Measure</w:t>
      </w:r>
      <w:r>
        <w:rPr>
          <w:rFonts w:eastAsia="source serif 4" w:cs="source serif 4" w:ascii="source serif 4" w:hAnsi="source serif 4"/>
          <w:color w:val="000000"/>
          <w:sz w:val="21"/>
        </w:rPr>
        <w:t xml:space="preserve">: Record MSA results and instrument calibration dates.</w:t>
      </w:r>
    </w:p>
    <w:p>
      <w:pPr>
        <w:numPr>
          <w:ilvl w:val="0"/>
          <w:numId w:val="5"/>
        </w:numPr>
        <w:spacing w:line="360" w:before="105" w:after="105" w:lineRule="auto"/>
      </w:pPr>
      <w:r>
        <w:rPr>
          <w:rFonts w:eastAsia="source serif 4" w:cs="source serif 4" w:ascii="source serif 4" w:hAnsi="source serif 4"/>
          <w:b/>
          <w:color w:val="000000"/>
          <w:sz w:val="21"/>
        </w:rPr>
        <w:t xml:space="preserve">During Design/Optimize/Verify</w:t>
      </w:r>
      <w:r>
        <w:rPr>
          <w:rFonts w:eastAsia="source serif 4" w:cs="source serif 4" w:ascii="source serif 4" w:hAnsi="source serif 4"/>
          <w:color w:val="000000"/>
          <w:sz w:val="21"/>
        </w:rPr>
        <w:t xml:space="preserve">: Update design parameters, DOE results, and pilot run evidence.</w:t>
      </w:r>
    </w:p>
    <w:p>
      <w:pPr>
        <w:spacing w:line="360" w:before="315" w:after="105" w:lineRule="auto"/>
        <w:ind w:left="-30"/>
        <w:jc w:val="left"/>
      </w:pPr>
      <w:bookmarkStart w:id="16" w:name="step_3_enable_search_and_reuse"/>
      <w:r>
        <w:rPr>
          <w:rFonts w:eastAsia="source serif 4" w:cs="source serif 4" w:ascii="source serif 4" w:hAnsi="source serif 4"/>
          <w:b/>
          <w:color w:val="000000"/>
          <w:sz w:val="24"/>
        </w:rPr>
        <w:t xml:space="preserve">Step 3: Enable Search and Reuse</w:t>
      </w:r>
      <w:bookmarkEnd w:id="16"/>
    </w:p>
    <w:p>
      <w:pPr>
        <w:numPr>
          <w:ilvl w:val="0"/>
          <w:numId w:val="6"/>
        </w:numPr>
        <w:spacing w:line="360" w:before="105" w:after="105" w:lineRule="auto"/>
      </w:pPr>
      <w:r>
        <w:rPr>
          <w:rFonts w:eastAsia="source serif 4" w:cs="source serif 4" w:ascii="source serif 4" w:hAnsi="source serif 4"/>
          <w:color w:val="000000"/>
          <w:sz w:val="21"/>
        </w:rPr>
        <w:t xml:space="preserve">Tag files with </w:t>
      </w: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and </w:t>
      </w:r>
      <w:r>
        <w:rPr>
          <w:rStyle w:val="VerbatimChar"/>
          <w:rFonts w:eastAsia="menlo" w:cs="menlo" w:ascii="menlo" w:hAnsi="menlo"/>
          <w:color w:val="000000"/>
          <w:sz w:val="18"/>
          <w:shd w:val="clear" w:color="auto" w:fill="F8F8FA"/>
        </w:rPr>
        <w:t xml:space="preserve">phase</w:t>
      </w:r>
      <w:r>
        <w:rPr>
          <w:rFonts w:eastAsia="source serif 4" w:cs="source serif 4" w:ascii="source serif 4" w:hAnsi="source serif 4"/>
          <w:color w:val="000000"/>
          <w:sz w:val="21"/>
        </w:rPr>
        <w:t xml:space="preserve"> (e.g., </w:t>
      </w:r>
      <w:r>
        <w:rPr>
          <w:rStyle w:val="VerbatimChar"/>
          <w:rFonts w:eastAsia="menlo" w:cs="menlo" w:ascii="menlo" w:hAnsi="menlo"/>
          <w:color w:val="000000"/>
          <w:sz w:val="18"/>
          <w:shd w:val="clear" w:color="auto" w:fill="F8F8FA"/>
        </w:rPr>
        <w:t xml:space="preserve">DFSS-2026-001_Measure_MSA.pdf</w:t>
      </w:r>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color w:val="000000"/>
          <w:sz w:val="21"/>
        </w:rPr>
        <w:t xml:space="preserve">Use consistent naming so you (or your instructor) can find artifacts quickly.</w:t>
      </w:r>
    </w:p>
    <w:p>
      <w:pPr>
        <w:numPr>
          <w:ilvl w:val="0"/>
          <w:numId w:val="6"/>
        </w:numPr>
        <w:spacing w:line="360" w:before="105" w:after="105" w:lineRule="auto"/>
      </w:pPr>
      <w:r>
        <w:rPr>
          <w:rFonts w:eastAsia="source serif 4" w:cs="source serif 4" w:ascii="source serif 4" w:hAnsi="source serif 4"/>
          <w:color w:val="000000"/>
          <w:sz w:val="21"/>
        </w:rPr>
        <w:t xml:space="preserve">If collaborating, share the metadata file alongside reports and slides.</w:t>
      </w:r>
    </w:p>
    <w:p>
      <w:pPr>
        <w:spacing w:line="360" w:before="315" w:after="105" w:lineRule="auto"/>
        <w:ind w:left="-30"/>
        <w:jc w:val="left"/>
      </w:pPr>
      <w:bookmarkStart w:id="17" w:name="step_4_align_with_fair_principles"/>
      <w:r>
        <w:rPr>
          <w:rFonts w:eastAsia="source serif 4" w:cs="source serif 4" w:ascii="source serif 4" w:hAnsi="source serif 4"/>
          <w:b/>
          <w:color w:val="000000"/>
          <w:sz w:val="24"/>
        </w:rPr>
        <w:t xml:space="preserve">Step 4: Align with FAIR Principles</w:t>
      </w:r>
      <w:bookmarkEnd w:id="17"/>
    </w:p>
    <w:p>
      <w:pPr>
        <w:numPr>
          <w:ilvl w:val="0"/>
          <w:numId w:val="7"/>
        </w:numPr>
        <w:spacing w:line="360" w:before="105" w:after="105" w:lineRule="auto"/>
      </w:pPr>
      <w:r>
        <w:rPr>
          <w:rFonts w:eastAsia="source serif 4" w:cs="source serif 4" w:ascii="source serif 4" w:hAnsi="source serif 4"/>
          <w:b/>
          <w:color w:val="000000"/>
          <w:sz w:val="21"/>
        </w:rPr>
        <w:t xml:space="preserve">Findable</w:t>
      </w:r>
      <w:r>
        <w:rPr>
          <w:rFonts w:eastAsia="source serif 4" w:cs="source serif 4" w:ascii="source serif 4" w:hAnsi="source serif 4"/>
          <w:color w:val="000000"/>
          <w:sz w:val="21"/>
        </w:rPr>
        <w:t xml:space="preserve">: Use unique IDs and descriptive titles.</w:t>
      </w:r>
    </w:p>
    <w:p>
      <w:pPr>
        <w:numPr>
          <w:ilvl w:val="0"/>
          <w:numId w:val="7"/>
        </w:numPr>
        <w:spacing w:line="360" w:before="105" w:after="105" w:lineRule="auto"/>
      </w:pPr>
      <w:r>
        <w:rPr>
          <w:rFonts w:eastAsia="source serif 4" w:cs="source serif 4" w:ascii="source serif 4" w:hAnsi="source serif 4"/>
          <w:b/>
          <w:color w:val="000000"/>
          <w:sz w:val="21"/>
        </w:rPr>
        <w:t xml:space="preserve">Accessible</w:t>
      </w:r>
      <w:r>
        <w:rPr>
          <w:rFonts w:eastAsia="source serif 4" w:cs="source serif 4" w:ascii="source serif 4" w:hAnsi="source serif 4"/>
          <w:color w:val="000000"/>
          <w:sz w:val="21"/>
        </w:rPr>
        <w:t xml:space="preserve">: Store in a shared drive or repository (e.g., GitHub, Google Drive).</w:t>
      </w:r>
    </w:p>
    <w:p>
      <w:pPr>
        <w:numPr>
          <w:ilvl w:val="0"/>
          <w:numId w:val="7"/>
        </w:numPr>
        <w:spacing w:line="360" w:before="105" w:after="105" w:lineRule="auto"/>
      </w:pPr>
      <w:r>
        <w:rPr>
          <w:rFonts w:eastAsia="source serif 4" w:cs="source serif 4" w:ascii="source serif 4" w:hAnsi="source serif 4"/>
          <w:b/>
          <w:color w:val="000000"/>
          <w:sz w:val="21"/>
        </w:rPr>
        <w:t xml:space="preserve">Interoperable</w:t>
      </w:r>
      <w:r>
        <w:rPr>
          <w:rFonts w:eastAsia="source serif 4" w:cs="source serif 4" w:ascii="source serif 4" w:hAnsi="source serif 4"/>
          <w:color w:val="000000"/>
          <w:sz w:val="21"/>
        </w:rPr>
        <w:t xml:space="preserve">: Use standard formats (JSON, CSV, PDF).</w:t>
      </w:r>
    </w:p>
    <w:p>
      <w:pPr>
        <w:numPr>
          <w:ilvl w:val="0"/>
          <w:numId w:val="7"/>
        </w:numPr>
        <w:spacing w:line="360" w:before="105" w:after="105" w:lineRule="auto"/>
      </w:pPr>
      <w:r>
        <w:rPr>
          <w:rFonts w:eastAsia="source serif 4" w:cs="source serif 4" w:ascii="source serif 4" w:hAnsi="source serif 4"/>
          <w:b/>
          <w:color w:val="000000"/>
          <w:sz w:val="21"/>
        </w:rPr>
        <w:t xml:space="preserve">Reusable</w:t>
      </w:r>
      <w:r>
        <w:rPr>
          <w:rFonts w:eastAsia="source serif 4" w:cs="source serif 4" w:ascii="source serif 4" w:hAnsi="source serif 4"/>
          <w:color w:val="000000"/>
          <w:sz w:val="21"/>
        </w:rPr>
        <w:t xml:space="preserve">: Include clear licenses, versions, and contact info.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5_example_applying_metadata_to_652703"/>
      <w:r>
        <w:rPr>
          <w:rFonts w:eastAsia="source serif 4" w:cs="source serif 4" w:ascii="source serif 4" w:hAnsi="source serif 4"/>
          <w:b/>
          <w:color w:val="000000"/>
          <w:sz w:val="24"/>
        </w:rPr>
        <w:t xml:space="preserve">5. Example: Applying Metadata to a Chatbot or Blockchain Project</w:t>
      </w:r>
      <w:bookmarkEnd w:id="18"/>
    </w:p>
    <w:p>
      <w:pPr>
        <w:spacing w:line="360" w:after="210" w:lineRule="auto"/>
      </w:pPr>
      <w:r>
        <w:rPr>
          <w:rFonts w:eastAsia="source serif 4" w:cs="source serif 4" w:ascii="source serif 4" w:hAnsi="source serif 4"/>
          <w:color w:val="000000"/>
        </w:rPr>
        <w:t xml:space="preserve">Given your background in chatbots and blockchain-based healthcare interoperability [user_background], here’s how metadata could look:</w:t>
      </w:r>
    </w:p>
    <w:p>
      <w:pPr>
        <w:spacing w:line="360" w:before="315" w:after="105" w:lineRule="auto"/>
        <w:ind w:left="-30"/>
        <w:jc w:val="left"/>
      </w:pPr>
      <w:bookmarkStart w:id="19" w:name="chatbot_project_metadata_snippet_json"/>
      <w:r>
        <w:rPr>
          <w:rFonts w:eastAsia="source serif 4" w:cs="source serif 4" w:ascii="source serif 4" w:hAnsi="source serif 4"/>
          <w:b/>
          <w:color w:val="000000"/>
          <w:sz w:val="24"/>
        </w:rPr>
        <w:t xml:space="preserve">Chatbot Project Metadata Snippet (JSON)</w:t>
      </w:r>
      <w:bookmarkEnd w:id="19"/>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"CHATBOT-DFSS-2026-01"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 FAQ Chatbot with DFSS Quality Controls"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"ctq_items"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"Response accuracy"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"≥95% correct answers"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"Latency"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"spec"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"≤800ms p95"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"measurement_system"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"test_dataset"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"healthcare_faq_v3.json"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"evaluation_metric"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"F1-score"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"baseline_f1"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0.89</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"design_parameters"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"embedding_model"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"reranker_threshold"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"fallback_strategy"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"verify"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"pilot_users"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"customer_satisfaction"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4.6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"spc_chart"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"spc_response_time_2026Q3.csv"</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20" w:name="blockchain_interoperability_proje_f81eeb"/>
      <w:r>
        <w:rPr>
          <w:rFonts w:eastAsia="source serif 4" w:cs="source serif 4" w:ascii="source serif 4" w:hAnsi="source serif 4"/>
          <w:b/>
          <w:color w:val="000000"/>
          <w:sz w:val="24"/>
        </w:rPr>
        <w:t xml:space="preserve">Blockchain Interoperability Project Metadata</w:t>
      </w:r>
      <w:bookmarkEnd w:id="20"/>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project_id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BLOCKCHAIN-HIE-2026</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ctq_items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[{"name": "Transaction finality", "spec": "≤2s"}, {"name": "Metadata schema compliance", "spec": "FHIR R4"}]</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design_parameters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[“consensus_mechanism”, “metadata_hash_algorithm”, “smart_contract_version”]</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verify</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{"pilot_hospitals": 3, "interoperability_test": "passed", "audit_log": "audit_2026Q3.json"}</w:t>
      </w:r>
    </w:p>
    <w:p>
      <w:pPr>
        <w:spacing w:line="360" w:after="210" w:lineRule="auto"/>
      </w:pPr>
      <w:r>
        <w:rPr>
          <w:rFonts w:eastAsia="source serif 4" w:cs="source serif 4" w:ascii="source serif 4" w:hAnsi="source serif 4"/>
          <w:color w:val="000000"/>
        </w:rPr>
        <w:t xml:space="preserve">This approach ensures your technical choices are traceable to quality goals—a strong addition to presentations and reports.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6_discussion"/>
      <w:r>
        <w:rPr>
          <w:rFonts w:eastAsia="source serif 4" w:cs="source serif 4" w:ascii="source serif 4" w:hAnsi="source serif 4"/>
          <w:b/>
          <w:color w:val="000000"/>
          <w:sz w:val="24"/>
        </w:rPr>
        <w:t xml:space="preserve">6. Discussion</w:t>
      </w:r>
      <w:bookmarkEnd w:id="21"/>
    </w:p>
    <w:p>
      <w:pPr>
        <w:spacing w:line="360" w:after="210" w:lineRule="auto"/>
      </w:pPr>
      <w:r>
        <w:rPr>
          <w:rFonts w:eastAsia="source serif 4" w:cs="source serif 4" w:ascii="source serif 4" w:hAnsi="source serif 4"/>
          <w:color w:val="000000"/>
        </w:rPr>
        <w:t xml:space="preserve">Integrating metadata into DFSS projects offers several benefits:</w:t>
      </w:r>
    </w:p>
    <w:p>
      <w:pPr>
        <w:numPr>
          <w:ilvl w:val="0"/>
          <w:numId w:val="9"/>
        </w:numPr>
        <w:spacing w:line="360" w:before="105" w:after="105" w:lineRule="auto"/>
      </w:pPr>
      <w:r>
        <w:rPr>
          <w:rFonts w:eastAsia="source serif 4" w:cs="source serif 4" w:ascii="source serif 4" w:hAnsi="source serif 4"/>
          <w:b/>
          <w:color w:val="000000"/>
          <w:sz w:val="21"/>
        </w:rPr>
        <w:t xml:space="preserve">Improved Documentation</w:t>
      </w:r>
      <w:r>
        <w:rPr>
          <w:rFonts w:eastAsia="source serif 4" w:cs="source serif 4" w:ascii="source serif 4" w:hAnsi="source serif 4"/>
          <w:color w:val="000000"/>
          <w:sz w:val="21"/>
        </w:rPr>
        <w:t xml:space="preserve">: Reduces ambiguity in reports and slides.</w:t>
      </w:r>
    </w:p>
    <w:p>
      <w:pPr>
        <w:numPr>
          <w:ilvl w:val="0"/>
          <w:numId w:val="9"/>
        </w:numPr>
        <w:spacing w:line="360" w:before="105" w:after="105" w:lineRule="auto"/>
      </w:pPr>
      <w:r>
        <w:rPr>
          <w:rFonts w:eastAsia="source serif 4" w:cs="source serif 4" w:ascii="source serif 4" w:hAnsi="source serif 4"/>
          <w:b/>
          <w:color w:val="000000"/>
          <w:sz w:val="21"/>
        </w:rPr>
        <w:t xml:space="preserve">Data-Driven Decisions</w:t>
      </w:r>
      <w:r>
        <w:rPr>
          <w:rFonts w:eastAsia="source serif 4" w:cs="source serif 4" w:ascii="source serif 4" w:hAnsi="source serif 4"/>
          <w:color w:val="000000"/>
          <w:sz w:val="21"/>
        </w:rPr>
        <w:t xml:space="preserve">: Links metrics directly to design choices.</w:t>
      </w:r>
    </w:p>
    <w:p>
      <w:pPr>
        <w:numPr>
          <w:ilvl w:val="0"/>
          <w:numId w:val="9"/>
        </w:numPr>
        <w:spacing w:line="360" w:before="105" w:after="105" w:lineRule="auto"/>
      </w:pPr>
      <w:r>
        <w:rPr>
          <w:rFonts w:eastAsia="source serif 4" w:cs="source serif 4" w:ascii="source serif 4" w:hAnsi="source serif 4"/>
          <w:b/>
          <w:color w:val="000000"/>
          <w:sz w:val="21"/>
        </w:rPr>
        <w:t xml:space="preserve">Auditability</w:t>
      </w:r>
      <w:r>
        <w:rPr>
          <w:rFonts w:eastAsia="source serif 4" w:cs="source serif 4" w:ascii="source serif 4" w:hAnsi="source serif 4"/>
          <w:color w:val="000000"/>
          <w:sz w:val="21"/>
        </w:rPr>
        <w:t xml:space="preserve">: Supports academic or industry reviews.</w:t>
      </w:r>
    </w:p>
    <w:p>
      <w:pPr>
        <w:numPr>
          <w:ilvl w:val="0"/>
          <w:numId w:val="9"/>
        </w:numPr>
        <w:spacing w:line="360" w:before="105" w:after="105" w:lineRule="auto"/>
      </w:pPr>
      <w:r>
        <w:rPr>
          <w:rFonts w:eastAsia="source serif 4" w:cs="source serif 4" w:ascii="source serif 4" w:hAnsi="source serif 4"/>
          <w:b/>
          <w:color w:val="000000"/>
          <w:sz w:val="21"/>
        </w:rPr>
        <w:t xml:space="preserve">Reusability</w:t>
      </w:r>
      <w:r>
        <w:rPr>
          <w:rFonts w:eastAsia="source serif 4" w:cs="source serif 4" w:ascii="source serif 4" w:hAnsi="source serif 4"/>
          <w:color w:val="000000"/>
          <w:sz w:val="21"/>
        </w:rPr>
        <w:t xml:space="preserve">: Future teams can build on your work without starting from scratch.</w:t>
      </w:r>
    </w:p>
    <w:p>
      <w:pPr>
        <w:spacing w:line="360" w:after="210" w:lineRule="auto"/>
      </w:pPr>
      <w:r>
        <w:rPr>
          <w:rFonts w:eastAsia="source serif 4" w:cs="source serif 4" w:ascii="source serif 4" w:hAnsi="source serif 4"/>
          <w:color w:val="000000"/>
        </w:rPr>
        <w:t xml:space="preserve">Challenges include:</w:t>
      </w:r>
    </w:p>
    <w:p>
      <w:pPr>
        <w:numPr>
          <w:ilvl w:val="0"/>
          <w:numId w:val="10"/>
        </w:numPr>
        <w:spacing w:line="360" w:before="105" w:after="105" w:lineRule="auto"/>
      </w:pPr>
      <w:r>
        <w:rPr>
          <w:rFonts w:eastAsia="source serif 4" w:cs="source serif 4" w:ascii="source serif 4" w:hAnsi="source serif 4"/>
          <w:b/>
          <w:color w:val="000000"/>
          <w:sz w:val="21"/>
        </w:rPr>
        <w:t xml:space="preserve">Overhead</w:t>
      </w:r>
      <w:r>
        <w:rPr>
          <w:rFonts w:eastAsia="source serif 4" w:cs="source serif 4" w:ascii="source serif 4" w:hAnsi="source serif 4"/>
          <w:color w:val="000000"/>
          <w:sz w:val="21"/>
        </w:rPr>
        <w:t xml:space="preserve">: Teams may resist “extra” documentation.</w:t>
      </w:r>
    </w:p>
    <w:p>
      <w:pPr>
        <w:numPr>
          <w:ilvl w:val="0"/>
          <w:numId w:val="10"/>
        </w:numPr>
        <w:spacing w:line="360" w:before="105" w:after="105" w:lineRule="auto"/>
      </w:pPr>
      <w:r>
        <w:rPr>
          <w:rFonts w:eastAsia="source serif 4" w:cs="source serif 4" w:ascii="source serif 4" w:hAnsi="source serif 4"/>
          <w:b/>
          <w:color w:val="000000"/>
          <w:sz w:val="21"/>
        </w:rPr>
        <w:t xml:space="preserve">Tooling</w:t>
      </w:r>
      <w:r>
        <w:rPr>
          <w:rFonts w:eastAsia="source serif 4" w:cs="source serif 4" w:ascii="source serif 4" w:hAnsi="source serif 4"/>
          <w:color w:val="000000"/>
          <w:sz w:val="21"/>
        </w:rPr>
        <w:t xml:space="preserve">: Lack of integrated PLM or metadata editors in academic settings.</w:t>
      </w:r>
    </w:p>
    <w:p>
      <w:pPr>
        <w:spacing w:line="360" w:after="210" w:lineRule="auto"/>
      </w:pPr>
      <w:r>
        <w:rPr>
          <w:rFonts w:eastAsia="source serif 4" w:cs="source serif 4" w:ascii="source serif 4" w:hAnsi="source serif 4"/>
          <w:color w:val="000000"/>
        </w:rPr>
        <w:t xml:space="preserve">Mitigation: Start small—capture only essential fields (project ID, CTQs, metrics) and expand as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7_conclusion"/>
      <w:r>
        <w:rPr>
          <w:rFonts w:eastAsia="source serif 4" w:cs="source serif 4" w:ascii="source serif 4" w:hAnsi="source serif 4"/>
          <w:b/>
          <w:color w:val="000000"/>
          <w:sz w:val="24"/>
        </w:rPr>
        <w:t xml:space="preserve">7. Conclusion</w:t>
      </w:r>
      <w:bookmarkEnd w:id="22"/>
    </w:p>
    <w:p>
      <w:pPr>
        <w:spacing w:line="360" w:after="210" w:lineRule="auto"/>
      </w:pPr>
      <w:r>
        <w:rPr>
          <w:rFonts w:eastAsia="source serif 4" w:cs="source serif 4" w:ascii="source serif 4" w:hAnsi="source serif 4"/>
          <w:color w:val="000000"/>
        </w:rPr>
        <w:t xml:space="preserve">Metadata is not just for file systems or big-data platforms—it is equally vital for structured quality-improvement methodologies like DFSS. By adopting a phase-aligned metadata schema (Define → Verify), project teams can enhance traceability, reproducibility, and communication. For students and developers, this practice strengthens academic deliverables and prepares you for industry-grade engineering workflows.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references"/>
      <w:r>
        <w:rPr>
          <w:rFonts w:eastAsia="source serif 4" w:cs="source serif 4" w:ascii="source serif 4" w:hAnsi="source serif 4"/>
          <w:b/>
          <w:color w:val="000000"/>
          <w:sz w:val="24"/>
        </w:rPr>
        <w:t xml:space="preserve">References</w:t>
      </w:r>
      <w:bookmarkEnd w:id="23"/>
    </w:p>
    <w:p>
      <w:pPr>
        <w:spacing w:line="360" w:after="210" w:lineRule="auto"/>
      </w:pPr>
      <w:r>
        <w:rPr>
          <w:rFonts w:eastAsia="source serif 4" w:cs="source serif 4" w:ascii="source serif 4" w:hAnsi="source serif 4"/>
          <w:color w:val="000000"/>
        </w:rPr>
        <w:t xml:space="preserve">[web:1] H. Dai et al., “The State of the Art of Metadata Managements in Large-Scale Distributed File Systems,” </w:t>
      </w:r>
      <w:r>
        <w:rPr>
          <w:rFonts w:eastAsia="source serif 4" w:cs="source serif 4" w:ascii="source serif 4" w:hAnsi="source serif 4"/>
          <w:i/>
          <w:color w:val="000000"/>
        </w:rPr>
        <w:t xml:space="preserve">IEEE Trans. Parallel Distrib. Syst.</w:t>
      </w:r>
      <w:r>
        <w:rPr>
          <w:rFonts w:eastAsia="source serif 4" w:cs="source serif 4" w:ascii="source serif 4" w:hAnsi="source serif 4"/>
          <w:color w:val="000000"/>
        </w:rPr>
        <w:t xml:space="preserve">, vol. 33, no. 12, pp. 3850–3869, Dec. 2022.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[web:2] “Six sigma implementation and its effects on configuration management related to metal industry,” IAEA, 2025.</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[web:3] “A Metadata Schema for Data from Experiments in Randomized Controlled Trials,” World Bank, 2023.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[web:8] “Accelerating Metadata Management of DFS via Speculative Permission Checking,” Temple CIS,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[web:9] “Improving the documentation and findability of data services and repositories: A review of (meta)data management approaches,” </w:t>
      </w:r>
      <w:r>
        <w:rPr>
          <w:rFonts w:eastAsia="source serif 4" w:cs="source serif 4" w:ascii="source serif 4" w:hAnsi="source serif 4"/>
          <w:i/>
          <w:color w:val="000000"/>
        </w:rPr>
        <w:t xml:space="preserve">Computers &amp; Geosciences</w:t>
      </w:r>
      <w:r>
        <w:rPr>
          <w:rFonts w:eastAsia="source serif 4" w:cs="source serif 4" w:ascii="source serif 4" w:hAnsi="source serif 4"/>
          <w:color w:val="000000"/>
        </w:rPr>
        <w:t xml:space="preserve">, 2022.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[web:11] C.-C. Yang et al., “The Development of the New Process of Design for Six Sigma (DFSS) and Its Application,” </w:t>
      </w:r>
      <w:r>
        <w:rPr>
          <w:rFonts w:eastAsia="source serif 4" w:cs="source serif 4" w:ascii="source serif 4" w:hAnsi="source serif 4"/>
          <w:i/>
          <w:color w:val="000000"/>
        </w:rPr>
        <w:t xml:space="preserve">Sustainability</w:t>
      </w:r>
      <w:r>
        <w:rPr>
          <w:rFonts w:eastAsia="source serif 4" w:cs="source serif 4" w:ascii="source serif 4" w:hAnsi="source serif 4"/>
          <w:color w:val="000000"/>
        </w:rPr>
        <w:t xml:space="preserve">, vol. 14, no. 15, p. 9294, Jul. 2022.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[web:12] “Metadata Standard for Continuous Preservation, Discovery,” </w:t>
      </w:r>
      <w:r>
        <w:rPr>
          <w:rFonts w:eastAsia="source serif 4" w:cs="source serif 4" w:ascii="source serif 4" w:hAnsi="source serif 4"/>
          <w:i/>
          <w:color w:val="000000"/>
        </w:rPr>
        <w:t xml:space="preserve">Information</w:t>
      </w:r>
      <w:r>
        <w:rPr>
          <w:rFonts w:eastAsia="source serif 4" w:cs="source serif 4" w:ascii="source serif 4" w:hAnsi="source serif 4"/>
          <w:color w:val="000000"/>
        </w:rPr>
        <w:t xml:space="preserve">, vol. 14, no. 8, p. 427, 2023.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[web:13] “What Is DFSS?” iSixSigma, 2026.</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[web:14] “A Literature Review of Big Data and Metadata Management Systems,” </w:t>
      </w:r>
      <w:r>
        <w:rPr>
          <w:rFonts w:eastAsia="source serif 4" w:cs="source serif 4" w:ascii="source serif 4" w:hAnsi="source serif 4"/>
          <w:i/>
          <w:color w:val="000000"/>
        </w:rPr>
        <w:t xml:space="preserve">IJRASET</w:t>
      </w:r>
      <w:r>
        <w:rPr>
          <w:rFonts w:eastAsia="source serif 4" w:cs="source serif 4" w:ascii="source serif 4" w:hAnsi="source serif 4"/>
          <w:color w:val="000000"/>
        </w:rPr>
        <w:t xml:space="preserve">, 2023.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appendix_a_sample_metadata_template_json"/>
      <w:r>
        <w:rPr>
          <w:rFonts w:eastAsia="source serif 4" w:cs="source serif 4" w:ascii="source serif 4" w:hAnsi="source serif 4"/>
          <w:b/>
          <w:color w:val="000000"/>
          <w:sz w:val="24"/>
        </w:rPr>
        <w:t xml:space="preserve">Appendix A: Sample Metadata Template (JSON)</w:t>
      </w:r>
      <w:bookmarkEnd w:id="2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"project_title"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"phase"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"Define|Identify|Measure|Design|Optimize|Verify"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"2026-09-02T22:30:00+05:30"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"author"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"ctq_items"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"design_parameters"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"measurement_system"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"verify"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Save this as </w:t>
      </w:r>
      <w:r>
        <w:rPr>
          <w:rStyle w:val="VerbatimChar"/>
          <w:rFonts w:eastAsia="menlo" w:cs="menlo" w:ascii="menlo" w:hAnsi="menlo"/>
          <w:color w:val="000000"/>
          <w:sz w:val="18"/>
          <w:shd w:val="clear" w:color="auto" w:fill="F8F8FA"/>
        </w:rPr>
        <w:t xml:space="preserve">dfss_metadata_template.json</w:t>
      </w:r>
      <w:r>
        <w:rPr>
          <w:rFonts w:eastAsia="source serif 4" w:cs="source serif 4" w:ascii="source serif 4" w:hAnsi="source serif 4"/>
          <w:color w:val="000000"/>
        </w:rPr>
        <w:t xml:space="preserve"> and fill it in as your project progresses.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2026-09-02T16:45:48.014Z</dcterms:created>
  <dcterms:modified xsi:type="dcterms:W3CDTF">2026-09-02T16:45:48.014Z</dcterms:modified>
</cp:coreProperties>
</file>