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4665DF2">
      <w:pPr>
        <w:pStyle w:val="style0"/>
        <w:jc w:val="center"/>
        <w:rPr/>
      </w:pPr>
      <w:r>
        <w:rPr>
          <w:b/>
          <w:sz w:val="32"/>
        </w:rPr>
        <w:t>CODE-LAYOUT, READABILITY AND REUSABILITY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14:paraId="B6413C96">
        <w:trPr>
          <w:jc w:val="center"/>
        </w:trPr>
        <w:tc>
          <w:tcPr>
            <w:tcW w:w="2304" w:type="dxa"/>
            <w:tcBorders/>
            <w:shd w:val="nil" w:color="auto" w:fill="eaf2f8"/>
            <w:vAlign w:val="center"/>
          </w:tcPr>
          <w:p w14:paraId="065027B3">
            <w:pPr>
              <w:pStyle w:val="style0"/>
              <w:jc w:val="left"/>
              <w:rPr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8208" w:type="dxa"/>
            <w:tcBorders/>
            <w:vAlign w:val="center"/>
          </w:tcPr>
          <w:p w14:paraId="3109BC4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29 September 2026</w:t>
            </w:r>
          </w:p>
        </w:tc>
      </w:tr>
      <w:tr w14:paraId="B62BA442">
        <w:tblPrEx/>
        <w:trPr>
          <w:jc w:val="center"/>
        </w:trPr>
        <w:tc>
          <w:tcPr>
            <w:tcW w:w="2304" w:type="dxa"/>
            <w:tcBorders/>
            <w:shd w:val="nil" w:color="auto" w:fill="eaf2f8"/>
            <w:vAlign w:val="center"/>
          </w:tcPr>
          <w:p w14:paraId="628805F6">
            <w:pPr>
              <w:pStyle w:val="style0"/>
              <w:jc w:val="left"/>
              <w:rPr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8208" w:type="dxa"/>
            <w:tcBorders/>
            <w:vAlign w:val="center"/>
          </w:tcPr>
          <w:p w14:paraId="C777B4BF">
            <w:pPr>
              <w:pStyle w:val="style0"/>
              <w:jc w:val="left"/>
              <w:rPr/>
            </w:pPr>
            <w:r>
              <w:rPr>
                <w:lang w:val="en-US"/>
              </w:rPr>
              <w:t>SWTID-2026-6013</w:t>
            </w:r>
          </w:p>
        </w:tc>
      </w:tr>
      <w:tr w14:paraId="FABB7299">
        <w:tblPrEx/>
        <w:trPr>
          <w:jc w:val="center"/>
        </w:trPr>
        <w:tc>
          <w:tcPr>
            <w:tcW w:w="2304" w:type="dxa"/>
            <w:tcBorders/>
            <w:shd w:val="nil" w:color="auto" w:fill="eaf2f8"/>
            <w:vAlign w:val="center"/>
          </w:tcPr>
          <w:p w14:paraId="5EE62FB2">
            <w:pPr>
              <w:pStyle w:val="style0"/>
              <w:jc w:val="left"/>
              <w:rPr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8208" w:type="dxa"/>
            <w:tcBorders/>
            <w:vAlign w:val="center"/>
          </w:tcPr>
          <w:p w14:paraId="2694BA15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AI BlogNest API</w:t>
            </w:r>
          </w:p>
        </w:tc>
      </w:tr>
      <w:tr w14:paraId="BB3F5EE8">
        <w:tblPrEx/>
        <w:trPr>
          <w:jc w:val="center"/>
        </w:trPr>
        <w:tc>
          <w:tcPr>
            <w:tcW w:w="2304" w:type="dxa"/>
            <w:tcBorders/>
            <w:shd w:val="nil" w:color="auto" w:fill="eaf2f8"/>
            <w:vAlign w:val="center"/>
          </w:tcPr>
          <w:p w14:paraId="86188937">
            <w:pPr>
              <w:pStyle w:val="style0"/>
              <w:jc w:val="left"/>
              <w:rPr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8208" w:type="dxa"/>
            <w:tcBorders/>
            <w:vAlign w:val="center"/>
          </w:tcPr>
          <w:p w14:paraId="F9392128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5 Marks</w:t>
            </w:r>
          </w:p>
        </w:tc>
      </w:tr>
    </w:tbl>
    <w:p w14:paraId="C5A8E7A4">
      <w:pPr>
        <w:pStyle w:val="style0"/>
        <w:rPr/>
      </w:pPr>
    </w:p>
    <w:p w14:paraId="BCAF5F27">
      <w:pPr>
        <w:pStyle w:val="style0"/>
        <w:rPr/>
      </w:pPr>
      <w:r>
        <w:rPr>
          <w:b/>
          <w:sz w:val="24"/>
        </w:rPr>
        <w:t>Code-Lay﻿out, Readability and Reusability</w:t>
      </w:r>
    </w:p>
    <w:p w14:paraId="9AD88DC5">
      <w:pPr>
        <w:pStyle w:val="style0"/>
        <w:spacing w:after="160"/>
        <w:rPr/>
      </w:pPr>
      <w:r>
        <w:t>The AI BlogNest API follows a structured and modular code organization. Meaningful names, consistent formatting, reusable modules, validation, and error handling help make the backend easier to maintain, test, and extend.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14:paraId="2AB6ADFA">
        <w:trPr>
          <w:tblHeader/>
          <w:jc w:val="center"/>
        </w:trPr>
        <w:tc>
          <w:tcPr>
            <w:tcW w:w="792" w:type="dxa"/>
            <w:tcBorders/>
            <w:shd w:val="nil" w:color="auto" w:fill="d9eaf7"/>
            <w:vAlign w:val="center"/>
          </w:tcPr>
          <w:p w14:paraId="C1392EEE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S.No</w:t>
            </w:r>
          </w:p>
        </w:tc>
        <w:tc>
          <w:tcPr>
            <w:tcW w:w="2232" w:type="dxa"/>
            <w:tcBorders/>
            <w:shd w:val="nil" w:color="auto" w:fill="d9eaf7"/>
            <w:vAlign w:val="center"/>
          </w:tcPr>
          <w:p w14:paraId="13C9E3F6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Code Quality Parameter</w:t>
            </w:r>
          </w:p>
        </w:tc>
        <w:tc>
          <w:tcPr>
            <w:tcW w:w="6048" w:type="dxa"/>
            <w:tcBorders/>
            <w:shd w:val="nil" w:color="auto" w:fill="d9eaf7"/>
            <w:vAlign w:val="center"/>
          </w:tcPr>
          <w:p w14:paraId="713788A2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w="1224" w:type="dxa"/>
            <w:tcBorders/>
            <w:shd w:val="nil" w:color="auto" w:fill="d9eaf7"/>
            <w:vAlign w:val="center"/>
          </w:tcPr>
          <w:p w14:paraId="B26D8494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Followed</w:t>
            </w:r>
          </w:p>
        </w:tc>
      </w:tr>
      <w:tr w14:paraId="A9A5F732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61714DA4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2232" w:type="dxa"/>
            <w:tcBorders/>
            <w:vAlign w:val="center"/>
          </w:tcPr>
          <w:p w14:paraId="53B1C95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Consistent Indentation</w:t>
            </w:r>
          </w:p>
        </w:tc>
        <w:tc>
          <w:tcPr>
            <w:tcW w:w="6048" w:type="dxa"/>
            <w:tcBorders/>
            <w:vAlign w:val="center"/>
          </w:tcPr>
          <w:p w14:paraId="73D43982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Uniform spacing and indentation are used throughout the code.</w:t>
            </w:r>
          </w:p>
        </w:tc>
        <w:tc>
          <w:tcPr>
            <w:tcW w:w="1224" w:type="dxa"/>
            <w:tcBorders/>
            <w:vAlign w:val="center"/>
          </w:tcPr>
          <w:p w14:paraId="7014C58A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FFAAB6F4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6FE7B865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2232" w:type="dxa"/>
            <w:tcBorders/>
            <w:vAlign w:val="center"/>
          </w:tcPr>
          <w:p w14:paraId="F0D30716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Proper File Structure</w:t>
            </w:r>
          </w:p>
        </w:tc>
        <w:tc>
          <w:tcPr>
            <w:tcW w:w="6048" w:type="dxa"/>
            <w:tcBorders/>
            <w:vAlign w:val="center"/>
          </w:tcPr>
          <w:p w14:paraId="C832D004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Backend files and folders are logically organized into routes, controllers, models, middleware, and configuration.</w:t>
            </w:r>
          </w:p>
        </w:tc>
        <w:tc>
          <w:tcPr>
            <w:tcW w:w="1224" w:type="dxa"/>
            <w:tcBorders/>
            <w:vAlign w:val="center"/>
          </w:tcPr>
          <w:p w14:paraId="9FC61104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885DAF17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4B5F515B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2232" w:type="dxa"/>
            <w:tcBorders/>
            <w:vAlign w:val="center"/>
          </w:tcPr>
          <w:p w14:paraId="5F741427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Meaningful Variable Names</w:t>
            </w:r>
          </w:p>
        </w:tc>
        <w:tc>
          <w:tcPr>
            <w:tcW w:w="6048" w:type="dxa"/>
            <w:tcBorders/>
            <w:vAlign w:val="center"/>
          </w:tcPr>
          <w:p w14:paraId="3BF446C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Variables and parameters clearly describe the data or purpose they represent.</w:t>
            </w:r>
          </w:p>
        </w:tc>
        <w:tc>
          <w:tcPr>
            <w:tcW w:w="1224" w:type="dxa"/>
            <w:tcBorders/>
            <w:vAlign w:val="center"/>
          </w:tcPr>
          <w:p w14:paraId="029A1C7C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3FE8413B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9DA0C5D4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2232" w:type="dxa"/>
            <w:tcBorders/>
            <w:vAlign w:val="center"/>
          </w:tcPr>
          <w:p w14:paraId="1D73328E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Function / Method Names</w:t>
            </w:r>
          </w:p>
        </w:tc>
        <w:tc>
          <w:tcPr>
            <w:tcW w:w="6048" w:type="dxa"/>
            <w:tcBorders/>
            <w:vAlign w:val="center"/>
          </w:tcPr>
          <w:p w14:paraId="3A21934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Functions use descriptive names that indicate their purpose.</w:t>
            </w:r>
          </w:p>
        </w:tc>
        <w:tc>
          <w:tcPr>
            <w:tcW w:w="1224" w:type="dxa"/>
            <w:tcBorders/>
            <w:vAlign w:val="center"/>
          </w:tcPr>
          <w:p w14:paraId="B28F6615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758518A8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85D2AC8C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2232" w:type="dxa"/>
            <w:tcBorders/>
            <w:vAlign w:val="center"/>
          </w:tcPr>
          <w:p w14:paraId="6CF0D4C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Code Comments</w:t>
            </w:r>
          </w:p>
        </w:tc>
        <w:tc>
          <w:tcPr>
            <w:tcW w:w="6048" w:type="dxa"/>
            <w:tcBorders/>
            <w:vAlign w:val="center"/>
          </w:tcPr>
          <w:p w14:paraId="6C5782D0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Important logic and API-related sections are explained with comments where required.</w:t>
            </w:r>
          </w:p>
        </w:tc>
        <w:tc>
          <w:tcPr>
            <w:tcW w:w="1224" w:type="dxa"/>
            <w:tcBorders/>
            <w:vAlign w:val="center"/>
          </w:tcPr>
          <w:p w14:paraId="DA36E48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821D9E87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A023413A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6</w:t>
            </w:r>
          </w:p>
        </w:tc>
        <w:tc>
          <w:tcPr>
            <w:tcW w:w="2232" w:type="dxa"/>
            <w:tcBorders/>
            <w:vAlign w:val="center"/>
          </w:tcPr>
          <w:p w14:paraId="E495C56B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Modular Design</w:t>
            </w:r>
          </w:p>
        </w:tc>
        <w:tc>
          <w:tcPr>
            <w:tcW w:w="6048" w:type="dxa"/>
            <w:tcBorders/>
            <w:vAlign w:val="center"/>
          </w:tcPr>
          <w:p w14:paraId="8CF3B49A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Authentication, blog operations, AI features, database access, and middleware are separated into reusable modules.</w:t>
            </w:r>
          </w:p>
        </w:tc>
        <w:tc>
          <w:tcPr>
            <w:tcW w:w="1224" w:type="dxa"/>
            <w:tcBorders/>
            <w:vAlign w:val="center"/>
          </w:tcPr>
          <w:p w14:paraId="549D714C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8C274916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12AC4D17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7</w:t>
            </w:r>
          </w:p>
        </w:tc>
        <w:tc>
          <w:tcPr>
            <w:tcW w:w="2232" w:type="dxa"/>
            <w:tcBorders/>
            <w:vAlign w:val="center"/>
          </w:tcPr>
          <w:p w14:paraId="DF4B039A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No Redundant Code</w:t>
            </w:r>
          </w:p>
        </w:tc>
        <w:tc>
          <w:tcPr>
            <w:tcW w:w="6048" w:type="dxa"/>
            <w:tcBorders/>
            <w:vAlign w:val="center"/>
          </w:tcPr>
          <w:p w14:paraId="C403892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Repeated logic is minimized and common functionality is reused through modules and middleware.</w:t>
            </w:r>
          </w:p>
        </w:tc>
        <w:tc>
          <w:tcPr>
            <w:tcW w:w="1224" w:type="dxa"/>
            <w:tcBorders/>
            <w:vAlign w:val="center"/>
          </w:tcPr>
          <w:p w14:paraId="C3133844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  <w:tr w14:paraId="21CFE6BB">
        <w:tblPrEx/>
        <w:trPr>
          <w:jc w:val="center"/>
        </w:trPr>
        <w:tc>
          <w:tcPr>
            <w:tcW w:w="792" w:type="dxa"/>
            <w:tcBorders/>
            <w:vAlign w:val="center"/>
          </w:tcPr>
          <w:p w14:paraId="D8C00060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8</w:t>
            </w:r>
          </w:p>
        </w:tc>
        <w:tc>
          <w:tcPr>
            <w:tcW w:w="2232" w:type="dxa"/>
            <w:tcBorders/>
            <w:vAlign w:val="center"/>
          </w:tcPr>
          <w:p w14:paraId="BDFA2271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Error Handling</w:t>
            </w:r>
          </w:p>
        </w:tc>
        <w:tc>
          <w:tcPr>
            <w:tcW w:w="6048" w:type="dxa"/>
            <w:tcBorders/>
            <w:vAlign w:val="center"/>
          </w:tcPr>
          <w:p w14:paraId="FF255FB5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API errors, validation failures, authentication errors, and database errors are handled with appropriate responses.</w:t>
            </w:r>
          </w:p>
        </w:tc>
        <w:tc>
          <w:tcPr>
            <w:tcW w:w="1224" w:type="dxa"/>
            <w:tcBorders/>
            <w:vAlign w:val="center"/>
          </w:tcPr>
          <w:p w14:paraId="647A47BF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Yes</w:t>
            </w:r>
          </w:p>
        </w:tc>
      </w:tr>
    </w:tbl>
    <w:p w14:paraId="C5510047">
      <w:pPr>
        <w:pStyle w:val="style0"/>
        <w:spacing w:after="40"/>
        <w:rPr/>
      </w:pPr>
    </w:p>
    <w:p w14:paraId="5C3E9E2C">
      <w:pPr>
        <w:pStyle w:val="style0"/>
        <w:rPr/>
      </w:pPr>
      <w:r>
        <w:rPr>
          <w:b/>
          <w:sz w:val="24"/>
        </w:rPr>
        <w:t>Reusable Components / Modules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14:paraId="C3BFD0AF">
        <w:trPr>
          <w:tblHeader/>
          <w:jc w:val="center"/>
        </w:trPr>
        <w:tc>
          <w:tcPr>
            <w:tcW w:w="720" w:type="dxa"/>
            <w:tcBorders/>
            <w:shd w:val="nil" w:color="auto" w:fill="d9eaf7"/>
            <w:vAlign w:val="center"/>
          </w:tcPr>
          <w:p w14:paraId="7BA18052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S.No</w:t>
            </w:r>
          </w:p>
        </w:tc>
        <w:tc>
          <w:tcPr>
            <w:tcW w:w="2376" w:type="dxa"/>
            <w:tcBorders/>
            <w:shd w:val="nil" w:color="auto" w:fill="d9eaf7"/>
            <w:vAlign w:val="center"/>
          </w:tcPr>
          <w:p w14:paraId="305503BF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Component / Module Name</w:t>
            </w:r>
          </w:p>
        </w:tc>
        <w:tc>
          <w:tcPr>
            <w:tcW w:w="2232" w:type="dxa"/>
            <w:tcBorders/>
            <w:shd w:val="nil" w:color="auto" w:fill="d9eaf7"/>
            <w:vAlign w:val="center"/>
          </w:tcPr>
          <w:p w14:paraId="ABC78C6A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Language / Technology</w:t>
            </w:r>
          </w:p>
        </w:tc>
        <w:tc>
          <w:tcPr>
            <w:tcW w:w="4032" w:type="dxa"/>
            <w:tcBorders/>
            <w:shd w:val="nil" w:color="auto" w:fill="d9eaf7"/>
            <w:vAlign w:val="center"/>
          </w:tcPr>
          <w:p w14:paraId="162D0A06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Where Reused</w:t>
            </w:r>
          </w:p>
        </w:tc>
        <w:tc>
          <w:tcPr>
            <w:tcW w:w="1368" w:type="dxa"/>
            <w:tcBorders/>
            <w:shd w:val="nil" w:color="auto" w:fill="d9eaf7"/>
            <w:vAlign w:val="center"/>
          </w:tcPr>
          <w:p w14:paraId="38E9912F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Reusability Level</w:t>
            </w:r>
          </w:p>
        </w:tc>
      </w:tr>
      <w:tr w14:paraId="BA4C176F">
        <w:tblPrEx/>
        <w:trPr>
          <w:jc w:val="center"/>
        </w:trPr>
        <w:tc>
          <w:tcPr>
            <w:tcW w:w="720" w:type="dxa"/>
            <w:tcBorders/>
            <w:vAlign w:val="center"/>
          </w:tcPr>
          <w:p w14:paraId="676F8C94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2376" w:type="dxa"/>
            <w:tcBorders/>
            <w:vAlign w:val="center"/>
          </w:tcPr>
          <w:p w14:paraId="C9ABB8CF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Authentication Middleware</w:t>
            </w:r>
          </w:p>
        </w:tc>
        <w:tc>
          <w:tcPr>
            <w:tcW w:w="2232" w:type="dxa"/>
            <w:tcBorders/>
            <w:vAlign w:val="center"/>
          </w:tcPr>
          <w:p w14:paraId="D10F614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Node.js / Express.js / JWT</w:t>
            </w:r>
          </w:p>
        </w:tc>
        <w:tc>
          <w:tcPr>
            <w:tcW w:w="4032" w:type="dxa"/>
            <w:tcBorders/>
            <w:vAlign w:val="center"/>
          </w:tcPr>
          <w:p w14:paraId="6280EF0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Protected blog and user API routes</w:t>
            </w:r>
          </w:p>
        </w:tc>
        <w:tc>
          <w:tcPr>
            <w:tcW w:w="1368" w:type="dxa"/>
            <w:tcBorders/>
            <w:vAlign w:val="center"/>
          </w:tcPr>
          <w:p w14:paraId="8E4DB5FE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High</w:t>
            </w:r>
          </w:p>
        </w:tc>
      </w:tr>
      <w:tr w14:paraId="2402B9DB">
        <w:tblPrEx/>
        <w:trPr>
          <w:jc w:val="center"/>
        </w:trPr>
        <w:tc>
          <w:tcPr>
            <w:tcW w:w="720" w:type="dxa"/>
            <w:tcBorders/>
            <w:vAlign w:val="center"/>
          </w:tcPr>
          <w:p w14:paraId="52C2FEBB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2376" w:type="dxa"/>
            <w:tcBorders/>
            <w:vAlign w:val="center"/>
          </w:tcPr>
          <w:p w14:paraId="0E0D84F8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User Model</w:t>
            </w:r>
          </w:p>
        </w:tc>
        <w:tc>
          <w:tcPr>
            <w:tcW w:w="2232" w:type="dxa"/>
            <w:tcBorders/>
            <w:vAlign w:val="center"/>
          </w:tcPr>
          <w:p w14:paraId="8E6855B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MongoDB / Mongoose</w:t>
            </w:r>
          </w:p>
        </w:tc>
        <w:tc>
          <w:tcPr>
            <w:tcW w:w="4032" w:type="dxa"/>
            <w:tcBorders/>
            <w:vAlign w:val="center"/>
          </w:tcPr>
          <w:p w14:paraId="5821EDD0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Registration, login, and user-related operations</w:t>
            </w:r>
          </w:p>
        </w:tc>
        <w:tc>
          <w:tcPr>
            <w:tcW w:w="1368" w:type="dxa"/>
            <w:tcBorders/>
            <w:vAlign w:val="center"/>
          </w:tcPr>
          <w:p w14:paraId="F24507E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High</w:t>
            </w:r>
          </w:p>
        </w:tc>
      </w:tr>
      <w:tr w14:paraId="21FDF6F6">
        <w:tblPrEx/>
        <w:trPr>
          <w:jc w:val="center"/>
        </w:trPr>
        <w:tc>
          <w:tcPr>
            <w:tcW w:w="720" w:type="dxa"/>
            <w:tcBorders/>
            <w:vAlign w:val="center"/>
          </w:tcPr>
          <w:p w14:paraId="98A67A74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2376" w:type="dxa"/>
            <w:tcBorders/>
            <w:vAlign w:val="center"/>
          </w:tcPr>
          <w:p w14:paraId="B71D0E25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Blog Model &amp; CRUD Module</w:t>
            </w:r>
          </w:p>
        </w:tc>
        <w:tc>
          <w:tcPr>
            <w:tcW w:w="2232" w:type="dxa"/>
            <w:tcBorders/>
            <w:vAlign w:val="center"/>
          </w:tcPr>
          <w:p w14:paraId="DD2CF7D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Node.js / Express.js / MongoDB</w:t>
            </w:r>
          </w:p>
        </w:tc>
        <w:tc>
          <w:tcPr>
            <w:tcW w:w="4032" w:type="dxa"/>
            <w:tcBorders/>
            <w:vAlign w:val="center"/>
          </w:tcPr>
          <w:p w14:paraId="20EB2677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Create, view, update, and delete blog posts</w:t>
            </w:r>
          </w:p>
        </w:tc>
        <w:tc>
          <w:tcPr>
            <w:tcW w:w="1368" w:type="dxa"/>
            <w:tcBorders/>
            <w:vAlign w:val="center"/>
          </w:tcPr>
          <w:p w14:paraId="A2F010F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High</w:t>
            </w:r>
          </w:p>
        </w:tc>
      </w:tr>
      <w:tr w14:paraId="05FBEC6A">
        <w:tblPrEx/>
        <w:trPr>
          <w:jc w:val="center"/>
        </w:trPr>
        <w:tc>
          <w:tcPr>
            <w:tcW w:w="720" w:type="dxa"/>
            <w:tcBorders/>
            <w:vAlign w:val="center"/>
          </w:tcPr>
          <w:p w14:paraId="5A87750E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2376" w:type="dxa"/>
            <w:tcBorders/>
            <w:vAlign w:val="center"/>
          </w:tcPr>
          <w:p w14:paraId="7B46934F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AI Service Module</w:t>
            </w:r>
          </w:p>
        </w:tc>
        <w:tc>
          <w:tcPr>
            <w:tcW w:w="2232" w:type="dxa"/>
            <w:tcBorders/>
            <w:vAlign w:val="center"/>
          </w:tcPr>
          <w:p w14:paraId="FB04BDE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Node.js / AI API</w:t>
            </w:r>
          </w:p>
        </w:tc>
        <w:tc>
          <w:tcPr>
            <w:tcW w:w="4032" w:type="dxa"/>
            <w:tcBorders/>
            <w:vAlign w:val="center"/>
          </w:tcPr>
          <w:p w14:paraId="1A0973B6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Blog ideas, content generation, summarization, and improvement</w:t>
            </w:r>
          </w:p>
        </w:tc>
        <w:tc>
          <w:tcPr>
            <w:tcW w:w="1368" w:type="dxa"/>
            <w:tcBorders/>
            <w:vAlign w:val="center"/>
          </w:tcPr>
          <w:p w14:paraId="C58BBD26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Medium</w:t>
            </w:r>
          </w:p>
        </w:tc>
      </w:tr>
      <w:tr w14:paraId="E6694022">
        <w:tblPrEx/>
        <w:trPr>
          <w:jc w:val="center"/>
        </w:trPr>
        <w:tc>
          <w:tcPr>
            <w:tcW w:w="720" w:type="dxa"/>
            <w:tcBorders/>
            <w:vAlign w:val="center"/>
          </w:tcPr>
          <w:p w14:paraId="E95D54EA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2376" w:type="dxa"/>
            <w:tcBorders/>
            <w:vAlign w:val="center"/>
          </w:tcPr>
          <w:p w14:paraId="4D681BD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Error Handling / Validation</w:t>
            </w:r>
          </w:p>
        </w:tc>
        <w:tc>
          <w:tcPr>
            <w:tcW w:w="2232" w:type="dxa"/>
            <w:tcBorders/>
            <w:vAlign w:val="center"/>
          </w:tcPr>
          <w:p w14:paraId="199A9DDF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Express.js</w:t>
            </w:r>
          </w:p>
        </w:tc>
        <w:tc>
          <w:tcPr>
            <w:tcW w:w="4032" w:type="dxa"/>
            <w:tcBorders/>
            <w:vAlign w:val="center"/>
          </w:tcPr>
          <w:p w14:paraId="6838C1AC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API validation and common error responses</w:t>
            </w:r>
          </w:p>
        </w:tc>
        <w:tc>
          <w:tcPr>
            <w:tcW w:w="1368" w:type="dxa"/>
            <w:tcBorders/>
            <w:vAlign w:val="center"/>
          </w:tcPr>
          <w:p w14:paraId="AA02A8E9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High</w:t>
            </w:r>
          </w:p>
        </w:tc>
      </w:tr>
    </w:tbl>
    <w:p w14:paraId="F70C50D7">
      <w:pPr>
        <w:pStyle w:val="style0"/>
        <w:spacing w:after="40"/>
        <w:rPr/>
      </w:pPr>
    </w:p>
    <w:p w14:paraId="A790E7A2">
      <w:pPr>
        <w:pStyle w:val="style0"/>
        <w:rPr/>
      </w:pPr>
      <w:r>
        <w:rPr>
          <w:b/>
          <w:sz w:val="24"/>
        </w:rPr>
        <w:t>Overall Code Quality Assessment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14:paraId="434C4C9E">
        <w:trPr>
          <w:tblHeader/>
          <w:jc w:val="center"/>
        </w:trPr>
        <w:tc>
          <w:tcPr>
            <w:tcW w:w="2880" w:type="dxa"/>
            <w:tcBorders/>
            <w:shd w:val="nil" w:color="auto" w:fill="d9eaf7"/>
            <w:vAlign w:val="center"/>
          </w:tcPr>
          <w:p w14:paraId="6CCB46EC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Aspect</w:t>
            </w:r>
          </w:p>
        </w:tc>
        <w:tc>
          <w:tcPr>
            <w:tcW w:w="1728" w:type="dxa"/>
            <w:tcBorders/>
            <w:shd w:val="nil" w:color="auto" w:fill="d9eaf7"/>
            <w:vAlign w:val="center"/>
          </w:tcPr>
          <w:p w14:paraId="1B063BD5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Rating (1-5)</w:t>
            </w:r>
          </w:p>
        </w:tc>
        <w:tc>
          <w:tcPr>
            <w:tcW w:w="5760" w:type="dxa"/>
            <w:tcBorders/>
            <w:shd w:val="nil" w:color="auto" w:fill="d9eaf7"/>
            <w:vAlign w:val="center"/>
          </w:tcPr>
          <w:p w14:paraId="03B7B7BC">
            <w:pPr>
              <w:pStyle w:val="style0"/>
              <w:jc w:val="center"/>
              <w:rPr/>
            </w:pPr>
            <w:r>
              <w:rPr>
                <w:b/>
                <w:sz w:val="19"/>
              </w:rPr>
              <w:t>Comments</w:t>
            </w:r>
          </w:p>
        </w:tc>
      </w:tr>
      <w:tr w14:paraId="57A28A4F">
        <w:tblPrEx/>
        <w:trPr>
          <w:jc w:val="center"/>
        </w:trPr>
        <w:tc>
          <w:tcPr>
            <w:tcW w:w="2880" w:type="dxa"/>
            <w:tcBorders/>
            <w:vAlign w:val="center"/>
          </w:tcPr>
          <w:p w14:paraId="C4293EA8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Code Layout &amp; Structure</w:t>
            </w:r>
          </w:p>
        </w:tc>
        <w:tc>
          <w:tcPr>
            <w:tcW w:w="1728" w:type="dxa"/>
            <w:tcBorders/>
            <w:vAlign w:val="center"/>
          </w:tcPr>
          <w:p w14:paraId="563A3C48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5760" w:type="dxa"/>
            <w:tcBorders/>
            <w:vAlign w:val="center"/>
          </w:tcPr>
          <w:p w14:paraId="2E38B5EA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The backend is organized into logical modules and folders.</w:t>
            </w:r>
          </w:p>
        </w:tc>
      </w:tr>
      <w:tr w14:paraId="A84F3813">
        <w:tblPrEx/>
        <w:trPr>
          <w:jc w:val="center"/>
        </w:trPr>
        <w:tc>
          <w:tcPr>
            <w:tcW w:w="2880" w:type="dxa"/>
            <w:tcBorders/>
            <w:vAlign w:val="center"/>
          </w:tcPr>
          <w:p w14:paraId="63665E8D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Readability</w:t>
            </w:r>
          </w:p>
        </w:tc>
        <w:tc>
          <w:tcPr>
            <w:tcW w:w="1728" w:type="dxa"/>
            <w:tcBorders/>
            <w:vAlign w:val="center"/>
          </w:tcPr>
          <w:p w14:paraId="3023E0F7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5760" w:type="dxa"/>
            <w:tcBorders/>
            <w:vAlign w:val="center"/>
          </w:tcPr>
          <w:p w14:paraId="3A4C269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Clear naming, consistent formatting, and simple module structure improve readability.</w:t>
            </w:r>
          </w:p>
        </w:tc>
      </w:tr>
      <w:tr w14:paraId="97F713DA">
        <w:tblPrEx/>
        <w:trPr>
          <w:jc w:val="center"/>
        </w:trPr>
        <w:tc>
          <w:tcPr>
            <w:tcW w:w="2880" w:type="dxa"/>
            <w:tcBorders/>
            <w:vAlign w:val="center"/>
          </w:tcPr>
          <w:p w14:paraId="7C3272A3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Reusability</w:t>
            </w:r>
          </w:p>
        </w:tc>
        <w:tc>
          <w:tcPr>
            <w:tcW w:w="1728" w:type="dxa"/>
            <w:tcBorders/>
            <w:vAlign w:val="center"/>
          </w:tcPr>
          <w:p w14:paraId="53FFC32D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5760" w:type="dxa"/>
            <w:tcBorders/>
            <w:vAlign w:val="center"/>
          </w:tcPr>
          <w:p w14:paraId="C572D22F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Authentication, validation, database models, and common API logic are designed for reuse.</w:t>
            </w:r>
          </w:p>
        </w:tc>
      </w:tr>
      <w:tr w14:paraId="C4138755">
        <w:tblPrEx/>
        <w:trPr>
          <w:jc w:val="center"/>
        </w:trPr>
        <w:tc>
          <w:tcPr>
            <w:tcW w:w="2880" w:type="dxa"/>
            <w:tcBorders/>
            <w:vAlign w:val="center"/>
          </w:tcPr>
          <w:p w14:paraId="D9E92AFC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Documentation / Comments</w:t>
            </w:r>
          </w:p>
        </w:tc>
        <w:tc>
          <w:tcPr>
            <w:tcW w:w="1728" w:type="dxa"/>
            <w:tcBorders/>
            <w:vAlign w:val="center"/>
          </w:tcPr>
          <w:p w14:paraId="998C3A66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5760" w:type="dxa"/>
            <w:tcBorders/>
            <w:vAlign w:val="center"/>
          </w:tcPr>
          <w:p w14:paraId="369D3688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Important modules and logic are documented where needed.</w:t>
            </w:r>
          </w:p>
        </w:tc>
      </w:tr>
      <w:tr w14:paraId="9E65651A">
        <w:tblPrEx/>
        <w:trPr>
          <w:jc w:val="center"/>
        </w:trPr>
        <w:tc>
          <w:tcPr>
            <w:tcW w:w="2880" w:type="dxa"/>
            <w:tcBorders/>
            <w:vAlign w:val="center"/>
          </w:tcPr>
          <w:p w14:paraId="95FF17E2">
            <w:pPr>
              <w:pStyle w:val="style0"/>
              <w:jc w:val="center"/>
              <w:rPr/>
            </w:pPr>
            <w:r>
              <w:rPr>
                <w:b w:val="false"/>
                <w:sz w:val="19"/>
              </w:rPr>
              <w:t>Overall Score</w:t>
            </w:r>
          </w:p>
        </w:tc>
        <w:tc>
          <w:tcPr>
            <w:tcW w:w="1728" w:type="dxa"/>
            <w:tcBorders/>
            <w:vAlign w:val="center"/>
          </w:tcPr>
          <w:p w14:paraId="5F5E9AA3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5760" w:type="dxa"/>
            <w:tcBorders/>
            <w:vAlign w:val="center"/>
          </w:tcPr>
          <w:p w14:paraId="2503E903">
            <w:pPr>
              <w:pStyle w:val="style0"/>
              <w:jc w:val="left"/>
              <w:rPr/>
            </w:pPr>
            <w:r>
              <w:rPr>
                <w:b w:val="false"/>
                <w:sz w:val="19"/>
              </w:rPr>
              <w:t>The codebase is structured, readable, modular, and suitable for future enhancement.</w:t>
            </w:r>
          </w:p>
        </w:tc>
      </w:tr>
    </w:tbl>
    <w:p w14:paraId="81B88E44">
      <w:pPr>
        <w:pStyle w:val="style0"/>
        <w:spacing w:after="40"/>
        <w:rPr/>
      </w:pPr>
    </w:p>
    <w:sectPr>
      <w:footerReference w:type="default" r:id="rId2"/>
      <w:pgSz w:w="12240" w:h="15840" w:orient="portrait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D51B80B">
    <w:pPr>
      <w:pStyle w:val="style32"/>
      <w:jc w:val="center"/>
      <w:rPr/>
    </w:pPr>
    <w:r>
      <w:rPr>
        <w:sz w:val="16"/>
      </w:rPr>
      <w:t>AI BlogNest API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a0f8952-8588-48d0-bb85-73bfbd5def9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c6fdaa8-34f6-410e-ab4e-71274c0083f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d8ea1d0-250f-44ae-b0aa-2f8504bf172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05d7904-0fa0-49fd-92b9-438b3da827d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a917a81-2f30-4b58-bb89-1765e520257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a1b687a-8879-4026-b973-01f53d88960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226b34c-5a06-4bbe-93a0-148ee793636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245878e-c1d7-4398-b847-fbe505a46cb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0af5c1a-eaec-47e9-8763-3897c74e1b1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5390105-70a2-4e0c-badc-e3cd6b721da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c19d230-ffc6-4535-9a45-1524d423f28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3fc9222-4bbb-4f94-8986-bf76d0232c5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699b6fe-1922-4b9c-ba77-ddef2b72f66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f7e7558-fc07-4d38-aa56-b94974c7bc7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360</Words>
  <Pages>1</Pages>
  <Characters>2169</Characters>
  <Application>WPS Office</Application>
  <DocSecurity>0</DocSecurity>
  <Paragraphs>128</Paragraphs>
  <ScaleCrop>false</ScaleCrop>
  <LinksUpToDate>false</LinksUpToDate>
  <CharactersWithSpaces>2431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X6711</lastModifiedBy>
  <dcterms:modified xsi:type="dcterms:W3CDTF">2026-09-30T10:21:44Z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f92d9f59e53a4047afe2e0e894c14e6b_23</vt:lpwstr>
  </property>
</Properties>
</file>