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4E79"/>
          <w:sz w:val="32"/>
          <w:szCs w:val="32"/>
        </w:rPr>
        <w:t xml:space="preserve">SURVEY REPORT</w:t>
      </w:r>
    </w:p>
    <w:p>
      <w:pPr>
        <w:spacing w:after="600" w:before="240"/>
        <w:jc w:val="center"/>
      </w:pPr>
      <w:r>
        <w:rPr>
          <w:b/>
          <w:bCs/>
          <w:color w:val="1F4E79"/>
          <w:sz w:val="40"/>
          <w:szCs w:val="40"/>
        </w:rPr>
        <w:t xml:space="preserve">Emerging Trends in Low-Code Application Development</w:t>
      </w:r>
    </w:p>
    <w:p>
      <w:pPr>
        <w:spacing w:before="1400"/>
        <w:jc w:val="center"/>
      </w:pPr>
      <w:r>
        <w:rPr>
          <w:b/>
          <w:bCs/>
          <w:sz w:val="26"/>
          <w:szCs w:val="26"/>
        </w:rPr>
        <w:t xml:space="preserve">Name: </w:t>
      </w:r>
      <w:r>
        <w:rPr>
          <w:sz w:val="26"/>
          <w:szCs w:val="26"/>
        </w:rPr>
        <w:t xml:space="preserve">Madhumitha P</w:t>
      </w:r>
    </w:p>
    <w:p>
      <w:pPr>
        <w:spacing w:before="200"/>
        <w:jc w:val="center"/>
      </w:pPr>
      <w:r>
        <w:rPr>
          <w:b/>
          <w:bCs/>
          <w:sz w:val="26"/>
          <w:szCs w:val="26"/>
        </w:rPr>
        <w:t xml:space="preserve">Reg. No.: </w:t>
      </w:r>
      <w:r>
        <w:rPr>
          <w:sz w:val="26"/>
          <w:szCs w:val="26"/>
        </w:rPr>
        <w:t xml:space="preserve">2116241401049</w:t>
      </w:r>
    </w:p>
    <w:p>
      <w:pPr>
        <w:spacing w:before="200"/>
        <w:jc w:val="center"/>
      </w:pPr>
      <w:r>
        <w:rPr>
          <w:b/>
          <w:bCs/>
          <w:sz w:val="26"/>
          <w:szCs w:val="26"/>
        </w:rPr>
        <w:t xml:space="preserve">Subject: </w:t>
      </w:r>
      <w:r>
        <w:rPr>
          <w:sz w:val="26"/>
          <w:szCs w:val="26"/>
        </w:rPr>
        <w:t xml:space="preserve">Low Code Development</w:t>
      </w:r>
    </w:p>
    <w:p>
      <w:pPr>
        <w:spacing w:before="1200"/>
        <w:jc w:val="center"/>
      </w:pPr>
      <w:r>
        <w:rPr>
          <w:i/>
          <w:iCs/>
          <w:color w:val="595959"/>
          <w:sz w:val="22"/>
          <w:szCs w:val="22"/>
        </w:rPr>
        <w:t xml:space="preserve">July 2026</w:t>
      </w:r>
    </w:p>
    <w:p>
      <w:r>
        <w:br w:type="page"/>
      </w:r>
    </w:p>
    <w:p>
      <w:pPr>
        <w:pStyle w:val="Heading1"/>
        <w:spacing w:after="100" w:before="200"/>
      </w:pPr>
      <w:r>
        <w:rPr>
          <w:b/>
          <w:bCs/>
        </w:rPr>
        <w:t xml:space="preserve">Table of Contents</w:t>
      </w:r>
    </w:p>
    <w:p>
      <w:pPr>
        <w:spacing w:after="100"/>
      </w:pPr>
      <w:r>
        <w:t xml:space="preserve">1. Abstract</w:t>
      </w:r>
    </w:p>
    <w:p>
      <w:pPr>
        <w:spacing w:after="100"/>
      </w:pPr>
      <w:r>
        <w:t xml:space="preserve">2. Introduction</w:t>
      </w:r>
    </w:p>
    <w:p>
      <w:pPr>
        <w:spacing w:after="100"/>
      </w:pPr>
      <w:r>
        <w:t xml:space="preserve">3. Understanding Low-Code Development</w:t>
      </w:r>
    </w:p>
    <w:p>
      <w:pPr>
        <w:spacing w:after="100"/>
      </w:pPr>
      <w:r>
        <w:t xml:space="preserve">4. Market Growth and Adoption Trends</w:t>
      </w:r>
    </w:p>
    <w:p>
      <w:pPr>
        <w:spacing w:after="100"/>
      </w:pPr>
      <w:r>
        <w:t xml:space="preserve">5. Emerging Trend: AI-Augmented Low-Code Platforms</w:t>
      </w:r>
    </w:p>
    <w:p>
      <w:pPr>
        <w:spacing w:after="100"/>
      </w:pPr>
      <w:r>
        <w:t xml:space="preserve">6. Emerging Trend: The Citizen Developer Movement</w:t>
      </w:r>
    </w:p>
    <w:p>
      <w:pPr>
        <w:spacing w:after="100"/>
      </w:pPr>
      <w:r>
        <w:t xml:space="preserve">7. Emerging Trend: Low-Code / No-Code Convergence</w:t>
      </w:r>
    </w:p>
    <w:p>
      <w:pPr>
        <w:spacing w:after="100"/>
      </w:pPr>
      <w:r>
        <w:t xml:space="preserve">8. Emerging Trend: Enterprise-Grade Governance and Security</w:t>
      </w:r>
    </w:p>
    <w:p>
      <w:pPr>
        <w:spacing w:after="100"/>
      </w:pPr>
      <w:r>
        <w:t xml:space="preserve">9. Emerging Trend: Industry-Specific Low-Code Solutions</w:t>
      </w:r>
    </w:p>
    <w:p>
      <w:pPr>
        <w:spacing w:after="100"/>
      </w:pPr>
      <w:r>
        <w:t xml:space="preserve">10. Emerging Trend: Cloud-Native and Composable Architectures</w:t>
      </w:r>
    </w:p>
    <w:p>
      <w:pPr>
        <w:spacing w:after="100"/>
      </w:pPr>
      <w:r>
        <w:t xml:space="preserve">11. Comparative Overview of Leading Platforms</w:t>
      </w:r>
    </w:p>
    <w:p>
      <w:pPr>
        <w:spacing w:after="100"/>
      </w:pPr>
      <w:r>
        <w:t xml:space="preserve">12. Key Benefits of Low-Code Adoption</w:t>
      </w:r>
    </w:p>
    <w:p>
      <w:pPr>
        <w:spacing w:after="100"/>
      </w:pPr>
      <w:r>
        <w:t xml:space="preserve">13. Case Studies</w:t>
      </w:r>
    </w:p>
    <w:p>
      <w:pPr>
        <w:spacing w:after="100"/>
      </w:pPr>
      <w:r>
        <w:t xml:space="preserve">14. Challenges and Limitations</w:t>
      </w:r>
    </w:p>
    <w:p>
      <w:pPr>
        <w:spacing w:after="100"/>
      </w:pPr>
      <w:r>
        <w:t xml:space="preserve">15. Future Outlook</w:t>
      </w:r>
    </w:p>
    <w:p>
      <w:pPr>
        <w:spacing w:after="100"/>
      </w:pPr>
      <w:r>
        <w:t xml:space="preserve">16. Recommended Adoption Roadmap</w:t>
      </w:r>
    </w:p>
    <w:p>
      <w:pPr>
        <w:spacing w:after="100"/>
      </w:pPr>
      <w:r>
        <w:t xml:space="preserve">17. Conclusion</w:t>
      </w:r>
    </w:p>
    <w:p>
      <w:pPr>
        <w:spacing w:after="100"/>
      </w:pPr>
      <w:r>
        <w:t xml:space="preserve">18. Glossary of Key Terms</w:t>
      </w:r>
    </w:p>
    <w:p>
      <w:pPr>
        <w:spacing w:after="100"/>
      </w:pPr>
      <w:r>
        <w:t xml:space="preserve">19. References</w:t>
      </w:r>
    </w:p>
    <w:p>
      <w:pPr>
        <w:spacing w:after="100"/>
      </w:pPr>
      <w:r>
        <w:t xml:space="preserve">20. Acknowledgements</w:t>
      </w:r>
    </w:p>
    <w:p>
      <w:r>
        <w:br w:type="page"/>
      </w:r>
    </w:p>
    <w:p>
      <w:pPr>
        <w:pStyle w:val="Heading1"/>
        <w:spacing w:after="100" w:before="200"/>
      </w:pPr>
      <w:r>
        <w:rPr>
          <w:b/>
          <w:bCs/>
        </w:rPr>
        <w:t xml:space="preserve">1. Abstract</w:t>
      </w:r>
    </w:p>
    <w:p>
      <w:pPr>
        <w:spacing w:after="120" w:line="276"/>
        <w:jc w:val="both"/>
      </w:pPr>
      <w:r>
        <w:t xml:space="preserve">Low-code application development has evolved from a niche productivity tool into a mainstream approach for building enterprise and consumer software. This report surveys the emerging trends shaping the low-code landscape, including the infusion of artificial intelligence into development workflows, the growing role of citizen developers, the convergence of low-code and no-code paradigms, and the increasing demand for enterprise-grade governance and security. The report also examines industry-specific low-code solutions, the shift toward cloud-native and composable architectures, and presents a comparative overview of leading platforms. Case studies illustrate real-world adoption, while a discussion of challenges and future outlook rounds out the analysis. The findings suggest that low-code development will continue to play a central role in digital transformation strategies, particularly as organizations seek to close the gap between growing software demand and limited developer capacity.</w:t>
      </w:r>
    </w:p>
    <w:p>
      <w:pPr>
        <w:pStyle w:val="Heading1"/>
        <w:spacing w:after="100" w:before="200"/>
      </w:pPr>
      <w:r>
        <w:rPr>
          <w:b/>
          <w:bCs/>
        </w:rPr>
        <w:t xml:space="preserve">2. Introduction</w:t>
      </w:r>
    </w:p>
    <w:p>
      <w:pPr>
        <w:spacing w:after="120" w:line="276"/>
        <w:jc w:val="both"/>
      </w:pPr>
      <w:r>
        <w:t xml:space="preserve">Organizations across every industry face mounting pressure to deliver digital solutions faster than traditional development cycles allow. Skilled developer talent remains scarce and expensive, while business requirements change at an accelerating pace. Low-code development platforms address this gap by allowing applications to be built primarily through visual, model-driven interfaces rather than hand-written code, drastically reducing the time and expertise required to ship functional software.</w:t>
      </w:r>
    </w:p>
    <w:p>
      <w:pPr>
        <w:spacing w:after="120" w:line="276"/>
        <w:jc w:val="both"/>
      </w:pPr>
      <w:r>
        <w:t xml:space="preserve">What began as a tool for simple internal forms and workflow automation has matured into a serious alternative for building customer-facing applications, complex business logic, and even AI-powered systems. This report examines the trends currently reshaping the low-code space, drawing on platform capabilities, industry adoption patterns, and analyst commentary to provide a structured survey of where the technology is heading.</w:t>
      </w:r>
    </w:p>
    <w:p>
      <w:pPr>
        <w:spacing w:after="120" w:line="276"/>
        <w:jc w:val="both"/>
      </w:pPr>
      <w:r>
        <w:t xml:space="preserve">The remainder of this report is organized as follows. It first establishes a working definition of low-code development and summarizes broader market growth patterns. It then surveys six major emerging trends in detail, followed by a comparative overview of platform categories, real-world case studies, a discussion of key benefits and current challenges, a forward-looking outlook, and a recommended adoption roadmap for organizations at different stages of maturity.</w:t>
      </w:r>
    </w:p>
    <w:p>
      <w:pPr>
        <w:pStyle w:val="Heading1"/>
        <w:spacing w:after="100" w:before="200"/>
      </w:pPr>
      <w:r>
        <w:rPr>
          <w:b/>
          <w:bCs/>
        </w:rPr>
        <w:t xml:space="preserve">3. Understanding Low-Code Development</w:t>
      </w:r>
    </w:p>
    <w:p>
      <w:pPr>
        <w:spacing w:after="120" w:line="276"/>
        <w:jc w:val="both"/>
      </w:pPr>
      <w:r>
        <w:t xml:space="preserve">Low-code development refers to a software engineering approach that uses visual, drag-and-drop interfaces, pre-built templates, and declarative configuration to construct applications, supplementing rather than eliminating the need for custom code. It sits on a spectrum between traditional hand-coded development and no-code platforms, which aim to remove coding entirely. Low-code platforms typically expose visual builders for user interfaces, data models, and business logic, while still allowing developers to drop into scripting layers or custom code modules for advanced functionality.</w:t>
      </w:r>
    </w:p>
    <w:p>
      <w:pPr>
        <w:spacing w:after="120" w:line="276"/>
        <w:jc w:val="both"/>
      </w:pPr>
      <w:r>
        <w:t xml:space="preserve">Key characteristics of modern low-code platforms include model-driven design, reusable components, built-in integrations with third-party services, automated deployment pipelines, and collaborative workspaces that let business analysts and professional developers work side by side.</w:t>
      </w:r>
    </w:p>
    <w:p>
      <w:pPr>
        <w:pStyle w:val="Heading1"/>
        <w:spacing w:after="100" w:before="200"/>
      </w:pPr>
      <w:r>
        <w:rPr>
          <w:b/>
          <w:bCs/>
        </w:rPr>
        <w:t xml:space="preserve">4. Market Growth and Adoption Trends</w:t>
      </w:r>
    </w:p>
    <w:p>
      <w:pPr>
        <w:spacing w:after="120" w:line="276"/>
        <w:jc w:val="both"/>
      </w:pPr>
      <w:r>
        <w:t xml:space="preserve">Analyst firms have consistently projected strong growth for the low-code and no-code development platform market, driven by digital transformation initiatives, a persistent shortage of skilled software engineers, and the need for faster time-to-market. Adoption has spread beyond IT departments into operations, marketing, and finance functions, where business users increasingly build their own lightweight applications and automations.</w:t>
      </w:r>
    </w:p>
    <w:p>
      <w:pPr>
        <w:pStyle w:val="ListParagraph"/>
        <w:numPr>
          <w:ilvl w:val="0"/>
          <w:numId w:val="1"/>
        </w:numPr>
        <w:spacing w:after="80"/>
      </w:pPr>
      <w:r>
        <w:t xml:space="preserve">Enterprises are consolidating around a small number of strategic low-code vendors rather than maintaining many point solutions.</w:t>
      </w:r>
    </w:p>
    <w:p>
      <w:pPr>
        <w:pStyle w:val="ListParagraph"/>
        <w:numPr>
          <w:ilvl w:val="0"/>
          <w:numId w:val="1"/>
        </w:numPr>
        <w:spacing w:after="80"/>
      </w:pPr>
      <w:r>
        <w:t xml:space="preserve">Cloud providers are embedding low-code tooling directly into their broader platform ecosystems.</w:t>
      </w:r>
    </w:p>
    <w:p>
      <w:pPr>
        <w:pStyle w:val="ListParagraph"/>
        <w:numPr>
          <w:ilvl w:val="0"/>
          <w:numId w:val="1"/>
        </w:numPr>
        <w:spacing w:after="80"/>
      </w:pPr>
      <w:r>
        <w:t xml:space="preserve">Regulated industries such as banking and healthcare are adopting low-code more cautiously, prioritizing compliance and auditability.</w:t>
      </w:r>
    </w:p>
    <w:p>
      <w:pPr>
        <w:pStyle w:val="ListParagraph"/>
        <w:numPr>
          <w:ilvl w:val="0"/>
          <w:numId w:val="1"/>
        </w:numPr>
        <w:spacing w:after="80"/>
      </w:pPr>
      <w:r>
        <w:t xml:space="preserve">Vendors are increasingly marketing platforms as "application development platforms" rather than narrowly as low-code tools.</w:t>
      </w:r>
    </w:p>
    <w:p>
      <w:pPr>
        <w:spacing w:after="120" w:line="276"/>
        <w:jc w:val="both"/>
      </w:pPr>
      <w:r>
        <w:t xml:space="preserve">Investment activity in the space has also remained strong, with both established enterprise software vendors and venture-backed startups competing for market share. Larger vendors have pursued acquisitions to fill capability gaps, particularly around AI, integration, and process automation, while smaller specialized players have carved out defensible niches by focusing deeply on a single vertical or use case. This dynamic is expected to produce further consolidation over the coming years, even as the overall addressable market continues to expand.</w:t>
      </w:r>
    </w:p>
    <w:p>
      <w:pPr>
        <w:pStyle w:val="Heading1"/>
        <w:spacing w:after="100" w:before="200"/>
      </w:pPr>
      <w:r>
        <w:rPr>
          <w:b/>
          <w:bCs/>
        </w:rPr>
        <w:t xml:space="preserve">5. Emerging Trend: AI-Augmented Low-Code Platforms</w:t>
      </w:r>
    </w:p>
    <w:p>
      <w:pPr>
        <w:spacing w:after="120" w:line="276"/>
        <w:jc w:val="both"/>
      </w:pPr>
      <w:r>
        <w:t xml:space="preserve">The most significant recent shift in the low-code space is the integration of generative AI directly into the development experience. Platforms now offer natural-language-to-application generation, where a developer describes desired functionality in plain English and the platform scaffolds data models, user interfaces, and workflow logic automatically. AI copilots embedded in low-code editors suggest formulas, debug logic errors, and recommend integrations based on the application's existing structure.</w:t>
      </w:r>
    </w:p>
    <w:p>
      <w:pPr>
        <w:spacing w:after="120" w:line="276"/>
        <w:jc w:val="both"/>
      </w:pPr>
      <w:r>
        <w:t xml:space="preserve">Beyond development assistance, AI is also being embedded into the applications themselves. Low-code platforms increasingly expose pre-built connectors to large language models, enabling citizen developers to add chatbots, document summarization, or intelligent data extraction to their applications without writing machine learning code.</w:t>
      </w:r>
    </w:p>
    <w:p>
      <w:pPr>
        <w:spacing w:after="120" w:line="276"/>
        <w:jc w:val="both"/>
      </w:pPr>
      <w:r>
        <w:t xml:space="preserve">This shift also changes how testing and quality assurance are performed within low-code projects. AI-assisted test generation can automatically produce test cases from a visual application's data model and workflow logic, and anomaly detection tools flag configuration patterns that commonly lead to runtime errors. As these capabilities mature, the line between "building" and "describing" an application continues to blur, with natural language increasingly serving as a first-class design input alongside visual canvases.</w:t>
      </w:r>
    </w:p>
    <w:p>
      <w:pPr>
        <w:pStyle w:val="Heading1"/>
        <w:spacing w:after="100" w:before="200"/>
      </w:pPr>
      <w:r>
        <w:rPr>
          <w:b/>
          <w:bCs/>
        </w:rPr>
        <w:t xml:space="preserve">6. Emerging Trend: The Citizen Developer Movement</w:t>
      </w:r>
    </w:p>
    <w:p>
      <w:pPr>
        <w:spacing w:after="120" w:line="276"/>
        <w:jc w:val="both"/>
      </w:pPr>
      <w:r>
        <w:t xml:space="preserve">Low-code platforms have empowered a new class of builder known as the citizen developer: a business user with domain expertise but limited formal programming training who builds applications to solve problems within their own department. Organizations are formalizing this movement through structured citizen development programs, governance councils, and center-of-excellence teams that provide guardrails, shared component libraries, and review processes.</w:t>
      </w:r>
    </w:p>
    <w:p>
      <w:pPr>
        <w:spacing w:after="120" w:line="276"/>
        <w:jc w:val="both"/>
      </w:pPr>
      <w:r>
        <w:t xml:space="preserve">This trend is reshaping the relationship between IT and business units, shifting IT's role from sole builder to platform steward, responsible for security, standards, and enablement rather than every individual application.</w:t>
      </w:r>
    </w:p>
    <w:p>
      <w:pPr>
        <w:spacing w:after="120" w:line="276"/>
        <w:jc w:val="both"/>
      </w:pPr>
      <w:r>
        <w:t xml:space="preserve">Training and enablement programs have also become more structured, with many organizations offering internal certification paths for citizen developers, paired mentorship with professional engineers, and curated template libraries that reduce the chance of duplicated effort across departments. Some organizations have introduced a tiered model, in which increasingly complex applications require a corresponding increase in review and sign-off from the central platform team.</w:t>
      </w:r>
    </w:p>
    <w:p>
      <w:pPr>
        <w:pStyle w:val="Heading1"/>
        <w:spacing w:after="100" w:before="200"/>
      </w:pPr>
      <w:r>
        <w:rPr>
          <w:b/>
          <w:bCs/>
        </w:rPr>
        <w:t xml:space="preserve">7. Emerging Trend: Low-Code / No-Code Convergence</w:t>
      </w:r>
    </w:p>
    <w:p>
      <w:pPr>
        <w:spacing w:after="120" w:line="276"/>
        <w:jc w:val="both"/>
      </w:pPr>
      <w:r>
        <w:t xml:space="preserve">The historical distinction between low-code and no-code platforms is blurring. Vendors increasingly offer a single platform with multiple entry points: a fully visual, no-code experience for simple use cases, and a progressively more code-accessible layer for advanced customization. This convergence allows organizations to standardize on one platform for both simple departmental tools and complex, mission-critical applications, reducing tool sprawl and simplifying governance.</w:t>
      </w:r>
    </w:p>
    <w:p>
      <w:pPr>
        <w:spacing w:after="120" w:line="276"/>
        <w:jc w:val="both"/>
      </w:pPr>
      <w:r>
        <w:t xml:space="preserve">This convergence is also visible in vendor positioning and pricing. Rather than selling separate low-code and no-code products, many vendors now offer a single license tier structure that scales with the complexity of the applications being built, and a common component marketplace shared across both ends of the spectrum. For buyers, this reduces the risk of choosing the wrong category of tool up front, since applications can migrate along the spectrum as their requirements grow.</w:t>
      </w:r>
    </w:p>
    <w:p>
      <w:pPr>
        <w:pStyle w:val="Heading1"/>
        <w:spacing w:after="100" w:before="200"/>
      </w:pPr>
      <w:r>
        <w:rPr>
          <w:b/>
          <w:bCs/>
        </w:rPr>
        <w:t xml:space="preserve">8. Emerging Trend: Enterprise-Grade Governance and Security</w:t>
      </w:r>
    </w:p>
    <w:p>
      <w:pPr>
        <w:spacing w:after="120" w:line="276"/>
        <w:jc w:val="both"/>
      </w:pPr>
      <w:r>
        <w:t xml:space="preserve">As low-code applications move from departmental utilities to business-critical systems, enterprises are demanding stronger governance capabilities. This includes granular role-based access control, application lifecycle management, automated security scanning of visually-built logic, data loss prevention policies, and detailed audit trails covering who built and modified an application and when.</w:t>
      </w:r>
    </w:p>
    <w:p>
      <w:pPr>
        <w:spacing w:after="120" w:line="276"/>
        <w:jc w:val="both"/>
      </w:pPr>
      <w:r>
        <w:t xml:space="preserve">Vendors are responding with dedicated administration consoles, policy-as-code frameworks, and integration with enterprise identity providers, allowing security teams to apply the same standards to low-code applications that they apply to traditionally coded software.</w:t>
      </w:r>
    </w:p>
    <w:p>
      <w:pPr>
        <w:spacing w:after="120" w:line="276"/>
        <w:jc w:val="both"/>
      </w:pPr>
      <w:r>
        <w:t xml:space="preserve">A related development is the emergence of dedicated low-code security scanning tools, which analyze visually-built logic for common misconfigurations such as overly broad data access, unsecured external connectors, or missing input validation. These tools integrate into the same release pipelines used for traditional software, allowing security reviews to happen automatically rather than through manual, ad hoc audits.</w:t>
      </w:r>
    </w:p>
    <w:p>
      <w:pPr>
        <w:pStyle w:val="Heading1"/>
        <w:spacing w:after="100" w:before="200"/>
      </w:pPr>
      <w:r>
        <w:rPr>
          <w:b/>
          <w:bCs/>
        </w:rPr>
        <w:t xml:space="preserve">9. Emerging Trend: Industry-Specific Low-Code Solutions</w:t>
      </w:r>
    </w:p>
    <w:p>
      <w:pPr>
        <w:spacing w:after="120" w:line="276"/>
        <w:jc w:val="both"/>
      </w:pPr>
      <w:r>
        <w:t xml:space="preserve">Rather than offering only general-purpose platforms, vendors are increasingly building industry-specific low-code solutions with pre-configured data models, compliance templates, and workflows tailored to sectors such as healthcare, financial services, insurance, manufacturing, and the public sector. These vertical solutions reduce the configuration effort required to reach production and embed industry regulations directly into the platform's guardrails.</w:t>
      </w:r>
    </w:p>
    <w:p>
      <w:pPr>
        <w:spacing w:after="120" w:line="276"/>
        <w:jc w:val="both"/>
      </w:pPr>
      <w:r>
        <w:t xml:space="preserve">This verticalization strategy also changes how these platforms are sold and supported. Rather than competing purely on general platform capabilities, vendors increasingly differentiate through domain expertise, partnerships with industry bodies, and pre-certified compliance packages that reduce the burden on customers' own legal and compliance teams during procurement and audit.</w:t>
      </w:r>
    </w:p>
    <w:p>
      <w:pPr>
        <w:pStyle w:val="Heading1"/>
        <w:spacing w:after="100" w:before="200"/>
      </w:pPr>
      <w:r>
        <w:rPr>
          <w:b/>
          <w:bCs/>
        </w:rPr>
        <w:t xml:space="preserve">10. Emerging Trend: Cloud-Native and Composable Architectures</w:t>
      </w:r>
    </w:p>
    <w:p>
      <w:pPr>
        <w:spacing w:after="120" w:line="276"/>
        <w:jc w:val="both"/>
      </w:pPr>
      <w:r>
        <w:t xml:space="preserve">Modern low-code platforms are increasingly built on cloud-native, API-first foundations, allowing generated applications to be deployed as containerized microservices rather than monolithic runtimes. This supports the broader industry shift toward composable enterprise architecture, in which low-code applications consume and expose services through APIs, integrate with event-driven architectures, and can be assembled from interchangeable business capabilities rather than built from scratch each time.</w:t>
      </w:r>
    </w:p>
    <w:p>
      <w:pPr>
        <w:spacing w:after="120" w:line="276"/>
        <w:jc w:val="both"/>
      </w:pPr>
      <w:r>
        <w:t xml:space="preserve">This architectural shift also improves interoperability between low-code applications and the rest of the enterprise technology estate. Applications built on a composable, API-first low-code platform can more easily be extended by professional developers using traditional code, embedded into larger digital products, or replaced piece by piece as business needs evolve, avoiding the all-or-nothing rebuild that monolithic legacy systems often require.</w:t>
      </w:r>
    </w:p>
    <w:p>
      <w:pPr>
        <w:pStyle w:val="Heading1"/>
        <w:spacing w:after="100" w:before="200"/>
      </w:pPr>
      <w:r>
        <w:rPr>
          <w:b/>
          <w:bCs/>
        </w:rPr>
        <w:t xml:space="preserve">11. Comparative Overview of Leading Platforms</w:t>
      </w:r>
    </w:p>
    <w:p>
      <w:pPr>
        <w:spacing w:after="120" w:line="276"/>
        <w:jc w:val="both"/>
      </w:pPr>
      <w:r>
        <w:t xml:space="preserve">The table below summarizes general positioning across common categories of low-code platforms, based on typical vendor focus areas rather than any single product benchmark.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50"/>
      </w:tblGrid>
      <w:tr>
        <w:trPr>
          <w:tblHeader/>
        </w:trPr>
        <w:tc>
          <w:tcPr>
            <w:tcW w:type="dxa" w:w="2400"/>
            <w:shd w:fill="D9E2F3" w:val="clear"/>
            <w:tcMar>
              <w:top w:type="dxa" w:w="80"/>
              <w:left w:type="dxa" w:w="100"/>
              <w:bottom w:type="dxa" w:w="80"/>
              <w:right w:type="dxa" w:w="100"/>
            </w:tcMar>
          </w:tcPr>
          <w:p>
            <w:r>
              <w:rPr>
                <w:b/>
                <w:bCs/>
                <w:sz w:val="20"/>
                <w:szCs w:val="20"/>
              </w:rPr>
              <w:t xml:space="preserve">Platform Category</w:t>
            </w:r>
          </w:p>
        </w:tc>
        <w:tc>
          <w:tcPr>
            <w:tcW w:type="dxa" w:w="2200"/>
            <w:shd w:fill="D9E2F3" w:val="clear"/>
            <w:tcMar>
              <w:top w:type="dxa" w:w="80"/>
              <w:left w:type="dxa" w:w="100"/>
              <w:bottom w:type="dxa" w:w="80"/>
              <w:right w:type="dxa" w:w="100"/>
            </w:tcMar>
          </w:tcPr>
          <w:p>
            <w:r>
              <w:rPr>
                <w:b/>
                <w:bCs/>
                <w:sz w:val="20"/>
                <w:szCs w:val="20"/>
              </w:rPr>
              <w:t xml:space="preserve">Primary Users</w:t>
            </w:r>
          </w:p>
        </w:tc>
        <w:tc>
          <w:tcPr>
            <w:tcW w:type="dxa" w:w="2400"/>
            <w:shd w:fill="D9E2F3" w:val="clear"/>
            <w:tcMar>
              <w:top w:type="dxa" w:w="80"/>
              <w:left w:type="dxa" w:w="100"/>
              <w:bottom w:type="dxa" w:w="80"/>
              <w:right w:type="dxa" w:w="100"/>
            </w:tcMar>
          </w:tcPr>
          <w:p>
            <w:r>
              <w:rPr>
                <w:b/>
                <w:bCs/>
                <w:sz w:val="20"/>
                <w:szCs w:val="20"/>
              </w:rPr>
              <w:t xml:space="preserve">Typical Strength</w:t>
            </w:r>
          </w:p>
        </w:tc>
        <w:tc>
          <w:tcPr>
            <w:tcW w:type="dxa" w:w="2350"/>
            <w:shd w:fill="D9E2F3" w:val="clear"/>
            <w:tcMar>
              <w:top w:type="dxa" w:w="80"/>
              <w:left w:type="dxa" w:w="100"/>
              <w:bottom w:type="dxa" w:w="80"/>
              <w:right w:type="dxa" w:w="100"/>
            </w:tcMar>
          </w:tcPr>
          <w:p>
            <w:r>
              <w:rPr>
                <w:b/>
                <w:bCs/>
                <w:sz w:val="20"/>
                <w:szCs w:val="20"/>
              </w:rPr>
              <w:t xml:space="preserve">Common Limitation</w:t>
            </w:r>
          </w:p>
        </w:tc>
      </w:tr>
      <w:tr>
        <w:tc>
          <w:tcPr>
            <w:tcW w:type="dxa" w:w="2400"/>
            <w:tcMar>
              <w:top w:type="dxa" w:w="80"/>
              <w:left w:type="dxa" w:w="100"/>
              <w:bottom w:type="dxa" w:w="80"/>
              <w:right w:type="dxa" w:w="100"/>
            </w:tcMar>
          </w:tcPr>
          <w:p>
            <w:r>
              <w:rPr>
                <w:b w:val="false"/>
                <w:bCs w:val="false"/>
                <w:sz w:val="20"/>
                <w:szCs w:val="20"/>
              </w:rPr>
              <w:t xml:space="preserve">Enterprise low-code suites</w:t>
            </w:r>
          </w:p>
        </w:tc>
        <w:tc>
          <w:tcPr>
            <w:tcW w:type="dxa" w:w="2200"/>
            <w:tcMar>
              <w:top w:type="dxa" w:w="80"/>
              <w:left w:type="dxa" w:w="100"/>
              <w:bottom w:type="dxa" w:w="80"/>
              <w:right w:type="dxa" w:w="100"/>
            </w:tcMar>
          </w:tcPr>
          <w:p>
            <w:r>
              <w:rPr>
                <w:b w:val="false"/>
                <w:bCs w:val="false"/>
                <w:sz w:val="20"/>
                <w:szCs w:val="20"/>
              </w:rPr>
              <w:t xml:space="preserve">Professional developers</w:t>
            </w:r>
          </w:p>
        </w:tc>
        <w:tc>
          <w:tcPr>
            <w:tcW w:type="dxa" w:w="2400"/>
            <w:tcMar>
              <w:top w:type="dxa" w:w="80"/>
              <w:left w:type="dxa" w:w="100"/>
              <w:bottom w:type="dxa" w:w="80"/>
              <w:right w:type="dxa" w:w="100"/>
            </w:tcMar>
          </w:tcPr>
          <w:p>
            <w:r>
              <w:rPr>
                <w:b w:val="false"/>
                <w:bCs w:val="false"/>
                <w:sz w:val="20"/>
                <w:szCs w:val="20"/>
              </w:rPr>
              <w:t xml:space="preserve">Governance, scalability</w:t>
            </w:r>
          </w:p>
        </w:tc>
        <w:tc>
          <w:tcPr>
            <w:tcW w:type="dxa" w:w="2350"/>
            <w:tcMar>
              <w:top w:type="dxa" w:w="80"/>
              <w:left w:type="dxa" w:w="100"/>
              <w:bottom w:type="dxa" w:w="80"/>
              <w:right w:type="dxa" w:w="100"/>
            </w:tcMar>
          </w:tcPr>
          <w:p>
            <w:r>
              <w:rPr>
                <w:b w:val="false"/>
                <w:bCs w:val="false"/>
                <w:sz w:val="20"/>
                <w:szCs w:val="20"/>
              </w:rPr>
              <w:t xml:space="preserve">Higher licensing cost</w:t>
            </w:r>
          </w:p>
        </w:tc>
      </w:tr>
      <w:tr>
        <w:tc>
          <w:tcPr>
            <w:tcW w:type="dxa" w:w="2400"/>
            <w:tcMar>
              <w:top w:type="dxa" w:w="80"/>
              <w:left w:type="dxa" w:w="100"/>
              <w:bottom w:type="dxa" w:w="80"/>
              <w:right w:type="dxa" w:w="100"/>
            </w:tcMar>
          </w:tcPr>
          <w:p>
            <w:r>
              <w:rPr>
                <w:b w:val="false"/>
                <w:bCs w:val="false"/>
                <w:sz w:val="20"/>
                <w:szCs w:val="20"/>
              </w:rPr>
              <w:t xml:space="preserve">Business process automation tools</w:t>
            </w:r>
          </w:p>
        </w:tc>
        <w:tc>
          <w:tcPr>
            <w:tcW w:type="dxa" w:w="2200"/>
            <w:tcMar>
              <w:top w:type="dxa" w:w="80"/>
              <w:left w:type="dxa" w:w="100"/>
              <w:bottom w:type="dxa" w:w="80"/>
              <w:right w:type="dxa" w:w="100"/>
            </w:tcMar>
          </w:tcPr>
          <w:p>
            <w:r>
              <w:rPr>
                <w:b w:val="false"/>
                <w:bCs w:val="false"/>
                <w:sz w:val="20"/>
                <w:szCs w:val="20"/>
              </w:rPr>
              <w:t xml:space="preserve">Business analysts</w:t>
            </w:r>
          </w:p>
        </w:tc>
        <w:tc>
          <w:tcPr>
            <w:tcW w:type="dxa" w:w="2400"/>
            <w:tcMar>
              <w:top w:type="dxa" w:w="80"/>
              <w:left w:type="dxa" w:w="100"/>
              <w:bottom w:type="dxa" w:w="80"/>
              <w:right w:type="dxa" w:w="100"/>
            </w:tcMar>
          </w:tcPr>
          <w:p>
            <w:r>
              <w:rPr>
                <w:b w:val="false"/>
                <w:bCs w:val="false"/>
                <w:sz w:val="20"/>
                <w:szCs w:val="20"/>
              </w:rPr>
              <w:t xml:space="preserve">Workflow and approvals</w:t>
            </w:r>
          </w:p>
        </w:tc>
        <w:tc>
          <w:tcPr>
            <w:tcW w:type="dxa" w:w="2350"/>
            <w:tcMar>
              <w:top w:type="dxa" w:w="80"/>
              <w:left w:type="dxa" w:w="100"/>
              <w:bottom w:type="dxa" w:w="80"/>
              <w:right w:type="dxa" w:w="100"/>
            </w:tcMar>
          </w:tcPr>
          <w:p>
            <w:r>
              <w:rPr>
                <w:b w:val="false"/>
                <w:bCs w:val="false"/>
                <w:sz w:val="20"/>
                <w:szCs w:val="20"/>
              </w:rPr>
              <w:t xml:space="preserve">Limited UI flexibility</w:t>
            </w:r>
          </w:p>
        </w:tc>
      </w:tr>
      <w:tr>
        <w:tc>
          <w:tcPr>
            <w:tcW w:type="dxa" w:w="2400"/>
            <w:tcMar>
              <w:top w:type="dxa" w:w="80"/>
              <w:left w:type="dxa" w:w="100"/>
              <w:bottom w:type="dxa" w:w="80"/>
              <w:right w:type="dxa" w:w="100"/>
            </w:tcMar>
          </w:tcPr>
          <w:p>
            <w:r>
              <w:rPr>
                <w:b w:val="false"/>
                <w:bCs w:val="false"/>
                <w:sz w:val="20"/>
                <w:szCs w:val="20"/>
              </w:rPr>
              <w:t xml:space="preserve">Citizen developer / no-code tools</w:t>
            </w:r>
          </w:p>
        </w:tc>
        <w:tc>
          <w:tcPr>
            <w:tcW w:type="dxa" w:w="2200"/>
            <w:tcMar>
              <w:top w:type="dxa" w:w="80"/>
              <w:left w:type="dxa" w:w="100"/>
              <w:bottom w:type="dxa" w:w="80"/>
              <w:right w:type="dxa" w:w="100"/>
            </w:tcMar>
          </w:tcPr>
          <w:p>
            <w:r>
              <w:rPr>
                <w:b w:val="false"/>
                <w:bCs w:val="false"/>
                <w:sz w:val="20"/>
                <w:szCs w:val="20"/>
              </w:rPr>
              <w:t xml:space="preserve">Non-technical staff</w:t>
            </w:r>
          </w:p>
        </w:tc>
        <w:tc>
          <w:tcPr>
            <w:tcW w:type="dxa" w:w="2400"/>
            <w:tcMar>
              <w:top w:type="dxa" w:w="80"/>
              <w:left w:type="dxa" w:w="100"/>
              <w:bottom w:type="dxa" w:w="80"/>
              <w:right w:type="dxa" w:w="100"/>
            </w:tcMar>
          </w:tcPr>
          <w:p>
            <w:r>
              <w:rPr>
                <w:b w:val="false"/>
                <w:bCs w:val="false"/>
                <w:sz w:val="20"/>
                <w:szCs w:val="20"/>
              </w:rPr>
              <w:t xml:space="preserve">Speed of building</w:t>
            </w:r>
          </w:p>
        </w:tc>
        <w:tc>
          <w:tcPr>
            <w:tcW w:type="dxa" w:w="2350"/>
            <w:tcMar>
              <w:top w:type="dxa" w:w="80"/>
              <w:left w:type="dxa" w:w="100"/>
              <w:bottom w:type="dxa" w:w="80"/>
              <w:right w:type="dxa" w:w="100"/>
            </w:tcMar>
          </w:tcPr>
          <w:p>
            <w:r>
              <w:rPr>
                <w:b w:val="false"/>
                <w:bCs w:val="false"/>
                <w:sz w:val="20"/>
                <w:szCs w:val="20"/>
              </w:rPr>
              <w:t xml:space="preserve">Constrained customization</w:t>
            </w:r>
          </w:p>
        </w:tc>
      </w:tr>
      <w:tr>
        <w:tc>
          <w:tcPr>
            <w:tcW w:type="dxa" w:w="2400"/>
            <w:tcMar>
              <w:top w:type="dxa" w:w="80"/>
              <w:left w:type="dxa" w:w="100"/>
              <w:bottom w:type="dxa" w:w="80"/>
              <w:right w:type="dxa" w:w="100"/>
            </w:tcMar>
          </w:tcPr>
          <w:p>
            <w:r>
              <w:rPr>
                <w:b w:val="false"/>
                <w:bCs w:val="false"/>
                <w:sz w:val="20"/>
                <w:szCs w:val="20"/>
              </w:rPr>
              <w:t xml:space="preserve">Vertical / industry platforms</w:t>
            </w:r>
          </w:p>
        </w:tc>
        <w:tc>
          <w:tcPr>
            <w:tcW w:type="dxa" w:w="2200"/>
            <w:tcMar>
              <w:top w:type="dxa" w:w="80"/>
              <w:left w:type="dxa" w:w="100"/>
              <w:bottom w:type="dxa" w:w="80"/>
              <w:right w:type="dxa" w:w="100"/>
            </w:tcMar>
          </w:tcPr>
          <w:p>
            <w:r>
              <w:rPr>
                <w:b w:val="false"/>
                <w:bCs w:val="false"/>
                <w:sz w:val="20"/>
                <w:szCs w:val="20"/>
              </w:rPr>
              <w:t xml:space="preserve">Domain specialists</w:t>
            </w:r>
          </w:p>
        </w:tc>
        <w:tc>
          <w:tcPr>
            <w:tcW w:type="dxa" w:w="2400"/>
            <w:tcMar>
              <w:top w:type="dxa" w:w="80"/>
              <w:left w:type="dxa" w:w="100"/>
              <w:bottom w:type="dxa" w:w="80"/>
              <w:right w:type="dxa" w:w="100"/>
            </w:tcMar>
          </w:tcPr>
          <w:p>
            <w:r>
              <w:rPr>
                <w:b w:val="false"/>
                <w:bCs w:val="false"/>
                <w:sz w:val="20"/>
                <w:szCs w:val="20"/>
              </w:rPr>
              <w:t xml:space="preserve">Compliance templates</w:t>
            </w:r>
          </w:p>
        </w:tc>
        <w:tc>
          <w:tcPr>
            <w:tcW w:type="dxa" w:w="2350"/>
            <w:tcMar>
              <w:top w:type="dxa" w:w="80"/>
              <w:left w:type="dxa" w:w="100"/>
              <w:bottom w:type="dxa" w:w="80"/>
              <w:right w:type="dxa" w:w="100"/>
            </w:tcMar>
          </w:tcPr>
          <w:p>
            <w:r>
              <w:rPr>
                <w:b w:val="false"/>
                <w:bCs w:val="false"/>
                <w:sz w:val="20"/>
                <w:szCs w:val="20"/>
              </w:rPr>
              <w:t xml:space="preserve">Narrower use-case fit</w:t>
            </w:r>
          </w:p>
        </w:tc>
      </w:tr>
      <w:tr>
        <w:tc>
          <w:tcPr>
            <w:tcW w:type="dxa" w:w="2400"/>
            <w:tcMar>
              <w:top w:type="dxa" w:w="80"/>
              <w:left w:type="dxa" w:w="100"/>
              <w:bottom w:type="dxa" w:w="80"/>
              <w:right w:type="dxa" w:w="100"/>
            </w:tcMar>
          </w:tcPr>
          <w:p>
            <w:r>
              <w:rPr>
                <w:b w:val="false"/>
                <w:bCs w:val="false"/>
                <w:sz w:val="20"/>
                <w:szCs w:val="20"/>
              </w:rPr>
              <w:t xml:space="preserve">Cloud-provider embedded tools</w:t>
            </w:r>
          </w:p>
        </w:tc>
        <w:tc>
          <w:tcPr>
            <w:tcW w:type="dxa" w:w="2200"/>
            <w:tcMar>
              <w:top w:type="dxa" w:w="80"/>
              <w:left w:type="dxa" w:w="100"/>
              <w:bottom w:type="dxa" w:w="80"/>
              <w:right w:type="dxa" w:w="100"/>
            </w:tcMar>
          </w:tcPr>
          <w:p>
            <w:r>
              <w:rPr>
                <w:b w:val="false"/>
                <w:bCs w:val="false"/>
                <w:sz w:val="20"/>
                <w:szCs w:val="20"/>
              </w:rPr>
              <w:t xml:space="preserve">Mixed technical teams</w:t>
            </w:r>
          </w:p>
        </w:tc>
        <w:tc>
          <w:tcPr>
            <w:tcW w:type="dxa" w:w="2400"/>
            <w:tcMar>
              <w:top w:type="dxa" w:w="80"/>
              <w:left w:type="dxa" w:w="100"/>
              <w:bottom w:type="dxa" w:w="80"/>
              <w:right w:type="dxa" w:w="100"/>
            </w:tcMar>
          </w:tcPr>
          <w:p>
            <w:r>
              <w:rPr>
                <w:b w:val="false"/>
                <w:bCs w:val="false"/>
                <w:sz w:val="20"/>
                <w:szCs w:val="20"/>
              </w:rPr>
              <w:t xml:space="preserve">Native cloud integration</w:t>
            </w:r>
          </w:p>
        </w:tc>
        <w:tc>
          <w:tcPr>
            <w:tcW w:type="dxa" w:w="2350"/>
            <w:tcMar>
              <w:top w:type="dxa" w:w="80"/>
              <w:left w:type="dxa" w:w="100"/>
              <w:bottom w:type="dxa" w:w="80"/>
              <w:right w:type="dxa" w:w="100"/>
            </w:tcMar>
          </w:tcPr>
          <w:p>
            <w:r>
              <w:rPr>
                <w:b w:val="false"/>
                <w:bCs w:val="false"/>
                <w:sz w:val="20"/>
                <w:szCs w:val="20"/>
              </w:rPr>
              <w:t xml:space="preserve">Vendor lock-in risk</w:t>
            </w:r>
          </w:p>
        </w:tc>
      </w:tr>
    </w:tbl>
    <w:p>
      <w:pPr>
        <w:spacing w:before="160"/>
      </w:pPr>
    </w:p>
    <w:p>
      <w:pPr>
        <w:pStyle w:val="Heading1"/>
        <w:spacing w:after="100" w:before="200"/>
      </w:pPr>
      <w:r>
        <w:rPr>
          <w:b/>
          <w:bCs/>
        </w:rPr>
        <w:t xml:space="preserve">12. Key Benefits of Low-Code Adoption</w:t>
      </w:r>
    </w:p>
    <w:p>
      <w:pPr>
        <w:spacing w:after="120" w:line="276"/>
        <w:jc w:val="both"/>
      </w:pPr>
      <w:r>
        <w:t xml:space="preserve">While the trends above describe how the low-code landscape is evolving, it is worth summarizing the core benefits that continue to drive organizations toward this approach in the first place. These benefits explain why low-code has moved from a tactical shortcut to a strategic pillar of many organizations' technology roadmaps.</w:t>
      </w:r>
    </w:p>
    <w:p>
      <w:pPr>
        <w:pStyle w:val="Heading2"/>
        <w:spacing w:after="80" w:before="160"/>
      </w:pPr>
      <w:r>
        <w:rPr>
          <w:b/>
          <w:bCs/>
        </w:rPr>
        <w:t xml:space="preserve">12.1 Faster Time to Market</w:t>
      </w:r>
    </w:p>
    <w:p>
      <w:pPr>
        <w:spacing w:after="120" w:line="276"/>
        <w:jc w:val="both"/>
      </w:pPr>
      <w:r>
        <w:t xml:space="preserve">Visual development significantly compresses the build-test-deploy cycle compared with traditional hand-coding, allowing teams to move from concept to working prototype in days rather than months. This speed is particularly valuable for internal tools, proof-of-concept applications, and time-sensitive regulatory or operational needs.</w:t>
      </w:r>
    </w:p>
    <w:p>
      <w:pPr>
        <w:pStyle w:val="Heading2"/>
        <w:spacing w:after="80" w:before="160"/>
      </w:pPr>
      <w:r>
        <w:rPr>
          <w:b/>
          <w:bCs/>
        </w:rPr>
        <w:t xml:space="preserve">12.2 Lower Total Cost of Ownership</w:t>
      </w:r>
    </w:p>
    <w:p>
      <w:pPr>
        <w:spacing w:after="120" w:line="276"/>
        <w:jc w:val="both"/>
      </w:pPr>
      <w:r>
        <w:t xml:space="preserve">By reducing the amount of custom code that must be written, tested, and maintained, low-code platforms can lower both initial development costs and long-term maintenance overhead. Reusable components and centrally managed integrations further reduce duplicated engineering effort across the organization.</w:t>
      </w:r>
    </w:p>
    <w:p>
      <w:pPr>
        <w:pStyle w:val="Heading2"/>
        <w:spacing w:after="80" w:before="160"/>
      </w:pPr>
      <w:r>
        <w:rPr>
          <w:b/>
          <w:bCs/>
        </w:rPr>
        <w:t xml:space="preserve">12.3 Closing the Developer Talent Gap</w:t>
      </w:r>
    </w:p>
    <w:p>
      <w:pPr>
        <w:spacing w:after="120" w:line="276"/>
        <w:jc w:val="both"/>
      </w:pPr>
      <w:r>
        <w:t xml:space="preserve">With demand for software consistently outpacing the supply of trained engineers, low-code platforms allow organizations to expand their effective development capacity by empowering business-savvy citizen developers to build simple to moderately complex applications, freeing professional developers to focus on the most technically demanding work.</w:t>
      </w:r>
    </w:p>
    <w:p>
      <w:pPr>
        <w:pStyle w:val="Heading2"/>
        <w:spacing w:after="80" w:before="160"/>
      </w:pPr>
      <w:r>
        <w:rPr>
          <w:b/>
          <w:bCs/>
        </w:rPr>
        <w:t xml:space="preserve">12.4 Improved Business-IT Alignment</w:t>
      </w:r>
    </w:p>
    <w:p>
      <w:pPr>
        <w:spacing w:after="120" w:line="276"/>
        <w:jc w:val="both"/>
      </w:pPr>
      <w:r>
        <w:t xml:space="preserve">Because business users can directly participate in building and refining applications, low-code development tends to produce solutions that map more closely to actual business needs, reducing the back-and-forth typically required between business stakeholders and a separate engineering team.</w:t>
      </w:r>
    </w:p>
    <w:p>
      <w:pPr>
        <w:pStyle w:val="Heading1"/>
        <w:spacing w:after="100" w:before="200"/>
      </w:pPr>
      <w:r>
        <w:rPr>
          <w:b/>
          <w:bCs/>
        </w:rPr>
        <w:t xml:space="preserve">13. Case Studies</w:t>
      </w:r>
    </w:p>
    <w:p>
      <w:pPr>
        <w:pStyle w:val="Heading2"/>
        <w:spacing w:after="80" w:before="160"/>
      </w:pPr>
      <w:r>
        <w:rPr>
          <w:b/>
          <w:bCs/>
        </w:rPr>
        <w:t xml:space="preserve">12.1 Financial Services Onboarding Portal</w:t>
      </w:r>
    </w:p>
    <w:p>
      <w:pPr>
        <w:spacing w:after="120" w:line="276"/>
        <w:jc w:val="both"/>
      </w:pPr>
      <w:r>
        <w:t xml:space="preserve">A regional bank used a low-code platform to rebuild its customer onboarding portal, reducing the time to launch new account-opening workflows from several months to a few weeks. Compliance rules were encoded as reusable visual logic blocks, allowing the compliance team to review and approve changes without waiting on a full engineering sprint cycle.</w:t>
      </w:r>
    </w:p>
    <w:p>
      <w:pPr>
        <w:pStyle w:val="Heading2"/>
        <w:spacing w:after="80" w:before="160"/>
      </w:pPr>
      <w:r>
        <w:rPr>
          <w:b/>
          <w:bCs/>
        </w:rPr>
        <w:t xml:space="preserve">12.2 Manufacturing Inspection App</w:t>
      </w:r>
    </w:p>
    <w:p>
      <w:pPr>
        <w:spacing w:after="120" w:line="276"/>
        <w:jc w:val="both"/>
      </w:pPr>
      <w:r>
        <w:t xml:space="preserve">A manufacturing company equipped floor supervisors with a low-code mobile application for quality inspections, replacing paper checklists. Citizen developers within the operations team built and iterated on the application themselves, with the central IT team providing a shared component library and periodic security review.</w:t>
      </w:r>
    </w:p>
    <w:p>
      <w:pPr>
        <w:pStyle w:val="Heading2"/>
        <w:spacing w:after="80" w:before="160"/>
      </w:pPr>
      <w:r>
        <w:rPr>
          <w:b/>
          <w:bCs/>
        </w:rPr>
        <w:t xml:space="preserve">12.3 Healthcare Patient Intake</w:t>
      </w:r>
    </w:p>
    <w:p>
      <w:pPr>
        <w:spacing w:after="120" w:line="276"/>
        <w:jc w:val="both"/>
      </w:pPr>
      <w:r>
        <w:t xml:space="preserve">A hospital network deployed a low-code patient intake system integrated with its existing electronic health record platform. The vertical, healthcare-focused low-code solution included pre-built templates for consent forms and regulatory data handling, significantly shortening the implementation timeline compared with a custom-built system.</w:t>
      </w:r>
    </w:p>
    <w:p>
      <w:pPr>
        <w:pStyle w:val="Heading2"/>
        <w:spacing w:after="80" w:before="160"/>
      </w:pPr>
      <w:r>
        <w:rPr>
          <w:b/>
          <w:bCs/>
        </w:rPr>
        <w:t xml:space="preserve">12.4 Retail Inventory Management</w:t>
      </w:r>
    </w:p>
    <w:p>
      <w:pPr>
        <w:spacing w:after="120" w:line="276"/>
        <w:jc w:val="both"/>
      </w:pPr>
      <w:r>
        <w:t xml:space="preserve">A multi-location retail chain replaced a collection of spreadsheets with a low-code inventory management application, connecting store-level stock counts to a central dashboard through the platform's built-in integration connectors. Store managers, acting as citizen developers, were able to customize reporting views for their own locations without submitting change requests to central IT, while the platform's governance layer ensured that underlying data access rules remained consistent across all stores.</w:t>
      </w:r>
    </w:p>
    <w:p>
      <w:pPr>
        <w:pStyle w:val="Heading1"/>
        <w:spacing w:after="100" w:before="200"/>
      </w:pPr>
      <w:r>
        <w:rPr>
          <w:b/>
          <w:bCs/>
        </w:rPr>
        <w:t xml:space="preserve">14. Challenges and Limitations</w:t>
      </w:r>
    </w:p>
    <w:p>
      <w:pPr>
        <w:pStyle w:val="ListParagraph"/>
        <w:numPr>
          <w:ilvl w:val="0"/>
          <w:numId w:val="1"/>
        </w:numPr>
        <w:spacing w:after="80"/>
      </w:pPr>
      <w:r>
        <w:t xml:space="preserve">Governance risk: rapid citizen-developer application creation can outpace IT's ability to review and secure new applications.</w:t>
      </w:r>
    </w:p>
    <w:p>
      <w:pPr>
        <w:pStyle w:val="ListParagraph"/>
        <w:numPr>
          <w:ilvl w:val="0"/>
          <w:numId w:val="1"/>
        </w:numPr>
        <w:spacing w:after="80"/>
      </w:pPr>
      <w:r>
        <w:t xml:space="preserve">Vendor lock-in: applications built on proprietary low-code runtimes can be costly to migrate away from.</w:t>
      </w:r>
    </w:p>
    <w:p>
      <w:pPr>
        <w:pStyle w:val="ListParagraph"/>
        <w:numPr>
          <w:ilvl w:val="0"/>
          <w:numId w:val="1"/>
        </w:numPr>
        <w:spacing w:after="80"/>
      </w:pPr>
      <w:r>
        <w:t xml:space="preserve">Performance ceilings: some visually-built applications struggle with very high transaction volumes or complex custom logic.</w:t>
      </w:r>
    </w:p>
    <w:p>
      <w:pPr>
        <w:pStyle w:val="ListParagraph"/>
        <w:numPr>
          <w:ilvl w:val="0"/>
          <w:numId w:val="1"/>
        </w:numPr>
        <w:spacing w:after="80"/>
      </w:pPr>
      <w:r>
        <w:t xml:space="preserve">Skill gaps: effective low-code governance still requires experienced architects to design shared components and security policy.</w:t>
      </w:r>
    </w:p>
    <w:p>
      <w:pPr>
        <w:pStyle w:val="ListParagraph"/>
        <w:numPr>
          <w:ilvl w:val="0"/>
          <w:numId w:val="1"/>
        </w:numPr>
        <w:spacing w:after="80"/>
      </w:pPr>
      <w:r>
        <w:t xml:space="preserve">Shadow IT: unmanaged departmental applications can create data silos and compliance blind spots.</w:t>
      </w:r>
    </w:p>
    <w:p>
      <w:pPr>
        <w:pStyle w:val="Heading1"/>
        <w:spacing w:after="100" w:before="200"/>
      </w:pPr>
      <w:r>
        <w:rPr>
          <w:b/>
          <w:bCs/>
        </w:rPr>
        <w:t xml:space="preserve">15. Future Outlook</w:t>
      </w:r>
    </w:p>
    <w:p>
      <w:pPr>
        <w:spacing w:after="120" w:line="276"/>
        <w:jc w:val="both"/>
      </w:pPr>
      <w:r>
        <w:t xml:space="preserve">Looking ahead, low-code platforms are likely to continue absorbing AI capabilities as a core feature rather than an add-on, further lowering the barrier for non-technical users to build sophisticated applications. Governance tooling will mature to match the scale of citizen-developer adoption, and industry-specific platforms will proliferate as vendors compete for regulated, high-value verticals. The boundary between professional and citizen development is expected to continue narrowing, with organizations increasingly treating low-code as a standard part of their overall application development strategy rather than a separate, secondary track.</w:t>
      </w:r>
    </w:p>
    <w:p>
      <w:pPr>
        <w:pStyle w:val="Heading1"/>
        <w:spacing w:after="100" w:before="200"/>
      </w:pPr>
      <w:r>
        <w:rPr>
          <w:b/>
          <w:bCs/>
        </w:rPr>
        <w:t xml:space="preserve">16. Recommended Adoption Roadmap</w:t>
      </w:r>
    </w:p>
    <w:p>
      <w:pPr>
        <w:spacing w:after="120" w:line="276"/>
        <w:jc w:val="both"/>
      </w:pPr>
      <w:r>
        <w:t xml:space="preserve">Organizations beginning or maturing their low-code journey typically benefit from a phased approach rather than an immediate, organization-wide rollout. The following stages reflect common practice observed across successful low-code adoption programs.</w:t>
      </w:r>
    </w:p>
    <w:p>
      <w:pPr>
        <w:pStyle w:val="Heading2"/>
        <w:spacing w:after="80" w:before="160"/>
      </w:pPr>
      <w:r>
        <w:rPr>
          <w:b/>
          <w:bCs/>
        </w:rPr>
        <w:t xml:space="preserve">16.1 Phase 1: Pilot and Proof of Concept</w:t>
      </w:r>
    </w:p>
    <w:p>
      <w:pPr>
        <w:spacing w:after="120" w:line="276"/>
        <w:jc w:val="both"/>
      </w:pPr>
      <w:r>
        <w:t xml:space="preserve">Start with a small number of low-risk, high-visibility use cases, such as internal forms or approval workflows, to validate platform fit and build internal champions before expanding scope.</w:t>
      </w:r>
    </w:p>
    <w:p>
      <w:pPr>
        <w:pStyle w:val="Heading2"/>
        <w:spacing w:after="80" w:before="160"/>
      </w:pPr>
      <w:r>
        <w:rPr>
          <w:b/>
          <w:bCs/>
        </w:rPr>
        <w:t xml:space="preserve">16.2 Phase 2: Governance Foundation</w:t>
      </w:r>
    </w:p>
    <w:p>
      <w:pPr>
        <w:spacing w:after="120" w:line="276"/>
        <w:jc w:val="both"/>
      </w:pPr>
      <w:r>
        <w:t xml:space="preserve">Establish a center of excellence responsible for security standards, shared component libraries, and a lightweight review process, ensuring governance keeps pace as adoption grows beyond the pilot stage.</w:t>
      </w:r>
    </w:p>
    <w:p>
      <w:pPr>
        <w:pStyle w:val="Heading2"/>
        <w:spacing w:after="80" w:before="160"/>
      </w:pPr>
      <w:r>
        <w:rPr>
          <w:b/>
          <w:bCs/>
        </w:rPr>
        <w:t xml:space="preserve">16.3 Phase 3: Scaled Citizen Development</w:t>
      </w:r>
    </w:p>
    <w:p>
      <w:pPr>
        <w:spacing w:after="120" w:line="276"/>
        <w:jc w:val="both"/>
      </w:pPr>
      <w:r>
        <w:t xml:space="preserve">Extend access to trained citizen developers across departments, supported by templates, training programs, and a clear escalation path to professional developers for complex requirements.</w:t>
      </w:r>
    </w:p>
    <w:p>
      <w:pPr>
        <w:pStyle w:val="Heading2"/>
        <w:spacing w:after="80" w:before="160"/>
      </w:pPr>
      <w:r>
        <w:rPr>
          <w:b/>
          <w:bCs/>
        </w:rPr>
        <w:t xml:space="preserve">16.4 Phase 4: Enterprise Integration</w:t>
      </w:r>
    </w:p>
    <w:p>
      <w:pPr>
        <w:spacing w:after="120" w:line="276"/>
        <w:jc w:val="both"/>
      </w:pPr>
      <w:r>
        <w:t xml:space="preserve">Integrate low-code applications fully into enterprise identity, monitoring, and DevOps pipelines, treating them as first-class citizens within the broader application portfolio rather than a separate, informally managed category.</w:t>
      </w:r>
    </w:p>
    <w:p>
      <w:pPr>
        <w:pStyle w:val="Heading1"/>
        <w:spacing w:after="100" w:before="200"/>
      </w:pPr>
      <w:r>
        <w:rPr>
          <w:b/>
          <w:bCs/>
        </w:rPr>
        <w:t xml:space="preserve">17. Conclusion</w:t>
      </w:r>
    </w:p>
    <w:p>
      <w:pPr>
        <w:spacing w:after="120" w:line="276"/>
        <w:jc w:val="both"/>
      </w:pPr>
      <w:r>
        <w:t xml:space="preserve">Low-code application development has matured into a strategic capability for organizations seeking to accelerate software delivery amid constrained developer resources. The trends surveyed in this report, spanning AI augmentation, citizen development, platform convergence, enterprise governance, industry specialization, and cloud-native architecture, point toward a future in which low-code is not a shortcut around traditional development but a complementary and increasingly central pillar of enterprise software strategy. Organizations that invest in the right governance structures and platform choices stand to gain significant advantages in speed, cost, and business responsiveness.</w:t>
      </w:r>
    </w:p>
    <w:p>
      <w:pPr>
        <w:pStyle w:val="Heading1"/>
        <w:spacing w:after="100" w:before="200"/>
      </w:pPr>
      <w:r>
        <w:rPr>
          <w:b/>
          <w:bCs/>
        </w:rPr>
        <w:t xml:space="preserve">18. Glossary of Key Terms</w:t>
      </w:r>
    </w:p>
    <w:p>
      <w:pPr>
        <w:spacing w:after="120"/>
      </w:pPr>
      <w:r>
        <w:rPr>
          <w:b/>
          <w:bCs/>
        </w:rPr>
        <w:t xml:space="preserve">Low-code development: </w:t>
      </w:r>
      <w:r>
        <w:t xml:space="preserve">A software development approach that uses visual, model-driven tools to build applications with minimal hand-written code.</w:t>
      </w:r>
    </w:p>
    <w:p>
      <w:pPr>
        <w:spacing w:after="120"/>
      </w:pPr>
      <w:r>
        <w:rPr>
          <w:b/>
          <w:bCs/>
        </w:rPr>
        <w:t xml:space="preserve">No-code development: </w:t>
      </w:r>
      <w:r>
        <w:t xml:space="preserve">A development approach aimed at building applications with no coding at all, typically for simpler use cases than low-code.</w:t>
      </w:r>
    </w:p>
    <w:p>
      <w:pPr>
        <w:spacing w:after="120"/>
      </w:pPr>
      <w:r>
        <w:rPr>
          <w:b/>
          <w:bCs/>
        </w:rPr>
        <w:t xml:space="preserve">Citizen developer: </w:t>
      </w:r>
      <w:r>
        <w:t xml:space="preserve">A non-professional developer, usually a business user, who builds applications using low-code or no-code tools.</w:t>
      </w:r>
    </w:p>
    <w:p>
      <w:pPr>
        <w:spacing w:after="120"/>
      </w:pPr>
      <w:r>
        <w:rPr>
          <w:b/>
          <w:bCs/>
        </w:rPr>
        <w:t xml:space="preserve">Center of excellence (CoE): </w:t>
      </w:r>
      <w:r>
        <w:t xml:space="preserve">A central team responsible for governance, standards, and enablement across an organization's low-code initiatives.</w:t>
      </w:r>
    </w:p>
    <w:p>
      <w:pPr>
        <w:spacing w:after="120"/>
      </w:pPr>
      <w:r>
        <w:rPr>
          <w:b/>
          <w:bCs/>
        </w:rPr>
        <w:t xml:space="preserve">Composable architecture: </w:t>
      </w:r>
      <w:r>
        <w:t xml:space="preserve">An approach to enterprise architecture built from interchangeable, API-connected business capabilities rather than monolithic systems.</w:t>
      </w:r>
    </w:p>
    <w:p>
      <w:pPr>
        <w:spacing w:after="120"/>
      </w:pPr>
      <w:r>
        <w:rPr>
          <w:b/>
          <w:bCs/>
        </w:rPr>
        <w:t xml:space="preserve">Shadow IT: </w:t>
      </w:r>
      <w:r>
        <w:t xml:space="preserve">Technology systems built or used within an organization without explicit approval or oversight from the central IT function.</w:t>
      </w:r>
    </w:p>
    <w:p>
      <w:pPr>
        <w:spacing w:after="120"/>
      </w:pPr>
      <w:r>
        <w:rPr>
          <w:b/>
          <w:bCs/>
        </w:rPr>
        <w:t xml:space="preserve">Policy-as-code: </w:t>
      </w:r>
      <w:r>
        <w:t xml:space="preserve">The practice of defining governance and security policies in a machine-readable format that can be automatically enforced.</w:t>
      </w:r>
    </w:p>
    <w:p>
      <w:pPr>
        <w:spacing w:after="120"/>
      </w:pPr>
      <w:r>
        <w:rPr>
          <w:b/>
          <w:bCs/>
        </w:rPr>
        <w:t xml:space="preserve">Application lifecycle management (ALM): </w:t>
      </w:r>
      <w:r>
        <w:t xml:space="preserve">The set of processes used to plan, build, test, deploy, and retire applications, including those built on low-code platforms.</w:t>
      </w:r>
    </w:p>
    <w:p>
      <w:pPr>
        <w:spacing w:after="120"/>
      </w:pPr>
      <w:r>
        <w:rPr>
          <w:b/>
          <w:bCs/>
        </w:rPr>
        <w:t xml:space="preserve">Connector / integration: </w:t>
      </w:r>
      <w:r>
        <w:t xml:space="preserve">A pre-built component that allows a low-code application to communicate with an external system, database, or third-party service.</w:t>
      </w:r>
    </w:p>
    <w:p>
      <w:pPr>
        <w:pStyle w:val="Heading1"/>
        <w:spacing w:after="100" w:before="200"/>
      </w:pPr>
      <w:r>
        <w:rPr>
          <w:b/>
          <w:bCs/>
        </w:rPr>
        <w:t xml:space="preserve">19. References</w:t>
      </w:r>
    </w:p>
    <w:p>
      <w:pPr>
        <w:spacing w:after="120" w:line="276"/>
        <w:jc w:val="both"/>
      </w:pPr>
      <w:r>
        <w:t xml:space="preserve">Gartner. Magic Quadrant for Enterprise Low-Code Application Platforms. Industry analyst evaluation covering vendor capabilities, market positioning, and completeness of vision across leading low-code providers.</w:t>
      </w:r>
    </w:p>
    <w:p>
      <w:pPr>
        <w:spacing w:after="120" w:line="276"/>
        <w:jc w:val="both"/>
      </w:pPr>
      <w:r>
        <w:t xml:space="preserve">Forrester Research. The State of Low-Code Development. Analyst research tracking adoption drivers, buyer priorities, and platform capability trends across enterprise and mid-market segments.</w:t>
      </w:r>
    </w:p>
    <w:p>
      <w:pPr>
        <w:spacing w:after="120" w:line="276"/>
        <w:jc w:val="both"/>
      </w:pPr>
      <w:r>
        <w:t xml:space="preserve">Vendor documentation and product overviews published by leading low-code application platform providers, used to identify common platform capabilities and terminology referenced throughout this report.</w:t>
      </w:r>
    </w:p>
    <w:p>
      <w:pPr>
        <w:spacing w:after="120" w:line="276"/>
        <w:jc w:val="both"/>
      </w:pPr>
      <w:r>
        <w:t xml:space="preserve">Industry case studies and press releases from organizations across financial services, manufacturing, healthcare, and retail describing real-world low-code implementation outcomes.</w:t>
      </w:r>
    </w:p>
    <w:p>
      <w:pPr>
        <w:spacing w:after="120" w:line="276"/>
        <w:jc w:val="both"/>
      </w:pPr>
      <w:r>
        <w:t xml:space="preserve">General industry commentary and technical articles discussing the convergence of low-code, no-code, and artificial intelligence in application development tooling.</w:t>
      </w:r>
    </w:p>
    <w:p>
      <w:pPr>
        <w:pStyle w:val="Heading1"/>
        <w:spacing w:after="100" w:before="200"/>
      </w:pPr>
      <w:r>
        <w:rPr>
          <w:b/>
          <w:bCs/>
        </w:rPr>
        <w:t xml:space="preserve">20. Acknowledgements</w:t>
      </w:r>
    </w:p>
    <w:p>
      <w:pPr>
        <w:spacing w:after="120" w:line="276"/>
        <w:jc w:val="both"/>
      </w:pPr>
      <w:r>
        <w:t xml:space="preserve">This survey report was prepared as part of coursework on Low Code Development. The author gratefully acknowledges the guidance provided during the course of preparing this report, and the publicly available vendor documentation, analyst research, and industry case studies that informed the analysis presented here.</w:t>
      </w:r>
    </w:p>
    <w:sectPr>
      <w:headerReference w:type="default" r:id="rId7"/>
      <w:head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Header"/>
    </w:pPr>
    <w:r>
      <w:pict>
        <v:shapetype id="_x0000_t136" coordsize="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0,21600"/>
          </v:handles>
          <o:lock v:ext="edit" text="t" shapetype="t"/>
        </v:shapetype>
        <v:shape id="WatermarkRegNo" o:spid="_x0000_s1025" type="#_x0000_t136" style="position:absolute;margin-left:0;margin-top:0;width:430pt;height:215pt;rotation:315;z-index:-251658240;mso-position-horizontal:center;mso-position-horizontal-relative:margin;mso-position-vertical:center;mso-position-vertical-relative:margin" o:allowincell="f" fillcolor="silver" stroked="f">
          <v:fill opacity=".5"/>
          <v:textpath style="font-family:&quot;Calibri&quot;;font-size:1pt" string="2116241401049"/>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2026-07-27T08:18:46.272Z</dcterms:created>
  <dcterms:modified xsi:type="dcterms:W3CDTF">2026-07-27T08:18:46.273Z</dcterms:modified>
</cp:coreProperties>
</file>

<file path=docProps/custom.xml><?xml version="1.0" encoding="utf-8"?>
<Properties xmlns="http://schemas.openxmlformats.org/officeDocument/2006/custom-properties" xmlns:vt="http://schemas.openxmlformats.org/officeDocument/2006/docPropsVTypes"/>
</file>