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3864" w:val="clear"/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Assignment 1A — Building &amp; Fine-Tuning a Domain-Specific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e5090" w:val="clear"/>
        <w:spacing w:after="0" w:line="240" w:lineRule="auto"/>
        <w:jc w:val="center"/>
        <w:rPr/>
      </w:pPr>
      <w:r w:rsidDel="00000000" w:rsidR="00000000" w:rsidRPr="00000000">
        <w:rPr>
          <w:i w:val="1"/>
          <w:iCs w:val="1"/>
          <w:color w:val="ddeeff"/>
          <w:rtl w:val="0"/>
        </w:rPr>
        <w:t xml:space="preserve">End-to-End Pipeline: Continual Pre-Training  to  QLoRA Instruction Fine-Tuning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96.0" w:type="dxa"/>
        <w:jc w:val="center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400"/>
      </w:tblPr>
      <w:tblGrid>
        <w:gridCol w:w="3132"/>
        <w:gridCol w:w="3132"/>
        <w:gridCol w:w="3132"/>
        <w:tblGridChange w:id="0">
          <w:tblGrid>
            <w:gridCol w:w="3132"/>
            <w:gridCol w:w="3132"/>
            <w:gridCol w:w="3132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Continual Pre-Training (CPT)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f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QLoRA Instruction Fine-Tuning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f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f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f5e9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c0504d"/>
          <w:sz w:val="21"/>
          <w:szCs w:val="21"/>
        </w:rPr>
      </w:pPr>
      <w:r w:rsidDel="00000000" w:rsidR="00000000" w:rsidRPr="00000000">
        <w:rPr>
          <w:b w:val="1"/>
          <w:bCs w:val="1"/>
          <w:color w:val="c0504d"/>
          <w:sz w:val="21"/>
          <w:szCs w:val="21"/>
          <w:rtl w:val="0"/>
        </w:rPr>
        <w:t xml:space="preserve">Completing this end-to-end pipeline — from raw PDFs to a continually pre-trained, instruction-fine-tuned domain LLM — gives students direct, hands-on experience with the exact workflow used in production AI teams.</w:t>
      </w:r>
    </w:p>
    <w:p w:rsidR="00000000" w:rsidDel="00000000" w:rsidP="00000000" w:rsidRDefault="00000000" w:rsidRPr="00000000" w14:paraId="00000012">
      <w:pPr>
        <w:pStyle w:val="Heading1"/>
        <w:spacing w:before="0" w:line="240" w:lineRule="auto"/>
        <w:rPr>
          <w:color w:val="1a3a5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before="0" w:line="240" w:lineRule="auto"/>
        <w:rPr>
          <w:color w:val="1a3a5c"/>
          <w:sz w:val="32"/>
          <w:szCs w:val="32"/>
        </w:rPr>
      </w:pPr>
      <w:r w:rsidDel="00000000" w:rsidR="00000000" w:rsidRPr="00000000">
        <w:rPr>
          <w:color w:val="1a3a5c"/>
          <w:sz w:val="32"/>
          <w:szCs w:val="32"/>
          <w:rtl w:val="0"/>
        </w:rPr>
        <w:t xml:space="preserve">Domain &amp; Model Selection  </w:t>
      </w:r>
    </w:p>
    <w:p w:rsidR="00000000" w:rsidDel="00000000" w:rsidP="00000000" w:rsidRDefault="00000000" w:rsidRPr="00000000" w14:paraId="00000014">
      <w:pPr>
        <w:spacing w:after="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 one domain from the table below. The same domain corpus is used across both Part A and Part B. Choose the model based on the GPU available. Use the tokenizer of your chosen model throughout — do not mix tokenizers across steps.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eaf2ff" w:val="clear"/>
        <w:spacing w:after="0" w:line="240" w:lineRule="auto"/>
        <w:ind w:left="227" w:right="22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T4 GPU (16 GB VRAM) — available on free Colab. A100 GPU/L40S — BITS remote lab  </w:t>
      </w:r>
    </w:p>
    <w:p w:rsidR="00000000" w:rsidDel="00000000" w:rsidP="00000000" w:rsidRDefault="00000000" w:rsidRPr="00000000" w14:paraId="00000017">
      <w:pPr>
        <w:shd w:fill="eaf2ff" w:val="clear"/>
        <w:spacing w:after="0" w:line="240" w:lineRule="auto"/>
        <w:ind w:left="227" w:right="227" w:firstLine="0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Both model choices use the same assignment pipeline; only scale differs.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eaf2ff" w:val="clear"/>
        <w:spacing w:after="0" w:line="240" w:lineRule="auto"/>
        <w:ind w:left="227" w:right="227" w:firstLine="0"/>
        <w:rPr>
          <w:b w:val="1"/>
          <w:bCs w:val="1"/>
          <w:i w:val="1"/>
          <w:iCs w:val="1"/>
          <w:color w:val="ee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ee0000"/>
          <w:sz w:val="20"/>
          <w:szCs w:val="20"/>
          <w:rtl w:val="0"/>
        </w:rPr>
        <w:t xml:space="preserve">The following table is for your reference. You are free to choose any domain and any model.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96.000000000002" w:type="dxa"/>
        <w:jc w:val="center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400"/>
      </w:tblPr>
      <w:tblGrid>
        <w:gridCol w:w="1350"/>
        <w:gridCol w:w="2191"/>
        <w:gridCol w:w="2191"/>
        <w:gridCol w:w="1832"/>
        <w:gridCol w:w="1832"/>
        <w:tblGridChange w:id="0">
          <w:tblGrid>
            <w:gridCol w:w="1350"/>
            <w:gridCol w:w="2191"/>
            <w:gridCol w:w="2191"/>
            <w:gridCol w:w="1832"/>
            <w:gridCol w:w="1832"/>
          </w:tblGrid>
        </w:tblGridChange>
      </w:tblGrid>
      <w:tr>
        <w:trPr>
          <w:cantSplit w:val="0"/>
          <w:tblHeader w:val="0"/>
        </w:trPr>
        <w:tc>
          <w:tcPr>
            <w:shd w:fill="1a3a5c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 Case /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T4 GPU — Choice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T4 GPU — Choice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A100 GPU — Choice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A100 GPU — Choice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  Medical &amp;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Clinical Literature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BioGPT-Large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(347 M)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microsoft/biogpt-large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GPT-2-Medium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(345 M)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openai-community/gpt2-medium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BioMedLM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(2.7 B)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stanford-crfm/BioMedLM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Mistral-7B-v0.1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(7 B)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mistralai/Mistral-7B-v0.1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  Legal Documents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&amp;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f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SmolLM2-360M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(360 M)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HuggingFaceTB/SmolLM2-360M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f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GPT-2-Medium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(345 M)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openai-community/gpt2-medium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f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Mistral-7B-v0.1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(7 B)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mistralai/Mistral-7B-v0.1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f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Qwen2.5-7B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(7 B)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Qwen/Qwen2.5-7B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Financial Reports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&amp; Filings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SmolLM2-360M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(360 M)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HuggingFaceTB/SmolLM2-360M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TinyLlama-1.1B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(1.1 B)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TinyLlama/TinyLlama-1.1B-…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Qwen2.5-7B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(7 B)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Qwen/Qwen2.5-7B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Mistral-7B-v0.1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(7 B)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mistralai/Mistral-7B-v0.1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Manufacturing &amp;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Technical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f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TinyLlama-1.1B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(1.1 B)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TinyLlama/TinyLlama-1.1B-…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f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SmolLM2-360M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(360 M)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HuggingFaceTB/SmolLM2-360M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f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Mistral-7B-v0.1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(7 B)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mistralai/Mistral-7B-v0.1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f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LLaMA-3-8B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(8 B)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meta-llama/Meta-Llama-3-8B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HR Policy &amp;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Corporate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SmolLM2-1.7B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(1.7 B)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HuggingFaceTB/SmolLM2-1.7B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TinyLlama-1.1B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(1.1 B)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TinyLlama/TinyLlama-1.1B-…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Gemma-7B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(7 B)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google/gemma-7b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LLaMA-3-8B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(8 B)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meta-llama/Meta-Llama-3-8B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f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  Scientific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Research Papers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f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SmolLM2-360M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(360 M)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HuggingFaceTB/SmolLM2-360M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f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GPT-2-Large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(774 M)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openai-community/gpt2-large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f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LLaMA-3-8B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(8 B)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meta-llama/Meta-Llama-3-8B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7ff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Qwen2.5-7B</w:t>
            </w: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(7 B)</w:t>
            </w: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br w:type="textWrapping"/>
              <w:t xml:space="preserve">Qwen/Qwen2.5-7B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3cd" w:val="clear"/>
        <w:spacing w:after="0" w:line="240" w:lineRule="auto"/>
        <w:ind w:left="227" w:right="227" w:firstLine="0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Always load the tokenizer paired with your chosen model using AutoTokenizer.from_pretrained('&lt;model-id&gt;'). Do not swap tokenizers between models — vocabulary alignment breaks CPT.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color w:val="1f3864"/>
          <w:sz w:val="32"/>
          <w:szCs w:val="32"/>
          <w:rtl w:val="0"/>
        </w:rPr>
        <w:t xml:space="preserve">PART A — Continual Pre-Training (CPT) for Domain Adaptation  [10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color w:val="1a5276"/>
          <w:rtl w:val="0"/>
        </w:rPr>
        <w:t xml:space="preserve">Step 1 — Data Collection, Extraction &amp; Cleaning  [2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Collect at least 10–50 MB of domain-specific PDF documents. You can increase the size of your data if high performance GPU is available. Write a Python script to extract text page-by-page from all PDFs and save each document as a .txt file. Use any standard PDF extraction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Apply the following four-step cleaning pipeline to the raw extracted 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Length filter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discard documents with fewer than 50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Repetition filter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remove documents where more than 30% of paragraphs are duplicated within the same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Deduplication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exact-match documents across the entire corpus using a seen-set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Language filter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retain only English-language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Report document counts before and after each cleaning step. Identify which step had the greatest impact on corpus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color w:val="1a5276"/>
          <w:rtl w:val="0"/>
        </w:rPr>
        <w:t xml:space="preserve">Step 2 — Tokenization &amp; Packed Dataset  [2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Load the tokenizer of your chosen model. Do not train a custom tokenizer — the model's pretrained tokenizer must be reused to preserve vocabulary alignment during CPT.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BOS / EOS tokens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wrap each document's token IDs with a Beginning-of-Sequence token at the start and an End-of-Sequence token at the end, marking document boundaries within packed 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Sequence packing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concatenate all token IDs from all documents into one flat stream, then slice into fixed-length chunks matching the model's context window. This avoids padding and achieves full GPU 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Save as Parquet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 total token count, average document length in tokens, and total number of packed sequences produced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color w:val="1a5276"/>
          <w:rtl w:val="0"/>
        </w:rPr>
        <w:t xml:space="preserve">Step 3 — Model Loading &amp; Architecture Inspection  [2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Load your chosen model using AutoModelForCausalLM.from_pretrained(). For T4 GPU, load in bfloat16 precision with gradient checkpointing enabled to reduce memory. For A100, full precision or bfloat16 both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Parameter count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 total trainable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Architecture audit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 number of decoder layers, attention heads, hidden size, and head dimension from the model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lm_head check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 the output dimension of the prediction head equals the vocabulary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Baseline inference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run the pretrained base model (before any CPT) on 3 domain-specific prompts and save the generated text as a comparison baseline for Step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color w:val="1a5276"/>
          <w:rtl w:val="0"/>
        </w:rPr>
        <w:t xml:space="preserve">Step 4 — CPT Training Loop &amp; Loss Analysis  [2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Wrap the packed dataset in a PyTorch Dataset class and configure training hyperparameters. Run CPT using the HuggingFace Trainer with the AdamW optimiser and a linear learning rate warmup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Loss callback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 a custom TrainerCallback to capture training loss at every logging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Loss curve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plot loss vs. training step; verify loss decreases from the pretrained starting point (~2–4) and identify where it plateaus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Checkpoint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save the final CPT model and tokenizer to persistent storage for use in Step 5 and Part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8e1" w:val="clear"/>
        <w:spacing w:after="80" w:before="80" w:lineRule="auto"/>
        <w:ind w:left="227" w:right="227" w:firstLine="0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A pretrained model starts CPT at loss ≈ 2–4. If your starting loss is ≈ 10.8, the model initialised randomly — investigate your loading step. If loss diverges or spikes, reduce the learning rate or increase warmup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color w:val="117a65"/>
          <w:rtl w:val="0"/>
        </w:rPr>
        <w:t xml:space="preserve">Step 5 — Evaluation: Perplexity &amp; Catastrophic Forgetting  [2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eaf2ff" w:val="clear"/>
        <w:spacing w:after="40" w:lineRule="auto"/>
        <w:ind w:left="454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Perplexity (PPL) measures how well a language model predicts a held-out text sample. Formally, it is the exponentiated average negative log-likelihood per token: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eaf2ff" w:val="clear"/>
        <w:spacing w:after="40" w:lineRule="auto"/>
        <w:ind w:left="454" w:firstLine="0"/>
        <w:rPr/>
      </w:pPr>
      <w:r w:rsidDel="00000000" w:rsidR="00000000" w:rsidRPr="00000000">
        <w:rPr>
          <w:b w:val="1"/>
          <w:bCs w:val="1"/>
          <w:color w:val="7d3c98"/>
          <w:sz w:val="21"/>
          <w:szCs w:val="21"/>
          <w:rtl w:val="0"/>
        </w:rPr>
        <w:t xml:space="preserve">PPL  =  exp( −(1/N) × Σ log P(tᵢ | t₁ … tᵢ₋₁)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eaf2ff" w:val="clear"/>
        <w:spacing w:after="40" w:lineRule="auto"/>
        <w:ind w:left="454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where N is the total number of tokens and P(tᵢ | …) is the model's predicted probability of the correct next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eaf2ff" w:val="clear"/>
        <w:spacing w:after="40" w:lineRule="auto"/>
        <w:ind w:left="45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eaf2ff" w:val="clear"/>
        <w:spacing w:after="40" w:lineRule="auto"/>
        <w:ind w:left="454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Intuitively: a model that always predicts the next token correctly achieves PPL → 1 (perfect). A randomly initialised model over a vocabulary of ~49K tokens scores PPL ≈ 49,000. A well-pretrained general model scores PPL ≈ 15–30 on standard benchmarks.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eaf2ff" w:val="clear"/>
        <w:spacing w:after="40" w:lineRule="auto"/>
        <w:ind w:left="45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eaf2ff" w:val="clear"/>
        <w:spacing w:after="40" w:lineRule="auto"/>
        <w:ind w:left="454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After CPT on your domain, PPL on domain text should decrease — confirming that the model has learned the statistical patterns, vocabulary, and sentence structure of your specific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eaf2ff" w:val="clear"/>
        <w:spacing w:after="40" w:lineRule="auto"/>
        <w:ind w:left="454" w:firstLine="0"/>
        <w:rPr/>
      </w:pPr>
      <w:r w:rsidDel="00000000" w:rsidR="00000000" w:rsidRPr="00000000">
        <w:rPr>
          <w:b w:val="1"/>
          <w:bCs w:val="1"/>
          <w:color w:val="7d3c98"/>
          <w:sz w:val="21"/>
          <w:szCs w:val="21"/>
          <w:rtl w:val="0"/>
        </w:rPr>
        <w:t xml:space="preserve">Key rule: Lower domain PPL after CPT = successful domain adaptation.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color w:val="117a65"/>
          <w:sz w:val="23"/>
          <w:szCs w:val="23"/>
          <w:rtl w:val="0"/>
        </w:rPr>
        <w:t xml:space="preserve">5A — Domain Perplexity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Reserve 10% of your domain corpus as a held-out evaluation set (never seen during CPT training). Compute perplexity on this split for both the base model and the CPT model by running a standard cross-entropy loss evaluation loop (no gradients, no training).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 model PPL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perplexity of the original pretrained model on your domain evaluation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CPT model PPL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perplexity of the CPT model on the same evaluation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PPL reduction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 the percentage drop. A successful CPT run typically reduces domain perplexity by 10–40%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color w:val="117a65"/>
          <w:sz w:val="23"/>
          <w:szCs w:val="23"/>
          <w:rtl w:val="0"/>
        </w:rPr>
        <w:t xml:space="preserve">5B — Catastrophic Forgetting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CPT can cause the model to lose general world knowledge it gained during original pretraining. This is called catastrophic forgetting. Test both models on 3 general-domain prompts completely unrelated to your domain — 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"The capital of France is…"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"Water boils at…"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"The speed of light is approximately…"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Present outputs side-by-side in a comparison table with a verdict column (Retained / Degraded).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3cd" w:val="clear"/>
        <w:spacing w:after="80" w:before="80" w:lineRule="auto"/>
        <w:ind w:left="227" w:right="227" w:firstLine="0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If general outputs degrade significantly, your learning rate was too high or training ran too many steps. Reducing the learning rate by 10× or halving max_steps usually mitigates forgetting while preserving domain gains.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color w:val="1f3864"/>
          <w:rtl w:val="0"/>
        </w:rPr>
        <w:t xml:space="preserve">Part A — Mark Allocation</w:t>
      </w:r>
      <w:r w:rsidDel="00000000" w:rsidR="00000000" w:rsidRPr="00000000">
        <w:rPr>
          <w:rtl w:val="0"/>
        </w:rPr>
      </w:r>
    </w:p>
    <w:tbl>
      <w:tblPr>
        <w:tblStyle w:val="Table3"/>
        <w:tblW w:w="9396.000000000002" w:type="dxa"/>
        <w:jc w:val="center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400"/>
      </w:tblPr>
      <w:tblGrid>
        <w:gridCol w:w="3131"/>
        <w:gridCol w:w="3133"/>
        <w:gridCol w:w="3132"/>
        <w:tblGridChange w:id="0">
          <w:tblGrid>
            <w:gridCol w:w="3131"/>
            <w:gridCol w:w="3133"/>
            <w:gridCol w:w="3132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Collection, Extraction &amp;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7a6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f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f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Tokenization &amp; Packed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7a6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 Loading &amp; Architecture 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7a6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f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f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CPT Training Loop &amp; Loss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7a6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Perplexity Evaluation + Catastrophic Forgetting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7a6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color w:val="1f3864"/>
          <w:sz w:val="32"/>
          <w:szCs w:val="32"/>
          <w:rtl w:val="0"/>
        </w:rPr>
        <w:t xml:space="preserve">PART B — Instruction Fine-Tuning with QLoRA  [5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This part extends the CPT model from Part A into an instruction-following assistant for your domain. Use the same domain corpus and the CPT checkpoint saved in Step 4. You may use the same model or switch to a larger model if A100 is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color w:val="6e2f8a"/>
          <w:rtl w:val="0"/>
        </w:rPr>
        <w:t xml:space="preserve">Part B1 — Instruction Dataset Creation  [2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Transform your cleaned domain corpus into a structured instruction dataset suitable for supervised fine-tuning.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Source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cleaned .txt files from Part A, Step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Format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generate at least 100 instruction-response pairs in JSONL format; each entry must contain instruction (a user question) and response (an answer derived directly from your domain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Method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manual/heuristic generation or synthetic generation via an external LLM. If using an LLM, include the exact prompt template you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divide into 80% training and 20% evaluation sets; report the counts for both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eaf2ff" w:val="clear"/>
        <w:spacing w:after="80" w:before="80" w:lineRule="auto"/>
        <w:ind w:left="227" w:right="227" w:firstLine="0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Synthetic generation tip: 'Read the text below and generate 10 instruction-response pairs in JSON format based ONLY on this text. Each entry must have instruction and response keys.'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color w:val="6e2f8a"/>
          <w:rtl w:val="0"/>
        </w:rPr>
        <w:t xml:space="preserve">Part B2 — QLoRA Fine-Tuning with 3 Adapter Configurations  [2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Apply QLoRA using the transformers, peft, and bitsandbytes (4-bit quantization) libraries. Train three adapters with different LoRA configurations on your instruction training set using SFTTrainer formatted with the model's chat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96.0" w:type="dxa"/>
        <w:jc w:val="center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400"/>
      </w:tblPr>
      <w:tblGrid>
        <w:gridCol w:w="1880"/>
        <w:gridCol w:w="1879"/>
        <w:gridCol w:w="1879"/>
        <w:gridCol w:w="1879"/>
        <w:gridCol w:w="1879"/>
        <w:tblGridChange w:id="0">
          <w:tblGrid>
            <w:gridCol w:w="1880"/>
            <w:gridCol w:w="1879"/>
            <w:gridCol w:w="1879"/>
            <w:gridCol w:w="1879"/>
            <w:gridCol w:w="1879"/>
          </w:tblGrid>
        </w:tblGridChange>
      </w:tblGrid>
      <w:tr>
        <w:trPr>
          <w:cantSplit w:val="0"/>
          <w:tblHeader w:val="0"/>
        </w:trPr>
        <w:tc>
          <w:tcPr>
            <w:shd w:fill="6e2f8a" w:val="clea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e2f8a" w:val="clea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LoRA Rank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e2f8a" w:val="clea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LoRA 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e2f8a" w:val="clea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e2f8a" w:val="clea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Adapter A  (Low Capacity)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q_proj, v_proj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Faster; may underfit complex domain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ef8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Adapter B  (Balanced)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ef8" w:val="clea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ef8" w:val="clea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ef8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q_proj, v_proj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ef8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Good quality / cost trade-off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Adapter C  (High Capacity)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q_proj, v_proj, o_proj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Best quality; slower; higher VRAM usage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color w:val="6e2f8a"/>
          <w:rtl w:val="0"/>
        </w:rPr>
        <w:t xml:space="preserve">Part B3 — Evaluation &amp; Comparative Analysis  [1 Mark]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Run each of the three trained adapters (A, B, C) on the same 3 domain prompts and present all outputs in a single comparison table. For each adapter, note which one produced the most accurate and domain-relevant response.</w:t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color w:val="1f3864"/>
          <w:rtl w:val="0"/>
        </w:rPr>
        <w:t xml:space="preserve">Part B — Mark Allocation</w:t>
      </w:r>
      <w:r w:rsidDel="00000000" w:rsidR="00000000" w:rsidRPr="00000000">
        <w:rPr>
          <w:rtl w:val="0"/>
        </w:rPr>
      </w:r>
    </w:p>
    <w:tbl>
      <w:tblPr>
        <w:tblStyle w:val="Table5"/>
        <w:tblW w:w="9396.000000000002" w:type="dxa"/>
        <w:jc w:val="center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400"/>
      </w:tblPr>
      <w:tblGrid>
        <w:gridCol w:w="3131"/>
        <w:gridCol w:w="3133"/>
        <w:gridCol w:w="3132"/>
        <w:tblGridChange w:id="0">
          <w:tblGrid>
            <w:gridCol w:w="3131"/>
            <w:gridCol w:w="3133"/>
            <w:gridCol w:w="3132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 Dataset Creation (min. 100 pairs, JSONL, 80/20 split)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7a6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0ff" w:val="clea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0ff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QLoRA Fine-Tuning — 3 Adapter Configurations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7a6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Evaluation &amp; Comparative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5e9" w:val="clea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7a65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r w:rsidDel="00000000" w:rsidR="00000000" w:rsidRPr="00000000">
        <w:rPr>
          <w:color w:val="1f3864"/>
          <w:sz w:val="32"/>
          <w:szCs w:val="32"/>
          <w:rtl w:val="0"/>
        </w:rPr>
        <w:t xml:space="preserve">Submission Deliverables</w:t>
      </w:r>
      <w:r w:rsidDel="00000000" w:rsidR="00000000" w:rsidRPr="00000000">
        <w:rPr>
          <w:rtl w:val="0"/>
        </w:rPr>
      </w:r>
    </w:p>
    <w:tbl>
      <w:tblPr>
        <w:tblStyle w:val="Table6"/>
        <w:tblW w:w="9396.0" w:type="dxa"/>
        <w:jc w:val="center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400"/>
      </w:tblPr>
      <w:tblGrid>
        <w:gridCol w:w="4700"/>
        <w:gridCol w:w="4696"/>
        <w:tblGridChange w:id="0">
          <w:tblGrid>
            <w:gridCol w:w="4700"/>
            <w:gridCol w:w="469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Assignment_PartA.ipynb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Steps 1–5: Data pipeline → CPT training → Perplexity + Forgetting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f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Assignment_PartB.ipynb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f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B1–B3: Instruction dataset, QLoRA adapter training, comparative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instruction_dataset.jsonl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 instruction-response pairs (minimum 100 entries, with train/eval split)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f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18"/>
                <w:szCs w:val="18"/>
                <w:rtl w:val="0"/>
              </w:rPr>
              <w:t xml:space="preserve">domain_corpus/*.txt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f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Cleaned domain text files produced in Step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color w:val="7f8c8d"/>
          <w:rtl w:val="0"/>
        </w:rPr>
        <w:t xml:space="preserve">Optional Extension (No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0fff0" w:val="clear"/>
        <w:spacing w:after="80" w:before="80" w:lineRule="auto"/>
        <w:ind w:left="227" w:right="227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Build a CLI or notebook chat loop that routes domain queries to different adapters using keyword rules or intent-based routing. Explore task-specific adapters (summarization, Q&amp;A, sentiment) and demonstrate multi-adapter switching with model.set_adapter().</w:t>
      </w:r>
    </w:p>
    <w:p w:rsidR="00000000" w:rsidDel="00000000" w:rsidP="00000000" w:rsidRDefault="00000000" w:rsidRPr="00000000" w14:paraId="000000CE">
      <w:pPr>
        <w:pStyle w:val="Heading2"/>
        <w:rPr>
          <w:color w:val="7f8c8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EHFoMzbbwcly4iVxdnbeOYpaRQ==">CgMxLjA4AHIhMWw4bkQ5akozMC05SnlyUkFFdTlyMmdpd2pPNmxHVUNS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