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8"/>
        </w:rPr>
        <w:t>Final Report</w:t>
      </w:r>
    </w:p>
    <w:p>
      <w:pPr>
        <w:spacing w:after="360"/>
      </w:pPr>
      <w:r>
        <w:rPr>
          <w:rFonts w:ascii="Calibri" w:hAnsi="Calibri"/>
          <w:color w:val="555555"/>
          <w:sz w:val="24"/>
        </w:rPr>
        <w:t>Assignment 1A — Medical &amp; Clinical Literature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pPr>
            <w:r>
              <w:rPr>
                <w:b/>
                <w:color w:val="1F4D78"/>
              </w:rPr>
              <w:t xml:space="preserve">Submission status  </w:t>
            </w:r>
            <w:r>
              <w:t>The data pipeline, notebooks, starter corpus, instruction dataset, architecture, and execution guide are complete. GPU-dependent CPT/QLoRA metrics must be generated in Colab/A100 by enabling the documented run flags.</w:t>
            </w:r>
          </w:p>
        </w:tc>
      </w:tr>
    </w:tbl>
    <w:p>
      <w:pPr>
        <w:spacing w:after="40"/>
      </w:pPr>
    </w:p>
    <w:p>
      <w:pPr>
        <w:pStyle w:val="Heading1"/>
      </w:pPr>
      <w:r>
        <w:t>1. Executive summary</w:t>
      </w:r>
    </w:p>
    <w:p>
      <w:r>
        <w:t>This project implements an end-to-end domain adaptation and instruction fine-tuning workflow for medical and clinical literature. BioGPT-Large was selected because it is the T4 Choice 1 in the supplied domain/model table and is small enough for a conservative Colab experiment. The implementation preserves tokenizer alignment throughout CPT and SFT, uses BOS/EOS boundaries for packed sequences, and compares three QLoRA adapter capacities.</w:t>
      </w:r>
    </w:p>
    <w:p>
      <w:pPr>
        <w:pStyle w:val="Heading1"/>
      </w:pPr>
      <w:r>
        <w:t>2. Domain and model selection</w:t>
      </w:r>
    </w:p>
    <w:tbl>
      <w:tblPr>
        <w:tblW w:type="dxa" w:w="9360"/>
        <w:jc w:val="left"/>
        <w:tblLayout w:type="fixed"/>
        <w:tblLook w:firstColumn="1" w:firstRow="1" w:lastColumn="0" w:lastRow="0" w:noHBand="0" w:noVBand="1" w:val="04A0"/>
        <w:tblInd w:w="120" w:type="dxa"/>
      </w:tblPr>
      <w:tblGrid>
        <w:gridCol w:w="2880"/>
        <w:gridCol w:w="6480"/>
      </w:tblGrid>
      <w:tr>
        <w:tc>
          <w:tcPr>
            <w:tcW w:type="dxa" w:w="2880"/>
            <w:tcMar>
              <w:top w:w="80" w:type="dxa"/>
              <w:start w:w="120" w:type="dxa"/>
              <w:bottom w:w="80" w:type="dxa"/>
              <w:end w:w="120" w:type="dxa"/>
            </w:tcMar>
            <w:vAlign w:val="center"/>
            <w:shd w:fill="E8EEF5"/>
          </w:tcPr>
          <w:p>
            <w:pPr>
              <w:spacing w:after="0"/>
            </w:pPr>
            <w:r>
              <w:rPr>
                <w:b/>
                <w:color w:val="0B2545"/>
              </w:rPr>
              <w:t>Item</w:t>
            </w:r>
          </w:p>
        </w:tc>
        <w:tc>
          <w:tcPr>
            <w:tcW w:type="dxa" w:w="6480"/>
            <w:tcMar>
              <w:top w:w="80" w:type="dxa"/>
              <w:start w:w="120" w:type="dxa"/>
              <w:bottom w:w="80" w:type="dxa"/>
              <w:end w:w="120" w:type="dxa"/>
            </w:tcMar>
            <w:vAlign w:val="center"/>
            <w:shd w:fill="E8EEF5"/>
          </w:tcPr>
          <w:p>
            <w:pPr>
              <w:spacing w:after="0"/>
            </w:pPr>
            <w:r>
              <w:rPr>
                <w:b/>
                <w:color w:val="0B2545"/>
              </w:rPr>
              <w:t>Selected value</w:t>
            </w:r>
          </w:p>
        </w:tc>
      </w:tr>
      <w:tr>
        <w:tc>
          <w:tcPr>
            <w:tcW w:type="dxa" w:w="2880"/>
            <w:tcMar>
              <w:top w:w="80" w:type="dxa"/>
              <w:start w:w="120" w:type="dxa"/>
              <w:bottom w:w="80" w:type="dxa"/>
              <w:end w:w="120" w:type="dxa"/>
            </w:tcMar>
          </w:tcPr>
          <w:p>
            <w:pPr>
              <w:spacing w:after="0"/>
            </w:pPr>
            <w:r>
              <w:t>Domain</w:t>
            </w:r>
          </w:p>
        </w:tc>
        <w:tc>
          <w:tcPr>
            <w:tcW w:type="dxa" w:w="6480"/>
            <w:tcMar>
              <w:top w:w="80" w:type="dxa"/>
              <w:start w:w="120" w:type="dxa"/>
              <w:bottom w:w="80" w:type="dxa"/>
              <w:end w:w="120" w:type="dxa"/>
            </w:tcMar>
          </w:tcPr>
          <w:p>
            <w:pPr>
              <w:spacing w:after="0"/>
            </w:pPr>
            <w:r>
              <w:t>Medical &amp; Clinical Literature</w:t>
            </w:r>
          </w:p>
        </w:tc>
      </w:tr>
      <w:tr>
        <w:tc>
          <w:tcPr>
            <w:tcW w:type="dxa" w:w="2880"/>
            <w:tcMar>
              <w:top w:w="80" w:type="dxa"/>
              <w:start w:w="120" w:type="dxa"/>
              <w:bottom w:w="80" w:type="dxa"/>
              <w:end w:w="120" w:type="dxa"/>
            </w:tcMar>
          </w:tcPr>
          <w:p>
            <w:pPr>
              <w:spacing w:after="0"/>
            </w:pPr>
            <w:r>
              <w:t>T4 model</w:t>
            </w:r>
          </w:p>
        </w:tc>
        <w:tc>
          <w:tcPr>
            <w:tcW w:type="dxa" w:w="6480"/>
            <w:tcMar>
              <w:top w:w="80" w:type="dxa"/>
              <w:start w:w="120" w:type="dxa"/>
              <w:bottom w:w="80" w:type="dxa"/>
              <w:end w:w="120" w:type="dxa"/>
            </w:tcMar>
          </w:tcPr>
          <w:p>
            <w:pPr>
              <w:spacing w:after="0"/>
            </w:pPr>
            <w:r>
              <w:t>BioGPT-Large — 347M</w:t>
            </w:r>
          </w:p>
        </w:tc>
      </w:tr>
      <w:tr>
        <w:tc>
          <w:tcPr>
            <w:tcW w:type="dxa" w:w="2880"/>
            <w:tcMar>
              <w:top w:w="80" w:type="dxa"/>
              <w:start w:w="120" w:type="dxa"/>
              <w:bottom w:w="80" w:type="dxa"/>
              <w:end w:w="120" w:type="dxa"/>
            </w:tcMar>
          </w:tcPr>
          <w:p>
            <w:pPr>
              <w:spacing w:after="0"/>
            </w:pPr>
            <w:r>
              <w:t>Model ID</w:t>
            </w:r>
          </w:p>
        </w:tc>
        <w:tc>
          <w:tcPr>
            <w:tcW w:type="dxa" w:w="6480"/>
            <w:tcMar>
              <w:top w:w="80" w:type="dxa"/>
              <w:start w:w="120" w:type="dxa"/>
              <w:bottom w:w="80" w:type="dxa"/>
              <w:end w:w="120" w:type="dxa"/>
            </w:tcMar>
          </w:tcPr>
          <w:p>
            <w:pPr>
              <w:spacing w:after="0"/>
            </w:pPr>
            <w:r>
              <w:t>microsoft/biogpt-large</w:t>
            </w:r>
          </w:p>
        </w:tc>
      </w:tr>
      <w:tr>
        <w:tc>
          <w:tcPr>
            <w:tcW w:type="dxa" w:w="2880"/>
            <w:tcMar>
              <w:top w:w="80" w:type="dxa"/>
              <w:start w:w="120" w:type="dxa"/>
              <w:bottom w:w="80" w:type="dxa"/>
              <w:end w:w="120" w:type="dxa"/>
            </w:tcMar>
          </w:tcPr>
          <w:p>
            <w:pPr>
              <w:spacing w:after="0"/>
            </w:pPr>
            <w:r>
              <w:t>A100 Choice 1</w:t>
            </w:r>
          </w:p>
        </w:tc>
        <w:tc>
          <w:tcPr>
            <w:tcW w:type="dxa" w:w="6480"/>
            <w:tcMar>
              <w:top w:w="80" w:type="dxa"/>
              <w:start w:w="120" w:type="dxa"/>
              <w:bottom w:w="80" w:type="dxa"/>
              <w:end w:w="120" w:type="dxa"/>
            </w:tcMar>
          </w:tcPr>
          <w:p>
            <w:pPr>
              <w:spacing w:after="0"/>
            </w:pPr>
            <w:r>
              <w:t>BioMedLM — 2.7B — stanford-crfm/BioMedLM</w:t>
            </w:r>
          </w:p>
        </w:tc>
      </w:tr>
      <w:tr>
        <w:tc>
          <w:tcPr>
            <w:tcW w:type="dxa" w:w="2880"/>
            <w:tcMar>
              <w:top w:w="80" w:type="dxa"/>
              <w:start w:w="120" w:type="dxa"/>
              <w:bottom w:w="80" w:type="dxa"/>
              <w:end w:w="120" w:type="dxa"/>
            </w:tcMar>
          </w:tcPr>
          <w:p>
            <w:pPr>
              <w:spacing w:after="0"/>
            </w:pPr>
            <w:r>
              <w:t>Tokenizer rule</w:t>
            </w:r>
          </w:p>
        </w:tc>
        <w:tc>
          <w:tcPr>
            <w:tcW w:type="dxa" w:w="6480"/>
            <w:tcMar>
              <w:top w:w="80" w:type="dxa"/>
              <w:start w:w="120" w:type="dxa"/>
              <w:bottom w:w="80" w:type="dxa"/>
              <w:end w:w="120" w:type="dxa"/>
            </w:tcMar>
          </w:tcPr>
          <w:p>
            <w:pPr>
              <w:spacing w:after="0"/>
            </w:pPr>
            <w:r>
              <w:t>AutoTokenizer paired with the selected model; no custom tokenizer</w:t>
            </w:r>
          </w:p>
        </w:tc>
      </w:tr>
    </w:tbl>
    <w:p>
      <w:pPr>
        <w:spacing w:after="40"/>
      </w:pPr>
    </w:p>
    <w:p>
      <w:pPr>
        <w:pStyle w:val="Heading1"/>
      </w:pPr>
      <w:r>
        <w:t>3. Part A results</w:t>
      </w:r>
    </w:p>
    <w:p>
      <w:pPr>
        <w:pStyle w:val="Heading2"/>
      </w:pPr>
      <w:r>
        <w:t>3.1 Data extraction and cleaning</w:t>
      </w:r>
    </w:p>
    <w:tbl>
      <w:tblPr>
        <w:tblW w:type="dxa" w:w="9360"/>
        <w:jc w:val="left"/>
        <w:tblLayout w:type="fixed"/>
        <w:tblLook w:firstColumn="1" w:firstRow="1" w:lastColumn="0" w:lastRow="0" w:noHBand="0" w:noVBand="1" w:val="04A0"/>
        <w:tblInd w:w="120" w:type="dxa"/>
      </w:tblPr>
      <w:tblGrid>
        <w:gridCol w:w="3888"/>
        <w:gridCol w:w="5472"/>
      </w:tblGrid>
      <w:tr>
        <w:tc>
          <w:tcPr>
            <w:tcW w:type="dxa" w:w="3888"/>
            <w:tcMar>
              <w:top w:w="80" w:type="dxa"/>
              <w:start w:w="120" w:type="dxa"/>
              <w:bottom w:w="80" w:type="dxa"/>
              <w:end w:w="120" w:type="dxa"/>
            </w:tcMar>
            <w:vAlign w:val="center"/>
            <w:shd w:fill="E8EEF5"/>
          </w:tcPr>
          <w:p>
            <w:pPr>
              <w:spacing w:after="0"/>
            </w:pPr>
            <w:r>
              <w:rPr>
                <w:b/>
                <w:color w:val="0B2545"/>
              </w:rPr>
              <w:t>Metric</w:t>
            </w:r>
          </w:p>
        </w:tc>
        <w:tc>
          <w:tcPr>
            <w:tcW w:type="dxa" w:w="5472"/>
            <w:tcMar>
              <w:top w:w="80" w:type="dxa"/>
              <w:start w:w="120" w:type="dxa"/>
              <w:bottom w:w="80" w:type="dxa"/>
              <w:end w:w="120" w:type="dxa"/>
            </w:tcMar>
            <w:vAlign w:val="center"/>
            <w:shd w:fill="E8EEF5"/>
          </w:tcPr>
          <w:p>
            <w:pPr>
              <w:spacing w:after="0"/>
            </w:pPr>
            <w:r>
              <w:rPr>
                <w:b/>
                <w:color w:val="0B2545"/>
              </w:rPr>
              <w:t>Observed local starter-corpus result</w:t>
            </w:r>
          </w:p>
        </w:tc>
      </w:tr>
      <w:tr>
        <w:tc>
          <w:tcPr>
            <w:tcW w:type="dxa" w:w="3888"/>
            <w:tcMar>
              <w:top w:w="80" w:type="dxa"/>
              <w:start w:w="120" w:type="dxa"/>
              <w:bottom w:w="80" w:type="dxa"/>
              <w:end w:w="120" w:type="dxa"/>
            </w:tcMar>
          </w:tcPr>
          <w:p>
            <w:pPr>
              <w:spacing w:after="0"/>
            </w:pPr>
            <w:r>
              <w:t>PDF documents</w:t>
            </w:r>
          </w:p>
        </w:tc>
        <w:tc>
          <w:tcPr>
            <w:tcW w:type="dxa" w:w="5472"/>
            <w:tcMar>
              <w:top w:w="80" w:type="dxa"/>
              <w:start w:w="120" w:type="dxa"/>
              <w:bottom w:w="80" w:type="dxa"/>
              <w:end w:w="120" w:type="dxa"/>
            </w:tcMar>
          </w:tcPr>
          <w:p>
            <w:pPr>
              <w:spacing w:after="0"/>
            </w:pPr>
            <w:r>
              <w:t>12</w:t>
            </w:r>
          </w:p>
        </w:tc>
      </w:tr>
      <w:tr>
        <w:tc>
          <w:tcPr>
            <w:tcW w:type="dxa" w:w="3888"/>
            <w:tcMar>
              <w:top w:w="80" w:type="dxa"/>
              <w:start w:w="120" w:type="dxa"/>
              <w:bottom w:w="80" w:type="dxa"/>
              <w:end w:w="120" w:type="dxa"/>
            </w:tcMar>
          </w:tcPr>
          <w:p>
            <w:pPr>
              <w:spacing w:after="0"/>
            </w:pPr>
            <w:r>
              <w:t>Pages extracted</w:t>
            </w:r>
          </w:p>
        </w:tc>
        <w:tc>
          <w:tcPr>
            <w:tcW w:type="dxa" w:w="5472"/>
            <w:tcMar>
              <w:top w:w="80" w:type="dxa"/>
              <w:start w:w="120" w:type="dxa"/>
              <w:bottom w:w="80" w:type="dxa"/>
              <w:end w:w="120" w:type="dxa"/>
            </w:tcMar>
          </w:tcPr>
          <w:p>
            <w:pPr>
              <w:spacing w:after="0"/>
            </w:pPr>
            <w:r>
              <w:t>12</w:t>
            </w:r>
          </w:p>
        </w:tc>
      </w:tr>
      <w:tr>
        <w:tc>
          <w:tcPr>
            <w:tcW w:type="dxa" w:w="3888"/>
            <w:tcMar>
              <w:top w:w="80" w:type="dxa"/>
              <w:start w:w="120" w:type="dxa"/>
              <w:bottom w:w="80" w:type="dxa"/>
              <w:end w:w="120" w:type="dxa"/>
            </w:tcMar>
          </w:tcPr>
          <w:p>
            <w:pPr>
              <w:spacing w:after="0"/>
            </w:pPr>
            <w:r>
              <w:t>Raw extracted characters</w:t>
            </w:r>
          </w:p>
        </w:tc>
        <w:tc>
          <w:tcPr>
            <w:tcW w:type="dxa" w:w="5472"/>
            <w:tcMar>
              <w:top w:w="80" w:type="dxa"/>
              <w:start w:w="120" w:type="dxa"/>
              <w:bottom w:w="80" w:type="dxa"/>
              <w:end w:w="120" w:type="dxa"/>
            </w:tcMar>
          </w:tcPr>
          <w:p>
            <w:pPr>
              <w:spacing w:after="0"/>
            </w:pPr>
            <w:r>
              <w:t>14,817</w:t>
            </w:r>
          </w:p>
        </w:tc>
      </w:tr>
      <w:tr>
        <w:tc>
          <w:tcPr>
            <w:tcW w:type="dxa" w:w="3888"/>
            <w:tcMar>
              <w:top w:w="80" w:type="dxa"/>
              <w:start w:w="120" w:type="dxa"/>
              <w:bottom w:w="80" w:type="dxa"/>
              <w:end w:w="120" w:type="dxa"/>
            </w:tcMar>
          </w:tcPr>
          <w:p>
            <w:pPr>
              <w:spacing w:after="0"/>
            </w:pPr>
            <w:r>
              <w:t>Before cleaning</w:t>
            </w:r>
          </w:p>
        </w:tc>
        <w:tc>
          <w:tcPr>
            <w:tcW w:type="dxa" w:w="5472"/>
            <w:tcMar>
              <w:top w:w="80" w:type="dxa"/>
              <w:start w:w="120" w:type="dxa"/>
              <w:bottom w:w="80" w:type="dxa"/>
              <w:end w:w="120" w:type="dxa"/>
            </w:tcMar>
          </w:tcPr>
          <w:p>
            <w:pPr>
              <w:spacing w:after="0"/>
            </w:pPr>
            <w:r>
              <w:t>12</w:t>
            </w:r>
          </w:p>
        </w:tc>
      </w:tr>
      <w:tr>
        <w:tc>
          <w:tcPr>
            <w:tcW w:type="dxa" w:w="3888"/>
            <w:tcMar>
              <w:top w:w="80" w:type="dxa"/>
              <w:start w:w="120" w:type="dxa"/>
              <w:bottom w:w="80" w:type="dxa"/>
              <w:end w:w="120" w:type="dxa"/>
            </w:tcMar>
          </w:tcPr>
          <w:p>
            <w:pPr>
              <w:spacing w:after="0"/>
            </w:pPr>
            <w:r>
              <w:t>After length filter</w:t>
            </w:r>
          </w:p>
        </w:tc>
        <w:tc>
          <w:tcPr>
            <w:tcW w:type="dxa" w:w="5472"/>
            <w:tcMar>
              <w:top w:w="80" w:type="dxa"/>
              <w:start w:w="120" w:type="dxa"/>
              <w:bottom w:w="80" w:type="dxa"/>
              <w:end w:w="120" w:type="dxa"/>
            </w:tcMar>
          </w:tcPr>
          <w:p>
            <w:pPr>
              <w:spacing w:after="0"/>
            </w:pPr>
            <w:r>
              <w:t>12</w:t>
            </w:r>
          </w:p>
        </w:tc>
      </w:tr>
      <w:tr>
        <w:tc>
          <w:tcPr>
            <w:tcW w:type="dxa" w:w="3888"/>
            <w:tcMar>
              <w:top w:w="80" w:type="dxa"/>
              <w:start w:w="120" w:type="dxa"/>
              <w:bottom w:w="80" w:type="dxa"/>
              <w:end w:w="120" w:type="dxa"/>
            </w:tcMar>
          </w:tcPr>
          <w:p>
            <w:pPr>
              <w:spacing w:after="0"/>
            </w:pPr>
            <w:r>
              <w:t>After repetition filter</w:t>
            </w:r>
          </w:p>
        </w:tc>
        <w:tc>
          <w:tcPr>
            <w:tcW w:type="dxa" w:w="5472"/>
            <w:tcMar>
              <w:top w:w="80" w:type="dxa"/>
              <w:start w:w="120" w:type="dxa"/>
              <w:bottom w:w="80" w:type="dxa"/>
              <w:end w:w="120" w:type="dxa"/>
            </w:tcMar>
          </w:tcPr>
          <w:p>
            <w:pPr>
              <w:spacing w:after="0"/>
            </w:pPr>
            <w:r>
              <w:t>12</w:t>
            </w:r>
          </w:p>
        </w:tc>
      </w:tr>
      <w:tr>
        <w:tc>
          <w:tcPr>
            <w:tcW w:type="dxa" w:w="3888"/>
            <w:tcMar>
              <w:top w:w="80" w:type="dxa"/>
              <w:start w:w="120" w:type="dxa"/>
              <w:bottom w:w="80" w:type="dxa"/>
              <w:end w:w="120" w:type="dxa"/>
            </w:tcMar>
          </w:tcPr>
          <w:p>
            <w:pPr>
              <w:spacing w:after="0"/>
            </w:pPr>
            <w:r>
              <w:t>After exact-match deduplication</w:t>
            </w:r>
          </w:p>
        </w:tc>
        <w:tc>
          <w:tcPr>
            <w:tcW w:type="dxa" w:w="5472"/>
            <w:tcMar>
              <w:top w:w="80" w:type="dxa"/>
              <w:start w:w="120" w:type="dxa"/>
              <w:bottom w:w="80" w:type="dxa"/>
              <w:end w:w="120" w:type="dxa"/>
            </w:tcMar>
          </w:tcPr>
          <w:p>
            <w:pPr>
              <w:spacing w:after="0"/>
            </w:pPr>
            <w:r>
              <w:t>12</w:t>
            </w:r>
          </w:p>
        </w:tc>
      </w:tr>
      <w:tr>
        <w:tc>
          <w:tcPr>
            <w:tcW w:type="dxa" w:w="3888"/>
            <w:tcMar>
              <w:top w:w="80" w:type="dxa"/>
              <w:start w:w="120" w:type="dxa"/>
              <w:bottom w:w="80" w:type="dxa"/>
              <w:end w:w="120" w:type="dxa"/>
            </w:tcMar>
          </w:tcPr>
          <w:p>
            <w:pPr>
              <w:spacing w:after="0"/>
            </w:pPr>
            <w:r>
              <w:t>After English filter</w:t>
            </w:r>
          </w:p>
        </w:tc>
        <w:tc>
          <w:tcPr>
            <w:tcW w:type="dxa" w:w="5472"/>
            <w:tcMar>
              <w:top w:w="80" w:type="dxa"/>
              <w:start w:w="120" w:type="dxa"/>
              <w:bottom w:w="80" w:type="dxa"/>
              <w:end w:w="120" w:type="dxa"/>
            </w:tcMar>
          </w:tcPr>
          <w:p>
            <w:pPr>
              <w:spacing w:after="0"/>
            </w:pPr>
            <w:r>
              <w:t>12</w:t>
            </w:r>
          </w:p>
        </w:tc>
      </w:tr>
      <w:tr>
        <w:tc>
          <w:tcPr>
            <w:tcW w:type="dxa" w:w="3888"/>
            <w:tcMar>
              <w:top w:w="80" w:type="dxa"/>
              <w:start w:w="120" w:type="dxa"/>
              <w:bottom w:w="80" w:type="dxa"/>
              <w:end w:w="120" w:type="dxa"/>
            </w:tcMar>
          </w:tcPr>
          <w:p>
            <w:pPr>
              <w:spacing w:after="0"/>
            </w:pPr>
            <w:r>
              <w:t>Greatest impact</w:t>
            </w:r>
          </w:p>
        </w:tc>
        <w:tc>
          <w:tcPr>
            <w:tcW w:type="dxa" w:w="5472"/>
            <w:tcMar>
              <w:top w:w="80" w:type="dxa"/>
              <w:start w:w="120" w:type="dxa"/>
              <w:bottom w:w="80" w:type="dxa"/>
              <w:end w:w="120" w:type="dxa"/>
            </w:tcMar>
          </w:tcPr>
          <w:p>
            <w:pPr>
              <w:spacing w:after="0"/>
            </w:pPr>
            <w:r>
              <w:t>None; no starter document was removed</w:t>
            </w:r>
          </w:p>
        </w:tc>
      </w:tr>
    </w:tbl>
    <w:p>
      <w:pPr>
        <w:spacing w:after="40"/>
      </w:pPr>
    </w:p>
    <w:p>
      <w:r>
        <w:t>The included corpus is a small reproducible educational starter set for validating code paths. The assignment’s 10–50 MB corpus requirement is addressed in the notebooks and guide: add licensed/open-access medical PDFs to raw_pdfs/ before the marked run. The cleaning implementation then reports the true counts for that enlarged corpus.</w:t>
      </w:r>
    </w:p>
    <w:p>
      <w:pPr>
        <w:pStyle w:val="Heading2"/>
      </w:pPr>
      <w:r>
        <w:t>3.2 Tokenization and packing</w:t>
      </w:r>
    </w:p>
    <w:p>
      <w:r>
        <w:t>The implementation calls AutoTokenizer.from_pretrained('microsoft/biogpt-large'), adds a BOS/EOS boundary around every document, concatenates the token IDs, slices fixed-length chunks, and writes input_ids and attention_mask columns to Parquet. Token totals and average document length are produced at runtime because they depend on the final 10–50 MB corpus.</w:t>
      </w:r>
    </w:p>
    <w:p>
      <w:pPr>
        <w:pStyle w:val="Heading2"/>
      </w:pPr>
      <w:r>
        <w:t>3.3 Model audit and baseline</w:t>
      </w:r>
    </w:p>
    <w:p>
      <w:r>
        <w:t>The model-audit function reports total and trainable parameters, decoder layers, attention heads, hidden size, head dimension, vocabulary size, lm_head output dimension, and a boolean equality check. Three medical prompts are generated and saved before CPT for a fair baseline.</w:t>
      </w:r>
    </w:p>
    <w:p>
      <w:pPr>
        <w:pStyle w:val="Heading2"/>
      </w:pPr>
      <w:r>
        <w:t>3.4 CPT and evaluation</w:t>
      </w:r>
    </w:p>
    <w:p>
      <w:r>
        <w:t>CPT uses Hugging Face Trainer with AdamW, a linear warm-up schedule, gradient checkpointing, and a custom loss callback. The final checkpoint and tokenizer are saved for Part B. The evaluation cell computes base and CPT perplexity on the same 10% held-out text and compares general prompts for catastrophic forgetting. These values are intentionally not fabricated: they require downloading the model and running on a supported GPU.</w:t>
      </w:r>
    </w:p>
    <w:p>
      <w:pPr>
        <w:pStyle w:val="Heading1"/>
      </w:pPr>
      <w:r>
        <w:t>4. Part B results</w:t>
      </w:r>
    </w:p>
    <w:p>
      <w:pPr>
        <w:pStyle w:val="Heading2"/>
      </w:pPr>
      <w:r>
        <w:t>4.1 Instruction dataset</w:t>
      </w:r>
    </w:p>
    <w:tbl>
      <w:tblPr>
        <w:tblW w:type="dxa" w:w="9360"/>
        <w:jc w:val="left"/>
        <w:tblLayout w:type="fixed"/>
        <w:tblLook w:firstColumn="1" w:firstRow="1" w:lastColumn="0" w:lastRow="0" w:noHBand="0" w:noVBand="1" w:val="04A0"/>
        <w:tblInd w:w="120" w:type="dxa"/>
      </w:tblPr>
      <w:tblGrid>
        <w:gridCol w:w="3312"/>
        <w:gridCol w:w="6048"/>
      </w:tblGrid>
      <w:tr>
        <w:tc>
          <w:tcPr>
            <w:tcW w:type="dxa" w:w="3312"/>
            <w:tcMar>
              <w:top w:w="80" w:type="dxa"/>
              <w:start w:w="120" w:type="dxa"/>
              <w:bottom w:w="80" w:type="dxa"/>
              <w:end w:w="120" w:type="dxa"/>
            </w:tcMar>
            <w:vAlign w:val="center"/>
            <w:shd w:fill="E8EEF5"/>
          </w:tcPr>
          <w:p>
            <w:pPr>
              <w:spacing w:after="0"/>
            </w:pPr>
            <w:r>
              <w:rPr>
                <w:b/>
                <w:color w:val="0B2545"/>
              </w:rPr>
              <w:t>Metric</w:t>
            </w:r>
          </w:p>
        </w:tc>
        <w:tc>
          <w:tcPr>
            <w:tcW w:type="dxa" w:w="6048"/>
            <w:tcMar>
              <w:top w:w="80" w:type="dxa"/>
              <w:start w:w="120" w:type="dxa"/>
              <w:bottom w:w="80" w:type="dxa"/>
              <w:end w:w="120" w:type="dxa"/>
            </w:tcMar>
            <w:vAlign w:val="center"/>
            <w:shd w:fill="E8EEF5"/>
          </w:tcPr>
          <w:p>
            <w:pPr>
              <w:spacing w:after="0"/>
            </w:pPr>
            <w:r>
              <w:rPr>
                <w:b/>
                <w:color w:val="0B2545"/>
              </w:rPr>
              <w:t>Value</w:t>
            </w:r>
          </w:p>
        </w:tc>
      </w:tr>
      <w:tr>
        <w:tc>
          <w:tcPr>
            <w:tcW w:type="dxa" w:w="3312"/>
            <w:tcMar>
              <w:top w:w="80" w:type="dxa"/>
              <w:start w:w="120" w:type="dxa"/>
              <w:bottom w:w="80" w:type="dxa"/>
              <w:end w:w="120" w:type="dxa"/>
            </w:tcMar>
          </w:tcPr>
          <w:p>
            <w:pPr>
              <w:spacing w:after="0"/>
            </w:pPr>
            <w:r>
              <w:t>Total pairs</w:t>
            </w:r>
          </w:p>
        </w:tc>
        <w:tc>
          <w:tcPr>
            <w:tcW w:type="dxa" w:w="6048"/>
            <w:tcMar>
              <w:top w:w="80" w:type="dxa"/>
              <w:start w:w="120" w:type="dxa"/>
              <w:bottom w:w="80" w:type="dxa"/>
              <w:end w:w="120" w:type="dxa"/>
            </w:tcMar>
          </w:tcPr>
          <w:p>
            <w:pPr>
              <w:spacing w:after="0"/>
            </w:pPr>
            <w:r>
              <w:t>120</w:t>
            </w:r>
          </w:p>
        </w:tc>
      </w:tr>
      <w:tr>
        <w:tc>
          <w:tcPr>
            <w:tcW w:type="dxa" w:w="3312"/>
            <w:tcMar>
              <w:top w:w="80" w:type="dxa"/>
              <w:start w:w="120" w:type="dxa"/>
              <w:bottom w:w="80" w:type="dxa"/>
              <w:end w:w="120" w:type="dxa"/>
            </w:tcMar>
          </w:tcPr>
          <w:p>
            <w:pPr>
              <w:spacing w:after="0"/>
            </w:pPr>
            <w:r>
              <w:t>Training split</w:t>
            </w:r>
          </w:p>
        </w:tc>
        <w:tc>
          <w:tcPr>
            <w:tcW w:type="dxa" w:w="6048"/>
            <w:tcMar>
              <w:top w:w="80" w:type="dxa"/>
              <w:start w:w="120" w:type="dxa"/>
              <w:bottom w:w="80" w:type="dxa"/>
              <w:end w:w="120" w:type="dxa"/>
            </w:tcMar>
          </w:tcPr>
          <w:p>
            <w:pPr>
              <w:spacing w:after="0"/>
            </w:pPr>
            <w:r>
              <w:t>96 (80%)</w:t>
            </w:r>
          </w:p>
        </w:tc>
      </w:tr>
      <w:tr>
        <w:tc>
          <w:tcPr>
            <w:tcW w:type="dxa" w:w="3312"/>
            <w:tcMar>
              <w:top w:w="80" w:type="dxa"/>
              <w:start w:w="120" w:type="dxa"/>
              <w:bottom w:w="80" w:type="dxa"/>
              <w:end w:w="120" w:type="dxa"/>
            </w:tcMar>
          </w:tcPr>
          <w:p>
            <w:pPr>
              <w:spacing w:after="0"/>
            </w:pPr>
            <w:r>
              <w:t>Evaluation split</w:t>
            </w:r>
          </w:p>
        </w:tc>
        <w:tc>
          <w:tcPr>
            <w:tcW w:type="dxa" w:w="6048"/>
            <w:tcMar>
              <w:top w:w="80" w:type="dxa"/>
              <w:start w:w="120" w:type="dxa"/>
              <w:bottom w:w="80" w:type="dxa"/>
              <w:end w:w="120" w:type="dxa"/>
            </w:tcMar>
          </w:tcPr>
          <w:p>
            <w:pPr>
              <w:spacing w:after="0"/>
            </w:pPr>
            <w:r>
              <w:t>24 (20%)</w:t>
            </w:r>
          </w:p>
        </w:tc>
      </w:tr>
      <w:tr>
        <w:tc>
          <w:tcPr>
            <w:tcW w:type="dxa" w:w="3312"/>
            <w:tcMar>
              <w:top w:w="80" w:type="dxa"/>
              <w:start w:w="120" w:type="dxa"/>
              <w:bottom w:w="80" w:type="dxa"/>
              <w:end w:w="120" w:type="dxa"/>
            </w:tcMar>
          </w:tcPr>
          <w:p>
            <w:pPr>
              <w:spacing w:after="0"/>
            </w:pPr>
            <w:r>
              <w:t>Format</w:t>
            </w:r>
          </w:p>
        </w:tc>
        <w:tc>
          <w:tcPr>
            <w:tcW w:type="dxa" w:w="6048"/>
            <w:tcMar>
              <w:top w:w="80" w:type="dxa"/>
              <w:start w:w="120" w:type="dxa"/>
              <w:bottom w:w="80" w:type="dxa"/>
              <w:end w:w="120" w:type="dxa"/>
            </w:tcMar>
          </w:tcPr>
          <w:p>
            <w:pPr>
              <w:spacing w:after="0"/>
            </w:pPr>
            <w:r>
              <w:t>JSONL with instruction, response, source, split</w:t>
            </w:r>
          </w:p>
        </w:tc>
      </w:tr>
      <w:tr>
        <w:tc>
          <w:tcPr>
            <w:tcW w:type="dxa" w:w="3312"/>
            <w:tcMar>
              <w:top w:w="80" w:type="dxa"/>
              <w:start w:w="120" w:type="dxa"/>
              <w:bottom w:w="80" w:type="dxa"/>
              <w:end w:w="120" w:type="dxa"/>
            </w:tcMar>
          </w:tcPr>
          <w:p>
            <w:pPr>
              <w:spacing w:after="0"/>
            </w:pPr>
            <w:r>
              <w:t>Content</w:t>
            </w:r>
          </w:p>
        </w:tc>
        <w:tc>
          <w:tcPr>
            <w:tcW w:type="dxa" w:w="6048"/>
            <w:tcMar>
              <w:top w:w="80" w:type="dxa"/>
              <w:start w:w="120" w:type="dxa"/>
              <w:bottom w:w="80" w:type="dxa"/>
              <w:end w:w="120" w:type="dxa"/>
            </w:tcMar>
          </w:tcPr>
          <w:p>
            <w:pPr>
              <w:spacing w:after="0"/>
            </w:pPr>
            <w:r>
              <w:t>Educational, source-grounded medical concepts</w:t>
            </w:r>
          </w:p>
        </w:tc>
      </w:tr>
    </w:tbl>
    <w:p>
      <w:pPr>
        <w:spacing w:after="40"/>
      </w:pPr>
    </w:p>
    <w:p>
      <w:pPr>
        <w:pStyle w:val="Heading2"/>
      </w:pPr>
      <w:r>
        <w:t>4.2 QLoRA configurations</w:t>
      </w:r>
    </w:p>
    <w:tbl>
      <w:tblPr>
        <w:tblW w:type="dxa" w:w="9360"/>
        <w:jc w:val="left"/>
        <w:tblLayout w:type="fixed"/>
        <w:tblLook w:firstColumn="1" w:firstRow="1" w:lastColumn="0" w:lastRow="0" w:noHBand="0" w:noVBand="1" w:val="04A0"/>
        <w:tblInd w:w="120" w:type="dxa"/>
      </w:tblPr>
      <w:tblGrid>
        <w:gridCol w:w="1296"/>
        <w:gridCol w:w="1008"/>
        <w:gridCol w:w="1152"/>
        <w:gridCol w:w="3024"/>
        <w:gridCol w:w="2880"/>
      </w:tblGrid>
      <w:tr>
        <w:tc>
          <w:tcPr>
            <w:tcW w:type="dxa" w:w="1296"/>
            <w:tcMar>
              <w:top w:w="80" w:type="dxa"/>
              <w:start w:w="120" w:type="dxa"/>
              <w:bottom w:w="80" w:type="dxa"/>
              <w:end w:w="120" w:type="dxa"/>
            </w:tcMar>
            <w:vAlign w:val="center"/>
            <w:shd w:fill="E8EEF5"/>
          </w:tcPr>
          <w:p>
            <w:pPr>
              <w:spacing w:after="0"/>
            </w:pPr>
            <w:r>
              <w:rPr>
                <w:b/>
                <w:color w:val="0B2545"/>
              </w:rPr>
              <w:t>Adapter</w:t>
            </w:r>
          </w:p>
        </w:tc>
        <w:tc>
          <w:tcPr>
            <w:tcW w:type="dxa" w:w="1008"/>
            <w:tcMar>
              <w:top w:w="80" w:type="dxa"/>
              <w:start w:w="120" w:type="dxa"/>
              <w:bottom w:w="80" w:type="dxa"/>
              <w:end w:w="120" w:type="dxa"/>
            </w:tcMar>
            <w:vAlign w:val="center"/>
            <w:shd w:fill="E8EEF5"/>
          </w:tcPr>
          <w:p>
            <w:pPr>
              <w:spacing w:after="0"/>
            </w:pPr>
            <w:r>
              <w:rPr>
                <w:b/>
                <w:color w:val="0B2545"/>
              </w:rPr>
              <w:t>Rank</w:t>
            </w:r>
          </w:p>
        </w:tc>
        <w:tc>
          <w:tcPr>
            <w:tcW w:type="dxa" w:w="1152"/>
            <w:tcMar>
              <w:top w:w="80" w:type="dxa"/>
              <w:start w:w="120" w:type="dxa"/>
              <w:bottom w:w="80" w:type="dxa"/>
              <w:end w:w="120" w:type="dxa"/>
            </w:tcMar>
            <w:vAlign w:val="center"/>
            <w:shd w:fill="E8EEF5"/>
          </w:tcPr>
          <w:p>
            <w:pPr>
              <w:spacing w:after="0"/>
            </w:pPr>
            <w:r>
              <w:rPr>
                <w:b/>
                <w:color w:val="0B2545"/>
              </w:rPr>
              <w:t>Alpha</w:t>
            </w:r>
          </w:p>
        </w:tc>
        <w:tc>
          <w:tcPr>
            <w:tcW w:type="dxa" w:w="3024"/>
            <w:tcMar>
              <w:top w:w="80" w:type="dxa"/>
              <w:start w:w="120" w:type="dxa"/>
              <w:bottom w:w="80" w:type="dxa"/>
              <w:end w:w="120" w:type="dxa"/>
            </w:tcMar>
            <w:vAlign w:val="center"/>
            <w:shd w:fill="E8EEF5"/>
          </w:tcPr>
          <w:p>
            <w:pPr>
              <w:spacing w:after="0"/>
            </w:pPr>
            <w:r>
              <w:rPr>
                <w:b/>
                <w:color w:val="0B2545"/>
              </w:rPr>
              <w:t>Target modules</w:t>
            </w:r>
          </w:p>
        </w:tc>
        <w:tc>
          <w:tcPr>
            <w:tcW w:type="dxa" w:w="2880"/>
            <w:tcMar>
              <w:top w:w="80" w:type="dxa"/>
              <w:start w:w="120" w:type="dxa"/>
              <w:bottom w:w="80" w:type="dxa"/>
              <w:end w:w="120" w:type="dxa"/>
            </w:tcMar>
            <w:vAlign w:val="center"/>
            <w:shd w:fill="E8EEF5"/>
          </w:tcPr>
          <w:p>
            <w:pPr>
              <w:spacing w:after="0"/>
            </w:pPr>
            <w:r>
              <w:rPr>
                <w:b/>
                <w:color w:val="0B2545"/>
              </w:rPr>
              <w:t>Expected role</w:t>
            </w:r>
          </w:p>
        </w:tc>
      </w:tr>
      <w:tr>
        <w:tc>
          <w:tcPr>
            <w:tcW w:type="dxa" w:w="1296"/>
            <w:tcMar>
              <w:top w:w="80" w:type="dxa"/>
              <w:start w:w="120" w:type="dxa"/>
              <w:bottom w:w="80" w:type="dxa"/>
              <w:end w:w="120" w:type="dxa"/>
            </w:tcMar>
          </w:tcPr>
          <w:p>
            <w:pPr>
              <w:spacing w:after="0"/>
            </w:pPr>
            <w:r>
              <w:t>A</w:t>
            </w:r>
          </w:p>
        </w:tc>
        <w:tc>
          <w:tcPr>
            <w:tcW w:type="dxa" w:w="1008"/>
            <w:tcMar>
              <w:top w:w="80" w:type="dxa"/>
              <w:start w:w="120" w:type="dxa"/>
              <w:bottom w:w="80" w:type="dxa"/>
              <w:end w:w="120" w:type="dxa"/>
            </w:tcMar>
          </w:tcPr>
          <w:p>
            <w:pPr>
              <w:spacing w:after="0"/>
            </w:pPr>
            <w:r>
              <w:t>8</w:t>
            </w:r>
          </w:p>
        </w:tc>
        <w:tc>
          <w:tcPr>
            <w:tcW w:type="dxa" w:w="1152"/>
            <w:tcMar>
              <w:top w:w="80" w:type="dxa"/>
              <w:start w:w="120" w:type="dxa"/>
              <w:bottom w:w="80" w:type="dxa"/>
              <w:end w:w="120" w:type="dxa"/>
            </w:tcMar>
          </w:tcPr>
          <w:p>
            <w:pPr>
              <w:spacing w:after="0"/>
            </w:pPr>
            <w:r>
              <w:t>16</w:t>
            </w:r>
          </w:p>
        </w:tc>
        <w:tc>
          <w:tcPr>
            <w:tcW w:type="dxa" w:w="3024"/>
            <w:tcMar>
              <w:top w:w="80" w:type="dxa"/>
              <w:start w:w="120" w:type="dxa"/>
              <w:bottom w:w="80" w:type="dxa"/>
              <w:end w:w="120" w:type="dxa"/>
            </w:tcMar>
          </w:tcPr>
          <w:p>
            <w:pPr>
              <w:spacing w:after="0"/>
            </w:pPr>
            <w:r>
              <w:t>q_proj, v_proj</w:t>
            </w:r>
          </w:p>
        </w:tc>
        <w:tc>
          <w:tcPr>
            <w:tcW w:type="dxa" w:w="2880"/>
            <w:tcMar>
              <w:top w:w="80" w:type="dxa"/>
              <w:start w:w="120" w:type="dxa"/>
              <w:bottom w:w="80" w:type="dxa"/>
              <w:end w:w="120" w:type="dxa"/>
            </w:tcMar>
          </w:tcPr>
          <w:p>
            <w:pPr>
              <w:spacing w:after="0"/>
            </w:pPr>
            <w:r>
              <w:t>Fast; possible underfitting</w:t>
            </w:r>
          </w:p>
        </w:tc>
      </w:tr>
      <w:tr>
        <w:tc>
          <w:tcPr>
            <w:tcW w:type="dxa" w:w="1296"/>
            <w:tcMar>
              <w:top w:w="80" w:type="dxa"/>
              <w:start w:w="120" w:type="dxa"/>
              <w:bottom w:w="80" w:type="dxa"/>
              <w:end w:w="120" w:type="dxa"/>
            </w:tcMar>
          </w:tcPr>
          <w:p>
            <w:pPr>
              <w:spacing w:after="0"/>
            </w:pPr>
            <w:r>
              <w:t>B</w:t>
            </w:r>
          </w:p>
        </w:tc>
        <w:tc>
          <w:tcPr>
            <w:tcW w:type="dxa" w:w="1008"/>
            <w:tcMar>
              <w:top w:w="80" w:type="dxa"/>
              <w:start w:w="120" w:type="dxa"/>
              <w:bottom w:w="80" w:type="dxa"/>
              <w:end w:w="120" w:type="dxa"/>
            </w:tcMar>
          </w:tcPr>
          <w:p>
            <w:pPr>
              <w:spacing w:after="0"/>
            </w:pPr>
            <w:r>
              <w:t>16</w:t>
            </w:r>
          </w:p>
        </w:tc>
        <w:tc>
          <w:tcPr>
            <w:tcW w:type="dxa" w:w="1152"/>
            <w:tcMar>
              <w:top w:w="80" w:type="dxa"/>
              <w:start w:w="120" w:type="dxa"/>
              <w:bottom w:w="80" w:type="dxa"/>
              <w:end w:w="120" w:type="dxa"/>
            </w:tcMar>
          </w:tcPr>
          <w:p>
            <w:pPr>
              <w:spacing w:after="0"/>
            </w:pPr>
            <w:r>
              <w:t>32</w:t>
            </w:r>
          </w:p>
        </w:tc>
        <w:tc>
          <w:tcPr>
            <w:tcW w:type="dxa" w:w="3024"/>
            <w:tcMar>
              <w:top w:w="80" w:type="dxa"/>
              <w:start w:w="120" w:type="dxa"/>
              <w:bottom w:w="80" w:type="dxa"/>
              <w:end w:w="120" w:type="dxa"/>
            </w:tcMar>
          </w:tcPr>
          <w:p>
            <w:pPr>
              <w:spacing w:after="0"/>
            </w:pPr>
            <w:r>
              <w:t>q_proj, v_proj</w:t>
            </w:r>
          </w:p>
        </w:tc>
        <w:tc>
          <w:tcPr>
            <w:tcW w:type="dxa" w:w="2880"/>
            <w:tcMar>
              <w:top w:w="80" w:type="dxa"/>
              <w:start w:w="120" w:type="dxa"/>
              <w:bottom w:w="80" w:type="dxa"/>
              <w:end w:w="120" w:type="dxa"/>
            </w:tcMar>
          </w:tcPr>
          <w:p>
            <w:pPr>
              <w:spacing w:after="0"/>
            </w:pPr>
            <w:r>
              <w:t>Balanced baseline</w:t>
            </w:r>
          </w:p>
        </w:tc>
      </w:tr>
      <w:tr>
        <w:tc>
          <w:tcPr>
            <w:tcW w:type="dxa" w:w="1296"/>
            <w:tcMar>
              <w:top w:w="80" w:type="dxa"/>
              <w:start w:w="120" w:type="dxa"/>
              <w:bottom w:w="80" w:type="dxa"/>
              <w:end w:w="120" w:type="dxa"/>
            </w:tcMar>
          </w:tcPr>
          <w:p>
            <w:pPr>
              <w:spacing w:after="0"/>
            </w:pPr>
            <w:r>
              <w:t>C</w:t>
            </w:r>
          </w:p>
        </w:tc>
        <w:tc>
          <w:tcPr>
            <w:tcW w:type="dxa" w:w="1008"/>
            <w:tcMar>
              <w:top w:w="80" w:type="dxa"/>
              <w:start w:w="120" w:type="dxa"/>
              <w:bottom w:w="80" w:type="dxa"/>
              <w:end w:w="120" w:type="dxa"/>
            </w:tcMar>
          </w:tcPr>
          <w:p>
            <w:pPr>
              <w:spacing w:after="0"/>
            </w:pPr>
            <w:r>
              <w:t>32</w:t>
            </w:r>
          </w:p>
        </w:tc>
        <w:tc>
          <w:tcPr>
            <w:tcW w:type="dxa" w:w="1152"/>
            <w:tcMar>
              <w:top w:w="80" w:type="dxa"/>
              <w:start w:w="120" w:type="dxa"/>
              <w:bottom w:w="80" w:type="dxa"/>
              <w:end w:w="120" w:type="dxa"/>
            </w:tcMar>
          </w:tcPr>
          <w:p>
            <w:pPr>
              <w:spacing w:after="0"/>
            </w:pPr>
            <w:r>
              <w:t>32</w:t>
            </w:r>
          </w:p>
        </w:tc>
        <w:tc>
          <w:tcPr>
            <w:tcW w:type="dxa" w:w="3024"/>
            <w:tcMar>
              <w:top w:w="80" w:type="dxa"/>
              <w:start w:w="120" w:type="dxa"/>
              <w:bottom w:w="80" w:type="dxa"/>
              <w:end w:w="120" w:type="dxa"/>
            </w:tcMar>
          </w:tcPr>
          <w:p>
            <w:pPr>
              <w:spacing w:after="0"/>
            </w:pPr>
            <w:r>
              <w:t>q_proj, v_proj, o_proj</w:t>
            </w:r>
          </w:p>
        </w:tc>
        <w:tc>
          <w:tcPr>
            <w:tcW w:type="dxa" w:w="2880"/>
            <w:tcMar>
              <w:top w:w="80" w:type="dxa"/>
              <w:start w:w="120" w:type="dxa"/>
              <w:bottom w:w="80" w:type="dxa"/>
              <w:end w:w="120" w:type="dxa"/>
            </w:tcMar>
          </w:tcPr>
          <w:p>
            <w:pPr>
              <w:spacing w:after="0"/>
            </w:pPr>
            <w:r>
              <w:t>Highest capacity</w:t>
            </w:r>
          </w:p>
        </w:tc>
      </w:tr>
    </w:tbl>
    <w:p>
      <w:pPr>
        <w:spacing w:after="40"/>
      </w:pPr>
    </w:p>
    <w:p>
      <w:r>
        <w:t>All adapters use 4-bit NF4 quantization, the same training/evaluation split, and the same prompt set. The notebook includes compatibility handling for TRL releases that use processing_class instead of tokenizer.</w:t>
      </w:r>
    </w:p>
    <w:p>
      <w:pPr>
        <w:pStyle w:val="Heading1"/>
      </w:pPr>
      <w:r>
        <w:t>5. Comparative evaluation plan</w:t>
      </w:r>
    </w:p>
    <w:tbl>
      <w:tblPr>
        <w:tblW w:type="dxa" w:w="9360"/>
        <w:jc w:val="left"/>
        <w:tblLayout w:type="fixed"/>
        <w:tblLook w:firstColumn="1" w:firstRow="1" w:lastColumn="0" w:lastRow="0" w:noHBand="0" w:noVBand="1" w:val="04A0"/>
        <w:tblInd w:w="120" w:type="dxa"/>
      </w:tblPr>
      <w:tblGrid>
        <w:gridCol w:w="3024"/>
        <w:gridCol w:w="2088"/>
        <w:gridCol w:w="2088"/>
        <w:gridCol w:w="2160"/>
      </w:tblGrid>
      <w:tr>
        <w:tc>
          <w:tcPr>
            <w:tcW w:type="dxa" w:w="3024"/>
            <w:tcMar>
              <w:top w:w="80" w:type="dxa"/>
              <w:start w:w="120" w:type="dxa"/>
              <w:bottom w:w="80" w:type="dxa"/>
              <w:end w:w="120" w:type="dxa"/>
            </w:tcMar>
            <w:vAlign w:val="center"/>
            <w:shd w:fill="E8EEF5"/>
          </w:tcPr>
          <w:p>
            <w:pPr>
              <w:spacing w:after="0"/>
            </w:pPr>
            <w:r>
              <w:rPr>
                <w:b/>
                <w:color w:val="0B2545"/>
              </w:rPr>
              <w:t>Prompt</w:t>
            </w:r>
          </w:p>
        </w:tc>
        <w:tc>
          <w:tcPr>
            <w:tcW w:type="dxa" w:w="2088"/>
            <w:tcMar>
              <w:top w:w="80" w:type="dxa"/>
              <w:start w:w="120" w:type="dxa"/>
              <w:bottom w:w="80" w:type="dxa"/>
              <w:end w:w="120" w:type="dxa"/>
            </w:tcMar>
            <w:vAlign w:val="center"/>
            <w:shd w:fill="E8EEF5"/>
          </w:tcPr>
          <w:p>
            <w:pPr>
              <w:spacing w:after="0"/>
            </w:pPr>
            <w:r>
              <w:rPr>
                <w:b/>
                <w:color w:val="0B2545"/>
              </w:rPr>
              <w:t>Adapter A</w:t>
            </w:r>
          </w:p>
        </w:tc>
        <w:tc>
          <w:tcPr>
            <w:tcW w:type="dxa" w:w="2088"/>
            <w:tcMar>
              <w:top w:w="80" w:type="dxa"/>
              <w:start w:w="120" w:type="dxa"/>
              <w:bottom w:w="80" w:type="dxa"/>
              <w:end w:w="120" w:type="dxa"/>
            </w:tcMar>
            <w:vAlign w:val="center"/>
            <w:shd w:fill="E8EEF5"/>
          </w:tcPr>
          <w:p>
            <w:pPr>
              <w:spacing w:after="0"/>
            </w:pPr>
            <w:r>
              <w:rPr>
                <w:b/>
                <w:color w:val="0B2545"/>
              </w:rPr>
              <w:t>Adapter B</w:t>
            </w:r>
          </w:p>
        </w:tc>
        <w:tc>
          <w:tcPr>
            <w:tcW w:type="dxa" w:w="2160"/>
            <w:tcMar>
              <w:top w:w="80" w:type="dxa"/>
              <w:start w:w="120" w:type="dxa"/>
              <w:bottom w:w="80" w:type="dxa"/>
              <w:end w:w="120" w:type="dxa"/>
            </w:tcMar>
            <w:vAlign w:val="center"/>
            <w:shd w:fill="E8EEF5"/>
          </w:tcPr>
          <w:p>
            <w:pPr>
              <w:spacing w:after="0"/>
            </w:pPr>
            <w:r>
              <w:rPr>
                <w:b/>
                <w:color w:val="0B2545"/>
              </w:rPr>
              <w:t>Adapter C</w:t>
            </w:r>
          </w:p>
        </w:tc>
      </w:tr>
      <w:tr>
        <w:tc>
          <w:tcPr>
            <w:tcW w:type="dxa" w:w="3024"/>
            <w:tcMar>
              <w:top w:w="80" w:type="dxa"/>
              <w:start w:w="120" w:type="dxa"/>
              <w:bottom w:w="80" w:type="dxa"/>
              <w:end w:w="120" w:type="dxa"/>
            </w:tcMar>
          </w:tcPr>
          <w:p>
            <w:pPr>
              <w:spacing w:after="0"/>
            </w:pPr>
            <w:r>
              <w:t>Repeated measurements in hypertension</w:t>
            </w:r>
          </w:p>
        </w:tc>
        <w:tc>
          <w:tcPr>
            <w:tcW w:type="dxa" w:w="2088"/>
            <w:tcMar>
              <w:top w:w="80" w:type="dxa"/>
              <w:start w:w="120" w:type="dxa"/>
              <w:bottom w:w="80" w:type="dxa"/>
              <w:end w:w="120" w:type="dxa"/>
            </w:tcMar>
          </w:tcPr>
          <w:p>
            <w:pPr>
              <w:spacing w:after="0"/>
            </w:pPr>
            <w:r>
              <w:t>Populate after GPU run</w:t>
            </w:r>
          </w:p>
        </w:tc>
        <w:tc>
          <w:tcPr>
            <w:tcW w:type="dxa" w:w="2088"/>
            <w:tcMar>
              <w:top w:w="80" w:type="dxa"/>
              <w:start w:w="120" w:type="dxa"/>
              <w:bottom w:w="80" w:type="dxa"/>
              <w:end w:w="120" w:type="dxa"/>
            </w:tcMar>
          </w:tcPr>
          <w:p>
            <w:pPr>
              <w:spacing w:after="0"/>
            </w:pPr>
            <w:r>
              <w:t>Populate after GPU run</w:t>
            </w:r>
          </w:p>
        </w:tc>
        <w:tc>
          <w:tcPr>
            <w:tcW w:type="dxa" w:w="2160"/>
            <w:tcMar>
              <w:top w:w="80" w:type="dxa"/>
              <w:start w:w="120" w:type="dxa"/>
              <w:bottom w:w="80" w:type="dxa"/>
              <w:end w:w="120" w:type="dxa"/>
            </w:tcMar>
          </w:tcPr>
          <w:p>
            <w:pPr>
              <w:spacing w:after="0"/>
            </w:pPr>
            <w:r>
              <w:t>Populate after GPU run</w:t>
            </w:r>
          </w:p>
        </w:tc>
      </w:tr>
      <w:tr>
        <w:tc>
          <w:tcPr>
            <w:tcW w:type="dxa" w:w="3024"/>
            <w:tcMar>
              <w:top w:w="80" w:type="dxa"/>
              <w:start w:w="120" w:type="dxa"/>
              <w:bottom w:w="80" w:type="dxa"/>
              <w:end w:w="120" w:type="dxa"/>
            </w:tcMar>
          </w:tcPr>
          <w:p>
            <w:pPr>
              <w:spacing w:after="0"/>
            </w:pPr>
            <w:r>
              <w:t>Sensitivity versus specificity</w:t>
            </w:r>
          </w:p>
        </w:tc>
        <w:tc>
          <w:tcPr>
            <w:tcW w:type="dxa" w:w="2088"/>
            <w:tcMar>
              <w:top w:w="80" w:type="dxa"/>
              <w:start w:w="120" w:type="dxa"/>
              <w:bottom w:w="80" w:type="dxa"/>
              <w:end w:w="120" w:type="dxa"/>
            </w:tcMar>
          </w:tcPr>
          <w:p>
            <w:pPr>
              <w:spacing w:after="0"/>
            </w:pPr>
            <w:r>
              <w:t>Populate after GPU run</w:t>
            </w:r>
          </w:p>
        </w:tc>
        <w:tc>
          <w:tcPr>
            <w:tcW w:type="dxa" w:w="2088"/>
            <w:tcMar>
              <w:top w:w="80" w:type="dxa"/>
              <w:start w:w="120" w:type="dxa"/>
              <w:bottom w:w="80" w:type="dxa"/>
              <w:end w:w="120" w:type="dxa"/>
            </w:tcMar>
          </w:tcPr>
          <w:p>
            <w:pPr>
              <w:spacing w:after="0"/>
            </w:pPr>
            <w:r>
              <w:t>Populate after GPU run</w:t>
            </w:r>
          </w:p>
        </w:tc>
        <w:tc>
          <w:tcPr>
            <w:tcW w:type="dxa" w:w="2160"/>
            <w:tcMar>
              <w:top w:w="80" w:type="dxa"/>
              <w:start w:w="120" w:type="dxa"/>
              <w:bottom w:w="80" w:type="dxa"/>
              <w:end w:w="120" w:type="dxa"/>
            </w:tcMar>
          </w:tcPr>
          <w:p>
            <w:pPr>
              <w:spacing w:after="0"/>
            </w:pPr>
            <w:r>
              <w:t>Populate after GPU run</w:t>
            </w:r>
          </w:p>
        </w:tc>
      </w:tr>
      <w:tr>
        <w:tc>
          <w:tcPr>
            <w:tcW w:type="dxa" w:w="3024"/>
            <w:tcMar>
              <w:top w:w="80" w:type="dxa"/>
              <w:start w:w="120" w:type="dxa"/>
              <w:bottom w:w="80" w:type="dxa"/>
              <w:end w:w="120" w:type="dxa"/>
            </w:tcMar>
          </w:tcPr>
          <w:p>
            <w:pPr>
              <w:spacing w:after="0"/>
            </w:pPr>
            <w:r>
              <w:t>Importance of antimicrobial stewardship</w:t>
            </w:r>
          </w:p>
        </w:tc>
        <w:tc>
          <w:tcPr>
            <w:tcW w:type="dxa" w:w="2088"/>
            <w:tcMar>
              <w:top w:w="80" w:type="dxa"/>
              <w:start w:w="120" w:type="dxa"/>
              <w:bottom w:w="80" w:type="dxa"/>
              <w:end w:w="120" w:type="dxa"/>
            </w:tcMar>
          </w:tcPr>
          <w:p>
            <w:pPr>
              <w:spacing w:after="0"/>
            </w:pPr>
            <w:r>
              <w:t>Populate after GPU run</w:t>
            </w:r>
          </w:p>
        </w:tc>
        <w:tc>
          <w:tcPr>
            <w:tcW w:type="dxa" w:w="2088"/>
            <w:tcMar>
              <w:top w:w="80" w:type="dxa"/>
              <w:start w:w="120" w:type="dxa"/>
              <w:bottom w:w="80" w:type="dxa"/>
              <w:end w:w="120" w:type="dxa"/>
            </w:tcMar>
          </w:tcPr>
          <w:p>
            <w:pPr>
              <w:spacing w:after="0"/>
            </w:pPr>
            <w:r>
              <w:t>Populate after GPU run</w:t>
            </w:r>
          </w:p>
        </w:tc>
        <w:tc>
          <w:tcPr>
            <w:tcW w:type="dxa" w:w="2160"/>
            <w:tcMar>
              <w:top w:w="80" w:type="dxa"/>
              <w:start w:w="120" w:type="dxa"/>
              <w:bottom w:w="80" w:type="dxa"/>
              <w:end w:w="120" w:type="dxa"/>
            </w:tcMar>
          </w:tcPr>
          <w:p>
            <w:pPr>
              <w:spacing w:after="0"/>
            </w:pPr>
            <w:r>
              <w:t>Populate after GPU run</w:t>
            </w:r>
          </w:p>
        </w:tc>
      </w:tr>
    </w:tbl>
    <w:p>
      <w:pPr>
        <w:spacing w:after="40"/>
      </w:pPr>
    </w:p>
    <w:p>
      <w:r>
        <w:t>The final adapter verdict should be based on factual accuracy, relevance to the source corpus, completeness, and absence of unsupported clinical advice. Adapter B is the expected quality/cost baseline; Adapter C may be strongest on multi-part questions; Adapter A is the fastest and may underfit.</w:t>
      </w:r>
    </w:p>
    <w:p>
      <w:pPr>
        <w:pStyle w:val="Heading1"/>
      </w:pPr>
      <w:r>
        <w:t>6. Conclusion</w:t>
      </w:r>
    </w:p>
    <w:p>
      <w:r>
        <w:t>The project is complete as a reproducible implementation package. The supplied files satisfy the required structure and provide a deterministic local validation path. To finish the measured submission, enlarge the raw corpus to 10–50 MB, run the GPU flags in order, paste the generated metrics and outputs into the report table, and submit the two notebooks, JSONL file, cleaned corpus, checkpoint evidence, and this report.</w:t>
      </w:r>
    </w:p>
    <w:p>
      <w:pPr>
        <w:pStyle w:val="Heading1"/>
      </w:pPr>
      <w:r>
        <w:t>Appendix A — Deliverables</w:t>
      </w:r>
    </w:p>
    <w:tbl>
      <w:tblPr>
        <w:tblW w:type="dxa" w:w="9360"/>
        <w:jc w:val="left"/>
        <w:tblLayout w:type="fixed"/>
        <w:tblLook w:firstColumn="1" w:firstRow="1" w:lastColumn="0" w:lastRow="0" w:noHBand="0" w:noVBand="1" w:val="04A0"/>
        <w:tblInd w:w="120" w:type="dxa"/>
      </w:tblPr>
      <w:tblGrid>
        <w:gridCol w:w="3456"/>
        <w:gridCol w:w="5904"/>
      </w:tblGrid>
      <w:tr>
        <w:tc>
          <w:tcPr>
            <w:tcW w:type="dxa" w:w="3456"/>
            <w:tcMar>
              <w:top w:w="80" w:type="dxa"/>
              <w:start w:w="120" w:type="dxa"/>
              <w:bottom w:w="80" w:type="dxa"/>
              <w:end w:w="120" w:type="dxa"/>
            </w:tcMar>
            <w:vAlign w:val="center"/>
            <w:shd w:fill="E8EEF5"/>
          </w:tcPr>
          <w:p>
            <w:pPr>
              <w:spacing w:after="0"/>
            </w:pPr>
            <w:r>
              <w:rPr>
                <w:b/>
                <w:color w:val="0B2545"/>
              </w:rPr>
              <w:t>File</w:t>
            </w:r>
          </w:p>
        </w:tc>
        <w:tc>
          <w:tcPr>
            <w:tcW w:type="dxa" w:w="5904"/>
            <w:tcMar>
              <w:top w:w="80" w:type="dxa"/>
              <w:start w:w="120" w:type="dxa"/>
              <w:bottom w:w="80" w:type="dxa"/>
              <w:end w:w="120" w:type="dxa"/>
            </w:tcMar>
            <w:vAlign w:val="center"/>
            <w:shd w:fill="E8EEF5"/>
          </w:tcPr>
          <w:p>
            <w:pPr>
              <w:spacing w:after="0"/>
            </w:pPr>
            <w:r>
              <w:rPr>
                <w:b/>
                <w:color w:val="0B2545"/>
              </w:rPr>
              <w:t>Purpose</w:t>
            </w:r>
          </w:p>
        </w:tc>
      </w:tr>
      <w:tr>
        <w:tc>
          <w:tcPr>
            <w:tcW w:type="dxa" w:w="3456"/>
            <w:tcMar>
              <w:top w:w="80" w:type="dxa"/>
              <w:start w:w="120" w:type="dxa"/>
              <w:bottom w:w="80" w:type="dxa"/>
              <w:end w:w="120" w:type="dxa"/>
            </w:tcMar>
          </w:tcPr>
          <w:p>
            <w:pPr>
              <w:spacing w:after="0"/>
            </w:pPr>
            <w:r>
              <w:t>Assignment_PartA.ipynb</w:t>
            </w:r>
          </w:p>
        </w:tc>
        <w:tc>
          <w:tcPr>
            <w:tcW w:type="dxa" w:w="5904"/>
            <w:tcMar>
              <w:top w:w="80" w:type="dxa"/>
              <w:start w:w="120" w:type="dxa"/>
              <w:bottom w:w="80" w:type="dxa"/>
              <w:end w:w="120" w:type="dxa"/>
            </w:tcMar>
          </w:tcPr>
          <w:p>
            <w:pPr>
              <w:spacing w:after="0"/>
            </w:pPr>
            <w:r>
              <w:t>Steps 1–5: data pipeline, CPT, PPL, forgetting</w:t>
            </w:r>
          </w:p>
        </w:tc>
      </w:tr>
      <w:tr>
        <w:tc>
          <w:tcPr>
            <w:tcW w:type="dxa" w:w="3456"/>
            <w:tcMar>
              <w:top w:w="80" w:type="dxa"/>
              <w:start w:w="120" w:type="dxa"/>
              <w:bottom w:w="80" w:type="dxa"/>
              <w:end w:w="120" w:type="dxa"/>
            </w:tcMar>
          </w:tcPr>
          <w:p>
            <w:pPr>
              <w:spacing w:after="0"/>
            </w:pPr>
            <w:r>
              <w:t>Assignment_PartB.ipynb</w:t>
            </w:r>
          </w:p>
        </w:tc>
        <w:tc>
          <w:tcPr>
            <w:tcW w:type="dxa" w:w="5904"/>
            <w:tcMar>
              <w:top w:w="80" w:type="dxa"/>
              <w:start w:w="120" w:type="dxa"/>
              <w:bottom w:w="80" w:type="dxa"/>
              <w:end w:w="120" w:type="dxa"/>
            </w:tcMar>
          </w:tcPr>
          <w:p>
            <w:pPr>
              <w:spacing w:after="0"/>
            </w:pPr>
            <w:r>
              <w:t>B1–B3: instruction data, three QLoRA adapters, comparison</w:t>
            </w:r>
          </w:p>
        </w:tc>
      </w:tr>
      <w:tr>
        <w:tc>
          <w:tcPr>
            <w:tcW w:type="dxa" w:w="3456"/>
            <w:tcMar>
              <w:top w:w="80" w:type="dxa"/>
              <w:start w:w="120" w:type="dxa"/>
              <w:bottom w:w="80" w:type="dxa"/>
              <w:end w:w="120" w:type="dxa"/>
            </w:tcMar>
          </w:tcPr>
          <w:p>
            <w:pPr>
              <w:spacing w:after="0"/>
            </w:pPr>
            <w:r>
              <w:t>instruction_dataset.jsonl</w:t>
            </w:r>
          </w:p>
        </w:tc>
        <w:tc>
          <w:tcPr>
            <w:tcW w:type="dxa" w:w="5904"/>
            <w:tcMar>
              <w:top w:w="80" w:type="dxa"/>
              <w:start w:w="120" w:type="dxa"/>
              <w:bottom w:w="80" w:type="dxa"/>
              <w:end w:w="120" w:type="dxa"/>
            </w:tcMar>
          </w:tcPr>
          <w:p>
            <w:pPr>
              <w:spacing w:after="0"/>
            </w:pPr>
            <w:r>
              <w:t>120 instruction-response pairs with split labels</w:t>
            </w:r>
          </w:p>
        </w:tc>
      </w:tr>
      <w:tr>
        <w:tc>
          <w:tcPr>
            <w:tcW w:type="dxa" w:w="3456"/>
            <w:tcMar>
              <w:top w:w="80" w:type="dxa"/>
              <w:start w:w="120" w:type="dxa"/>
              <w:bottom w:w="80" w:type="dxa"/>
              <w:end w:w="120" w:type="dxa"/>
            </w:tcMar>
          </w:tcPr>
          <w:p>
            <w:pPr>
              <w:spacing w:after="0"/>
            </w:pPr>
            <w:r>
              <w:t>domain_corpus/*.txt</w:t>
            </w:r>
          </w:p>
        </w:tc>
        <w:tc>
          <w:tcPr>
            <w:tcW w:type="dxa" w:w="5904"/>
            <w:tcMar>
              <w:top w:w="80" w:type="dxa"/>
              <w:start w:w="120" w:type="dxa"/>
              <w:bottom w:w="80" w:type="dxa"/>
              <w:end w:w="120" w:type="dxa"/>
            </w:tcMar>
          </w:tcPr>
          <w:p>
            <w:pPr>
              <w:spacing w:after="0"/>
            </w:pPr>
            <w:r>
              <w:t>Cleaned text files</w:t>
            </w:r>
          </w:p>
        </w:tc>
      </w:tr>
      <w:tr>
        <w:tc>
          <w:tcPr>
            <w:tcW w:type="dxa" w:w="3456"/>
            <w:tcMar>
              <w:top w:w="80" w:type="dxa"/>
              <w:start w:w="120" w:type="dxa"/>
              <w:bottom w:w="80" w:type="dxa"/>
              <w:end w:w="120" w:type="dxa"/>
            </w:tcMar>
          </w:tcPr>
          <w:p>
            <w:pPr>
              <w:spacing w:after="0"/>
            </w:pPr>
            <w:r>
              <w:t>src/medical_pipeline.py</w:t>
            </w:r>
          </w:p>
        </w:tc>
        <w:tc>
          <w:tcPr>
            <w:tcW w:type="dxa" w:w="5904"/>
            <w:tcMar>
              <w:top w:w="80" w:type="dxa"/>
              <w:start w:w="120" w:type="dxa"/>
              <w:bottom w:w="80" w:type="dxa"/>
              <w:end w:w="120" w:type="dxa"/>
            </w:tcMar>
          </w:tcPr>
          <w:p>
            <w:pPr>
              <w:spacing w:after="0"/>
            </w:pPr>
            <w:r>
              <w:t>Reusable implementation</w:t>
            </w:r>
          </w:p>
        </w:tc>
      </w:tr>
      <w:tr>
        <w:tc>
          <w:tcPr>
            <w:tcW w:type="dxa" w:w="3456"/>
            <w:tcMar>
              <w:top w:w="80" w:type="dxa"/>
              <w:start w:w="120" w:type="dxa"/>
              <w:bottom w:w="80" w:type="dxa"/>
              <w:end w:w="120" w:type="dxa"/>
            </w:tcMar>
          </w:tcPr>
          <w:p>
            <w:pPr>
              <w:spacing w:after="0"/>
            </w:pPr>
            <w:r>
              <w:t>ARCHITECTURE.docx</w:t>
            </w:r>
          </w:p>
        </w:tc>
        <w:tc>
          <w:tcPr>
            <w:tcW w:type="dxa" w:w="5904"/>
            <w:tcMar>
              <w:top w:w="80" w:type="dxa"/>
              <w:start w:w="120" w:type="dxa"/>
              <w:bottom w:w="80" w:type="dxa"/>
              <w:end w:w="120" w:type="dxa"/>
            </w:tcMar>
          </w:tcPr>
          <w:p>
            <w:pPr>
              <w:spacing w:after="0"/>
            </w:pPr>
            <w:r>
              <w:t>System design</w:t>
            </w:r>
          </w:p>
        </w:tc>
      </w:tr>
      <w:tr>
        <w:tc>
          <w:tcPr>
            <w:tcW w:type="dxa" w:w="3456"/>
            <w:tcMar>
              <w:top w:w="80" w:type="dxa"/>
              <w:start w:w="120" w:type="dxa"/>
              <w:bottom w:w="80" w:type="dxa"/>
              <w:end w:w="120" w:type="dxa"/>
            </w:tcMar>
          </w:tcPr>
          <w:p>
            <w:pPr>
              <w:spacing w:after="0"/>
            </w:pPr>
            <w:r>
              <w:t>ASSIGNMENT_GUIDE.docx</w:t>
            </w:r>
          </w:p>
        </w:tc>
        <w:tc>
          <w:tcPr>
            <w:tcW w:type="dxa" w:w="5904"/>
            <w:tcMar>
              <w:top w:w="80" w:type="dxa"/>
              <w:start w:w="120" w:type="dxa"/>
              <w:bottom w:w="80" w:type="dxa"/>
              <w:end w:w="120" w:type="dxa"/>
            </w:tcMar>
          </w:tcPr>
          <w:p>
            <w:pPr>
              <w:spacing w:after="0"/>
            </w:pPr>
            <w:r>
              <w:t>Execution and marking guide</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Assignment 1A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8"/>
      </w:rPr>
      <w:t>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pPr>
    <w:rPr>
      <w:rFonts w:ascii="Calibri" w:hAnsi="Calibr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