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openxmlformats.org/officeDocument/2006/relationships" xmlns:w="http://schemas.openxmlformats.org/wordprocessingml/2006/main" ns1:Ignorable="w14 wp14">
  <w:body>
    <w:p>
      <w:pPr>
        <w:spacing w:before="0" w:after="0" w:line="262" w:lineRule="auto"/>
        <w:jc w:val="center"/>
      </w:pPr>
      <w:r>
        <w:rPr>
          <w:rFonts w:ascii="Arial" w:hAnsi="Arial" w:eastAsia="Arial"/>
          <w:b/>
          <w:i w:val="0"/>
          <w:color w:val="0B2545"/>
          <w:sz w:val="50"/>
        </w:rPr>
        <w:t>Madhu Dadi</w:t>
      </w:r>
    </w:p>
    <w:p>
      <w:pPr>
        <w:spacing w:before="0" w:after="30" w:line="262" w:lineRule="auto"/>
        <w:jc w:val="center"/>
      </w:pPr>
      <w:r>
        <w:rPr>
          <w:rFonts w:ascii="Arial" w:hAnsi="Arial" w:eastAsia="Arial"/>
          <w:b/>
          <w:i w:val="0"/>
          <w:color w:val="1F4D78"/>
          <w:sz w:val="22"/>
        </w:rPr>
        <w:t>AI &amp; Analytics Leader | LLM/RAG Applications | Healthcare, Marketing &amp; Decision Intelligence</w:t>
      </w:r>
    </w:p>
    <w:p>
      <w:pPr>
        <w:spacing w:before="0" w:after="44" w:line="262" w:lineRule="auto"/>
        <w:jc w:val="center"/>
      </w:pPr>
      <w:r>
        <w:rPr>
          <w:rFonts w:ascii="Arial" w:hAnsi="Arial" w:eastAsia="Arial"/>
          <w:b w:val="0"/>
          <w:i w:val="0"/>
          <w:color w:val="374151"/>
          <w:sz w:val="18"/>
        </w:rPr>
        <w:t xml:space="preserve">Hyderabad, India | </w:t>
      </w:r>
      <w:hyperlink ns2:id="rId16" w:history="1">
        <w:r>
          <w:rPr>
            <w:rFonts w:ascii="Arial" w:hAnsi="Arial" w:eastAsia="Arial"/>
            <w:b w:val="0"/>
            <w:i w:val="0"/>
            <w:color w:val="0563C1"/>
            <w:sz w:val="18"/>
            <w:u w:val="single"/>
          </w:rPr>
          <w:t>+91 9985422444</w:t>
        </w:r>
      </w:hyperlink>
      <w:r>
        <w:rPr>
          <w:rFonts w:ascii="Arial" w:hAnsi="Arial" w:eastAsia="Arial"/>
          <w:b w:val="0"/>
          <w:i w:val="0"/>
          <w:color w:val="374151"/>
          <w:sz w:val="18"/>
        </w:rPr>
        <w:t xml:space="preserve"> | </w:t>
      </w:r>
      <w:hyperlink ns2:id="rId9" w:history="1">
        <w:r>
          <w:rPr>
            <w:rFonts w:ascii="Arial" w:hAnsi="Arial" w:eastAsia="Arial"/>
            <w:b w:val="0"/>
            <w:i w:val="0"/>
            <w:color w:val="0563C1"/>
            <w:sz w:val="18"/>
            <w:u w:val="single"/>
          </w:rPr>
          <w:t>madhu.kumar245@gmail.com</w:t>
        </w:r>
      </w:hyperlink>
      <w:r>
        <w:rPr>
          <w:rFonts w:ascii="Arial" w:hAnsi="Arial" w:eastAsia="Arial"/>
          <w:b w:val="0"/>
          <w:i w:val="0"/>
          <w:color w:val="374151"/>
          <w:sz w:val="18"/>
        </w:rPr>
        <w:t xml:space="preserve"> | </w:t>
      </w:r>
      <w:hyperlink ns2:id="rId10" w:history="1">
        <w:r>
          <w:rPr>
            <w:rFonts w:ascii="Arial" w:hAnsi="Arial" w:eastAsia="Arial"/>
            <w:b w:val="0"/>
            <w:i w:val="0"/>
            <w:color w:val="0563C1"/>
            <w:sz w:val="18"/>
            <w:u w:val="single"/>
          </w:rPr>
          <w:t>linkedin.com/in/madhu-dadi-54684531</w:t>
        </w:r>
      </w:hyperlink>
      <w:r>
        <w:rPr>
          <w:rFonts w:ascii="Arial" w:hAnsi="Arial" w:eastAsia="Arial"/>
          <w:b w:val="0"/>
          <w:i w:val="0"/>
          <w:color w:val="374151"/>
          <w:sz w:val="18"/>
        </w:rPr>
        <w:t xml:space="preserve"> | </w:t>
      </w:r>
      <w:hyperlink ns2:id="rId11" w:history="1">
        <w:r>
          <w:rPr>
            <w:rFonts w:ascii="Arial" w:hAnsi="Arial" w:eastAsia="Arial"/>
            <w:b w:val="0"/>
            <w:i w:val="0"/>
            <w:color w:val="0563C1"/>
            <w:sz w:val="18"/>
            <w:u w:val="single"/>
          </w:rPr>
          <w:t>madhudadi.in</w:t>
        </w:r>
      </w:hyperlink>
      <w:r>
        <w:rPr>
          <w:rFonts w:ascii="Arial" w:hAnsi="Arial" w:eastAsia="Arial"/>
          <w:b w:val="0"/>
          <w:i w:val="0"/>
          <w:color w:val="374151"/>
          <w:sz w:val="18"/>
        </w:rPr>
        <w:t xml:space="preserve"> | </w:t>
      </w:r>
      <w:hyperlink ns2:id="rId12" w:history="1">
        <w:r>
          <w:rPr>
            <w:rFonts w:ascii="Arial" w:hAnsi="Arial" w:eastAsia="Arial"/>
            <w:b w:val="0"/>
            <w:i w:val="0"/>
            <w:color w:val="0563C1"/>
            <w:sz w:val="18"/>
            <w:u w:val="single"/>
          </w:rPr>
          <w:t>github.com/madhu2456</w:t>
        </w:r>
      </w:hyperlink>
    </w:p>
    <w:p>
      <w:pPr>
        <w:spacing w:before="200" w:after="90" w:line="259" w:lineRule="auto"/>
        <w:pBdr>
          <w:bottom w:val="single" w:sz="5" w:space="1" w:color="9FB6CF"/>
        </w:pBdr>
      </w:pPr>
      <w:r>
        <w:rPr>
          <w:rFonts w:ascii="Arial" w:hAnsi="Arial" w:eastAsia="Arial"/>
          <w:b/>
          <w:i w:val="0"/>
          <w:color w:val="1F4D78"/>
          <w:sz w:val="22"/>
        </w:rPr>
        <w:t>SUMMARY</w:t>
      </w:r>
    </w:p>
    <w:p>
      <w:pPr>
        <w:pStyle w:val="ListBullet"/>
        <w:spacing w:before="0" w:after="88" w:line="283" w:lineRule="auto"/>
        <w:ind w:left="317" w:hanging="202"/>
      </w:pPr>
      <w:r>
        <w:rPr>
          <w:rFonts w:ascii="Arial" w:hAnsi="Arial" w:eastAsia="Arial"/>
          <w:b w:val="0"/>
          <w:i w:val="0"/>
          <w:color w:val="111827"/>
          <w:sz w:val="20"/>
        </w:rPr>
        <w:t>Senior Analytics Manager with 9+ years of experience driving AI, analytics, and digital transformation across healthcare, travel-tech, media, search marketing, and web/product development.</w:t>
      </w:r>
    </w:p>
    <w:p>
      <w:pPr>
        <w:pStyle w:val="ListBullet"/>
        <w:spacing w:before="0" w:after="88" w:line="283" w:lineRule="auto"/>
        <w:ind w:left="317" w:hanging="202"/>
      </w:pPr>
      <w:r>
        <w:rPr>
          <w:rFonts w:ascii="Arial" w:hAnsi="Arial" w:eastAsia="Arial"/>
          <w:b w:val="0"/>
          <w:i w:val="0"/>
          <w:color w:val="111827"/>
          <w:sz w:val="20"/>
        </w:rPr>
        <w:t>Builds LLM/RAG applications, agentic workflows, KPI frameworks, Marketing Mix Models, dashboards, and full-stack analytics products that connect business decisions to measurable outcomes.</w:t>
      </w:r>
    </w:p>
    <w:p>
      <w:pPr>
        <w:pStyle w:val="ListBullet"/>
        <w:spacing w:before="0" w:after="88" w:line="283" w:lineRule="auto"/>
        <w:ind w:left="317" w:hanging="202"/>
      </w:pPr>
      <w:r>
        <w:rPr>
          <w:rFonts w:ascii="Arial" w:hAnsi="Arial" w:eastAsia="Arial"/>
          <w:b w:val="0"/>
          <w:i w:val="0"/>
          <w:color w:val="111827"/>
          <w:sz w:val="20"/>
        </w:rPr>
        <w:t>Proven impact across patient enrollment, digital onboarding, campaign acquisition, churn reduction, global client analytics, and production AI/search visibility products.</w:t>
      </w:r>
    </w:p>
    <w:p>
      <w:pPr>
        <w:spacing w:before="200" w:after="90" w:line="259" w:lineRule="auto"/>
        <w:pBdr>
          <w:bottom w:val="single" w:sz="5" w:space="1" w:color="9FB6CF"/>
        </w:pBdr>
      </w:pPr>
      <w:r>
        <w:rPr>
          <w:rFonts w:ascii="Arial" w:hAnsi="Arial" w:eastAsia="Arial"/>
          <w:b/>
          <w:i w:val="0"/>
          <w:color w:val="1F4D78"/>
          <w:sz w:val="22"/>
        </w:rPr>
        <w:t>EXPERIENCE</w:t>
      </w:r>
    </w:p>
    <w:p>
      <w:pPr>
        <w:spacing w:before="80" w:after="44" w:line="259" w:lineRule="auto"/>
      </w:pPr>
      <w:r>
        <w:rPr>
          <w:rFonts w:ascii="Arial" w:hAnsi="Arial" w:eastAsia="Arial"/>
          <w:b/>
          <w:i w:val="0"/>
          <w:color w:val="0B2545"/>
          <w:sz w:val="21"/>
        </w:rPr>
        <w:t>Senior Analytics Manager</w:t>
      </w:r>
      <w:r>
        <w:rPr>
          <w:rFonts w:ascii="Arial" w:hAnsi="Arial" w:eastAsia="Arial"/>
          <w:b/>
          <w:i w:val="0"/>
          <w:color w:val="111827"/>
          <w:sz w:val="21"/>
        </w:rPr>
        <w:t xml:space="preserve"> | Novartis</w:t>
      </w:r>
      <w:r>
        <w:rPr>
          <w:rFonts w:ascii="Arial" w:hAnsi="Arial" w:eastAsia="Arial"/>
          <w:b w:val="0"/>
          <w:i w:val="0"/>
          <w:color w:val="4B5563"/>
          <w:sz w:val="21"/>
        </w:rPr>
        <w:t xml:space="preserve"> | March 2023 - Present</w:t>
      </w:r>
      <w:r>
        <w:rPr>
          <w:rFonts w:ascii="Arial" w:hAnsi="Arial" w:eastAsia="Arial"/>
          <w:b w:val="0"/>
          <w:i w:val="0"/>
          <w:color w:val="4B5563"/>
          <w:sz w:val="21"/>
        </w:rPr>
        <w:t xml:space="preserve"> | India</w:t>
      </w:r>
    </w:p>
    <w:p>
      <w:pPr>
        <w:pStyle w:val="ListBullet"/>
        <w:spacing w:before="0" w:after="88" w:line="283" w:lineRule="auto"/>
        <w:ind w:left="317" w:hanging="202"/>
      </w:pPr>
      <w:r>
        <w:rPr>
          <w:rFonts w:ascii="Arial" w:hAnsi="Arial" w:eastAsia="Arial"/>
          <w:b w:val="0"/>
          <w:i w:val="0"/>
          <w:color w:val="111827"/>
          <w:sz w:val="20"/>
        </w:rPr>
        <w:t>Implemented data-driven frameworks across multi-channel digital platforms, driving a 15% increase in patient enrollment.</w:t>
      </w:r>
    </w:p>
    <w:p>
      <w:pPr>
        <w:pStyle w:val="ListBullet"/>
        <w:spacing w:before="0" w:after="88" w:line="283" w:lineRule="auto"/>
        <w:ind w:left="317" w:hanging="202"/>
      </w:pPr>
      <w:r>
        <w:rPr>
          <w:rFonts w:ascii="Arial" w:hAnsi="Arial" w:eastAsia="Arial"/>
          <w:b w:val="0"/>
          <w:i w:val="0"/>
          <w:color w:val="111827"/>
          <w:sz w:val="20"/>
        </w:rPr>
        <w:t>Architected KPI measurement frameworks that transitioned 90% of patients to digital enrollments and reduced Turnaround Time (TAT) from several days to under 3 hours.</w:t>
      </w:r>
    </w:p>
    <w:p>
      <w:pPr>
        <w:pStyle w:val="ListBullet"/>
        <w:spacing w:before="0" w:after="88" w:line="283" w:lineRule="auto"/>
        <w:ind w:left="317" w:hanging="202"/>
      </w:pPr>
      <w:r>
        <w:rPr>
          <w:rFonts w:ascii="Arial" w:hAnsi="Arial" w:eastAsia="Arial"/>
          <w:b w:val="0"/>
          <w:i w:val="0"/>
          <w:color w:val="111827"/>
          <w:sz w:val="20"/>
        </w:rPr>
        <w:t>Engineered enterprise-wide patient flows that accelerated digital asset launches from 3 months to 2 weeks.</w:t>
      </w:r>
    </w:p>
    <w:p>
      <w:pPr>
        <w:pStyle w:val="ListBullet"/>
        <w:spacing w:before="0" w:after="88" w:line="283" w:lineRule="auto"/>
        <w:ind w:left="317" w:hanging="202"/>
      </w:pPr>
      <w:r>
        <w:rPr>
          <w:rFonts w:ascii="Arial" w:hAnsi="Arial" w:eastAsia="Arial"/>
          <w:b w:val="0"/>
          <w:i w:val="0"/>
          <w:color w:val="111827"/>
          <w:sz w:val="20"/>
        </w:rPr>
        <w:t>Won 2 internal AI Hackathons by developing Model Context Protocols (MCPs) and advanced Marketing Mix Models (MMM) for marketing spend optimization.</w:t>
      </w:r>
    </w:p>
    <w:p>
      <w:pPr>
        <w:pStyle w:val="ListBullet"/>
        <w:spacing w:before="0" w:after="88" w:line="283" w:lineRule="auto"/>
        <w:ind w:left="317" w:hanging="202"/>
      </w:pPr>
      <w:r>
        <w:rPr>
          <w:rFonts w:ascii="Arial" w:hAnsi="Arial" w:eastAsia="Arial"/>
          <w:b w:val="0"/>
          <w:i w:val="0"/>
          <w:color w:val="111827"/>
          <w:sz w:val="20"/>
        </w:rPr>
        <w:t>Directed end-to-end analytics lifecycles, maintaining a 4.9/5 patient satisfaction score through optimized enrollment and adherence communication programs.</w:t>
      </w:r>
    </w:p>
    <w:p>
      <w:pPr>
        <w:pStyle w:val="ListBullet"/>
        <w:spacing w:before="0" w:after="88" w:line="283" w:lineRule="auto"/>
        <w:ind w:left="317" w:hanging="202"/>
      </w:pPr>
      <w:r>
        <w:rPr>
          <w:rFonts w:ascii="Arial" w:hAnsi="Arial" w:eastAsia="Arial"/>
          <w:b w:val="0"/>
          <w:i w:val="0"/>
          <w:color w:val="111827"/>
          <w:sz w:val="20"/>
        </w:rPr>
        <w:t>Delivered strategic analytical insights to senior leadership and integrated AI-driven marketing strategies, improving operational efficiency by 25%.</w:t>
      </w:r>
    </w:p>
    <w:p>
      <w:pPr>
        <w:pStyle w:val="ListBullet"/>
        <w:spacing w:after="100" w:line="288" w:lineRule="auto"/>
        <w:ind w:left="317" w:hanging="202"/>
      </w:pPr>
      <w:r>
        <w:rPr>
          <w:rFonts w:ascii="Arial" w:hAnsi="Arial" w:eastAsia="Arial"/>
          <w:sz w:val="20"/>
        </w:rPr>
        <w:t>Collaborated with marketing, IT, patient support, and analytics teams to integrate digital analytics into business processes and achieve project goals.</w:t>
      </w:r>
    </w:p>
    <w:p>
      <w:pPr>
        <w:spacing w:before="80" w:after="44" w:line="259" w:lineRule="auto"/>
      </w:pPr>
      <w:r>
        <w:rPr>
          <w:rFonts w:ascii="Arial" w:hAnsi="Arial" w:eastAsia="Arial"/>
          <w:b/>
          <w:i w:val="0"/>
          <w:color w:val="0B2545"/>
          <w:sz w:val="21"/>
        </w:rPr>
        <w:t>Marketing Analytics Manager</w:t>
      </w:r>
      <w:r>
        <w:rPr>
          <w:rFonts w:ascii="Arial" w:hAnsi="Arial" w:eastAsia="Arial"/>
          <w:b/>
          <w:i w:val="0"/>
          <w:color w:val="111827"/>
          <w:sz w:val="21"/>
        </w:rPr>
        <w:t xml:space="preserve"> | redBus (MMT Group)</w:t>
      </w:r>
      <w:r>
        <w:rPr>
          <w:rFonts w:ascii="Arial" w:hAnsi="Arial" w:eastAsia="Arial"/>
          <w:b w:val="0"/>
          <w:i w:val="0"/>
          <w:color w:val="4B5563"/>
          <w:sz w:val="21"/>
        </w:rPr>
        <w:t xml:space="preserve"> | June 2022 - March 2023</w:t>
      </w:r>
      <w:r>
        <w:rPr>
          <w:rFonts w:ascii="Arial" w:hAnsi="Arial" w:eastAsia="Arial"/>
          <w:b w:val="0"/>
          <w:i w:val="0"/>
          <w:color w:val="4B5563"/>
          <w:sz w:val="21"/>
        </w:rPr>
        <w:t xml:space="preserve"> | India</w:t>
      </w:r>
    </w:p>
    <w:p>
      <w:pPr>
        <w:pStyle w:val="ListBullet"/>
        <w:spacing w:before="0" w:after="88" w:line="283" w:lineRule="auto"/>
        <w:ind w:left="317" w:hanging="202"/>
      </w:pPr>
      <w:r>
        <w:rPr>
          <w:rFonts w:ascii="Arial" w:hAnsi="Arial" w:eastAsia="Arial"/>
          <w:b w:val="0"/>
          <w:i w:val="0"/>
          <w:color w:val="111827"/>
          <w:sz w:val="20"/>
        </w:rPr>
        <w:t>Received Best Performer of the Quarter (Q3 Trailblazer) for a campaign strategy that drove 30% growth in new customer acquisition.</w:t>
      </w:r>
    </w:p>
    <w:p>
      <w:pPr>
        <w:pStyle w:val="ListBullet"/>
        <w:spacing w:before="0" w:after="88" w:line="283" w:lineRule="auto"/>
        <w:ind w:left="317" w:hanging="202"/>
      </w:pPr>
      <w:r>
        <w:rPr>
          <w:rFonts w:ascii="Arial" w:hAnsi="Arial" w:eastAsia="Arial"/>
          <w:b w:val="0"/>
          <w:i w:val="0"/>
          <w:color w:val="111827"/>
          <w:sz w:val="20"/>
        </w:rPr>
        <w:t>Optimized multi-channel brand campaigns across Facebook, Programmatic, and Google Ads to improve performance and budget efficiency.</w:t>
      </w:r>
    </w:p>
    <w:p>
      <w:pPr>
        <w:pStyle w:val="ListBullet"/>
        <w:spacing w:before="0" w:after="88" w:line="283" w:lineRule="auto"/>
        <w:ind w:left="317" w:hanging="202"/>
      </w:pPr>
      <w:r>
        <w:rPr>
          <w:rFonts w:ascii="Arial" w:hAnsi="Arial" w:eastAsia="Arial"/>
          <w:b w:val="0"/>
          <w:i w:val="0"/>
          <w:color w:val="111827"/>
          <w:sz w:val="20"/>
        </w:rPr>
        <w:t>Strategized and executed CLM campaigns across Email, WhatsApp, and SMS, reducing customer churn by 20%.</w:t>
      </w:r>
    </w:p>
    <w:p>
      <w:pPr>
        <w:pStyle w:val="ListBullet"/>
        <w:spacing w:before="0" w:after="88" w:line="283" w:lineRule="auto"/>
        <w:ind w:left="317" w:hanging="202"/>
      </w:pPr>
      <w:r>
        <w:rPr>
          <w:rFonts w:ascii="Arial" w:hAnsi="Arial" w:eastAsia="Arial"/>
          <w:b w:val="0"/>
          <w:i w:val="0"/>
          <w:color w:val="111827"/>
          <w:sz w:val="20"/>
        </w:rPr>
        <w:t>Led marketing analytics measurement for ATL, BTL, and digital campaigns, including impact reporting across redBus markets.</w:t>
      </w:r>
    </w:p>
    <w:p>
      <w:pPr>
        <w:pStyle w:val="ListBullet"/>
        <w:spacing w:after="100" w:line="288" w:lineRule="auto"/>
        <w:ind w:left="317" w:hanging="202"/>
      </w:pPr>
      <w:r>
        <w:rPr>
          <w:rFonts w:ascii="Arial" w:hAnsi="Arial" w:eastAsia="Arial"/>
          <w:sz w:val="20"/>
        </w:rPr>
        <w:t>Delivered brand campaign impact analysis across India, Malaysia, Indonesia, and Singapore, helping increase brand awareness by 15%.</w:t>
      </w:r>
    </w:p>
    <w:p>
      <w:pPr>
        <w:spacing w:before="80" w:after="44" w:line="259" w:lineRule="auto"/>
      </w:pPr>
      <w:r>
        <w:rPr>
          <w:rFonts w:ascii="Arial" w:hAnsi="Arial" w:eastAsia="Arial"/>
          <w:b/>
          <w:i w:val="0"/>
          <w:color w:val="0B2545"/>
          <w:sz w:val="21"/>
        </w:rPr>
        <w:t>Analytics Manager</w:t>
      </w:r>
      <w:r>
        <w:rPr>
          <w:rFonts w:ascii="Arial" w:hAnsi="Arial" w:eastAsia="Arial"/>
          <w:b/>
          <w:i w:val="0"/>
          <w:color w:val="111827"/>
          <w:sz w:val="21"/>
        </w:rPr>
        <w:t xml:space="preserve"> | GroupM</w:t>
      </w:r>
      <w:r>
        <w:rPr>
          <w:rFonts w:ascii="Arial" w:hAnsi="Arial" w:eastAsia="Arial"/>
          <w:b w:val="0"/>
          <w:i w:val="0"/>
          <w:color w:val="4B5563"/>
          <w:sz w:val="21"/>
        </w:rPr>
        <w:t xml:space="preserve"> | September 2020 - May 2022</w:t>
      </w:r>
      <w:r>
        <w:rPr>
          <w:rFonts w:ascii="Arial" w:hAnsi="Arial" w:eastAsia="Arial"/>
          <w:b w:val="0"/>
          <w:i w:val="0"/>
          <w:color w:val="4B5563"/>
          <w:sz w:val="21"/>
        </w:rPr>
        <w:t xml:space="preserve"> | India</w:t>
      </w:r>
    </w:p>
    <w:p>
      <w:pPr>
        <w:pStyle w:val="ListBullet"/>
        <w:spacing w:before="0" w:after="88" w:line="283" w:lineRule="auto"/>
        <w:ind w:left="317" w:hanging="202"/>
      </w:pPr>
      <w:r>
        <w:rPr>
          <w:rFonts w:ascii="Arial" w:hAnsi="Arial" w:eastAsia="Arial"/>
          <w:b w:val="0"/>
          <w:i w:val="0"/>
          <w:color w:val="111827"/>
          <w:sz w:val="20"/>
        </w:rPr>
        <w:t>Spearheaded Google Ads Data Hub projects across GroupM agencies, serving the top 5% of global clients.</w:t>
      </w:r>
    </w:p>
    <w:p>
      <w:pPr>
        <w:pStyle w:val="ListBullet"/>
        <w:spacing w:before="0" w:after="88" w:line="283" w:lineRule="auto"/>
        <w:ind w:left="317" w:hanging="202"/>
      </w:pPr>
      <w:r>
        <w:rPr>
          <w:rFonts w:ascii="Arial" w:hAnsi="Arial" w:eastAsia="Arial"/>
          <w:b w:val="0"/>
          <w:i w:val="0"/>
          <w:color w:val="111827"/>
          <w:sz w:val="20"/>
        </w:rPr>
        <w:t>Received Best Performer of the Year (2020-2021) and earned selection for the WPP NextGen program.</w:t>
      </w:r>
    </w:p>
    <w:p>
      <w:pPr>
        <w:pStyle w:val="ListBullet"/>
        <w:spacing w:before="0" w:after="88" w:line="283" w:lineRule="auto"/>
        <w:ind w:left="317" w:hanging="202"/>
      </w:pPr>
      <w:r>
        <w:rPr>
          <w:rFonts w:ascii="Arial" w:hAnsi="Arial" w:eastAsia="Arial"/>
          <w:b w:val="0"/>
          <w:i w:val="0"/>
          <w:color w:val="111827"/>
          <w:sz w:val="20"/>
        </w:rPr>
        <w:t>Performed frequency reach analysis to determine optimal ad exposure, improving budget efficiency and campaign margins.</w:t>
      </w:r>
    </w:p>
    <w:p>
      <w:pPr>
        <w:pStyle w:val="ListBullet"/>
        <w:spacing w:before="0" w:after="88" w:line="283" w:lineRule="auto"/>
        <w:ind w:left="317" w:hanging="202"/>
      </w:pPr>
      <w:r>
        <w:rPr>
          <w:rFonts w:ascii="Arial" w:hAnsi="Arial" w:eastAsia="Arial"/>
          <w:b w:val="0"/>
          <w:i w:val="0"/>
          <w:color w:val="111827"/>
          <w:sz w:val="20"/>
        </w:rPr>
        <w:t>Managed brand lift studies, consumer journey mapping, cluster analysis, and pricing analytics for enterprise client measurement.</w:t>
      </w:r>
    </w:p>
    <w:p>
      <w:pPr>
        <w:spacing w:before="80" w:after="44" w:line="259" w:lineRule="auto"/>
      </w:pPr>
      <w:r>
        <w:rPr>
          <w:rFonts w:ascii="Arial" w:hAnsi="Arial" w:eastAsia="Arial"/>
          <w:b/>
          <w:i w:val="0"/>
          <w:color w:val="0B2545"/>
          <w:sz w:val="21"/>
        </w:rPr>
        <w:t>Web Developer and Penetration Tester</w:t>
      </w:r>
      <w:r>
        <w:rPr>
          <w:rFonts w:ascii="Arial" w:hAnsi="Arial" w:eastAsia="Arial"/>
          <w:b/>
          <w:i w:val="0"/>
          <w:color w:val="111827"/>
          <w:sz w:val="21"/>
        </w:rPr>
        <w:t xml:space="preserve"> | Absolinsoft</w:t>
      </w:r>
      <w:r>
        <w:rPr>
          <w:rFonts w:ascii="Arial" w:hAnsi="Arial" w:eastAsia="Arial"/>
          <w:b w:val="0"/>
          <w:i w:val="0"/>
          <w:color w:val="4B5563"/>
          <w:sz w:val="21"/>
        </w:rPr>
        <w:t xml:space="preserve"> | May 2016 - July 2018</w:t>
      </w:r>
      <w:r>
        <w:rPr>
          <w:rFonts w:ascii="Arial" w:hAnsi="Arial" w:eastAsia="Arial"/>
          <w:b w:val="0"/>
          <w:i w:val="0"/>
          <w:color w:val="4B5563"/>
          <w:sz w:val="21"/>
        </w:rPr>
        <w:t xml:space="preserve"> | India</w:t>
      </w:r>
    </w:p>
    <w:p>
      <w:pPr>
        <w:pStyle w:val="ListBullet"/>
        <w:spacing w:before="0" w:after="88" w:line="283" w:lineRule="auto"/>
        <w:ind w:left="317" w:hanging="202"/>
      </w:pPr>
      <w:r>
        <w:rPr>
          <w:rFonts w:ascii="Arial" w:hAnsi="Arial" w:eastAsia="Arial"/>
          <w:b w:val="0"/>
          <w:i w:val="0"/>
          <w:color w:val="111827"/>
          <w:sz w:val="20"/>
        </w:rPr>
        <w:t>Analyzed websites using Google Analytics and executed SEO, SMM, and SEM campaigns, reducing bounce rate by 25%.</w:t>
      </w:r>
    </w:p>
    <w:p>
      <w:pPr>
        <w:pStyle w:val="ListBullet"/>
        <w:spacing w:before="0" w:after="88" w:line="283" w:lineRule="auto"/>
        <w:ind w:left="317" w:hanging="202"/>
      </w:pPr>
      <w:r>
        <w:rPr>
          <w:rFonts w:ascii="Arial" w:hAnsi="Arial" w:eastAsia="Arial"/>
          <w:b w:val="0"/>
          <w:i w:val="0"/>
          <w:color w:val="111827"/>
          <w:sz w:val="20"/>
        </w:rPr>
        <w:t>Implemented and optimized organic and paid search engine marketing activities, increasing CTR by 20%.</w:t>
      </w:r>
    </w:p>
    <w:p>
      <w:pPr>
        <w:pStyle w:val="ListBullet"/>
        <w:spacing w:before="0" w:after="88" w:line="283" w:lineRule="auto"/>
        <w:ind w:left="317" w:hanging="202"/>
      </w:pPr>
      <w:r>
        <w:rPr>
          <w:rFonts w:ascii="Arial" w:hAnsi="Arial" w:eastAsia="Arial"/>
          <w:b w:val="0"/>
          <w:i w:val="0"/>
          <w:color w:val="111827"/>
          <w:sz w:val="20"/>
        </w:rPr>
        <w:t>Strategized social media campaigns and documented project/product plans for web applications.</w:t>
      </w:r>
    </w:p>
    <w:p>
      <w:pPr>
        <w:spacing w:line="262" w:lineRule="auto"/>
        <w:sectPr>
          <w:pgSz w:w="12240" w:h="15840"/>
          <w:pgMar w:top="605" w:right="691" w:bottom="605" w:left="691" w:header="360" w:footer="360" w:gutter="0"/>
          <w:cols w:space="720"/>
          <w:docGrid w:linePitch="360"/>
        </w:sectPr>
      </w:pPr>
    </w:p>
    <w:p>
      <w:pPr>
        <w:spacing w:before="160" w:after="70" w:line="259" w:lineRule="auto"/>
        <w:pBdr>
          <w:bottom w:val="single" w:sz="5" w:space="1" w:color="9FB6CF"/>
        </w:pBdr>
      </w:pPr>
      <w:r>
        <w:rPr>
          <w:rFonts w:ascii="Arial" w:hAnsi="Arial" w:eastAsia="Arial"/>
          <w:b/>
          <w:i w:val="0"/>
          <w:color w:val="1F4D78"/>
          <w:sz w:val="21"/>
        </w:rPr>
        <w:t>SELECTED PROJECTS</w:t>
      </w:r>
    </w:p>
    <w:p>
      <w:pPr>
        <w:spacing w:before="60" w:after="36" w:line="259" w:lineRule="auto"/>
      </w:pPr>
      <w:r>
        <w:rPr>
          <w:rFonts w:ascii="Arial" w:hAnsi="Arial" w:eastAsia="Arial"/>
          <w:b/>
          <w:i w:val="0"/>
          <w:color w:val="0B2545"/>
          <w:sz w:val="20"/>
        </w:rPr>
        <w:t>Adticks</w:t>
      </w:r>
      <w:r>
        <w:rPr>
          <w:rFonts w:ascii="Arial" w:hAnsi="Arial" w:eastAsia="Arial"/>
          <w:b/>
          <w:i w:val="0"/>
          <w:color w:val="111827"/>
          <w:sz w:val="20"/>
        </w:rPr>
        <w:t xml:space="preserve"> | Full-stack / AI Engineer</w:t>
      </w:r>
      <w:r>
        <w:rPr>
          <w:rFonts w:ascii="Arial" w:hAnsi="Arial" w:eastAsia="Arial"/>
          <w:b w:val="0"/>
          <w:i w:val="0"/>
          <w:color w:val="4B5563"/>
          <w:sz w:val="20"/>
        </w:rPr>
        <w:t xml:space="preserve"> | 2026 - Present</w:t>
      </w:r>
      <w:r>
        <w:rPr>
          <w:rFonts w:ascii="Arial" w:hAnsi="Arial" w:eastAsia="Arial"/>
          <w:b w:val="0"/>
          <w:i w:val="0"/>
          <w:color w:val="2563EB"/>
          <w:sz w:val="20"/>
        </w:rPr>
        <w:t xml:space="preserve"> | </w:t>
      </w:r>
      <w:hyperlink ns2:id="rId13" w:history="1">
        <w:r>
          <w:rPr>
            <w:rFonts w:ascii="Arial" w:hAnsi="Arial" w:eastAsia="Arial"/>
            <w:b w:val="0"/>
            <w:i w:val="0"/>
            <w:color w:val="0563C1"/>
            <w:sz w:val="20"/>
            <w:u w:val="single"/>
          </w:rPr>
          <w:t>adticks.com</w:t>
        </w:r>
      </w:hyperlink>
    </w:p>
    <w:p>
      <w:pPr>
        <w:pStyle w:val="ListBullet"/>
        <w:spacing w:before="0" w:after="68" w:line="271" w:lineRule="auto"/>
        <w:ind w:left="317" w:hanging="202"/>
      </w:pPr>
      <w:r>
        <w:rPr>
          <w:rFonts w:ascii="Arial" w:hAnsi="Arial" w:eastAsia="Arial"/>
          <w:b w:val="0"/>
          <w:i w:val="0"/>
          <w:color w:val="111827"/>
          <w:sz w:val="19"/>
        </w:rPr>
        <w:t>Built an AI visibility and SEO/AEO/GEO auditing platform for large-site diagnostic workflows.</w:t>
      </w:r>
    </w:p>
    <w:p>
      <w:pPr>
        <w:pStyle w:val="ListBullet"/>
        <w:spacing w:before="0" w:after="68" w:line="271" w:lineRule="auto"/>
        <w:ind w:left="317" w:hanging="202"/>
      </w:pPr>
      <w:r>
        <w:rPr>
          <w:rFonts w:ascii="Arial" w:hAnsi="Arial" w:eastAsia="Arial"/>
          <w:b w:val="0"/>
          <w:i w:val="0"/>
          <w:color w:val="111827"/>
          <w:sz w:val="19"/>
        </w:rPr>
        <w:t>Designed parallel Playwright headless crawls that process 10,000+ pages per audit and compare server HTML with rendered DOM.</w:t>
      </w:r>
    </w:p>
    <w:p>
      <w:pPr>
        <w:pStyle w:val="ListBullet"/>
        <w:spacing w:before="0" w:after="68" w:line="271" w:lineRule="auto"/>
        <w:ind w:left="317" w:hanging="202"/>
      </w:pPr>
      <w:r>
        <w:rPr>
          <w:rFonts w:ascii="Arial" w:hAnsi="Arial" w:eastAsia="Arial"/>
          <w:b w:val="0"/>
          <w:i w:val="0"/>
          <w:color w:val="111827"/>
          <w:sz w:val="19"/>
        </w:rPr>
        <w:t>Implemented a FastAPI + Celery backend with Redis, PostgreSQL, and 18 parallel audit analyzers for severity-prioritized fix queues.</w:t>
      </w:r>
    </w:p>
    <w:p>
      <w:pPr>
        <w:pStyle w:val="ListBullet"/>
        <w:spacing w:before="0" w:after="68" w:line="271" w:lineRule="auto"/>
        <w:ind w:left="317" w:hanging="202"/>
      </w:pPr>
      <w:r>
        <w:rPr>
          <w:rFonts w:ascii="Arial" w:hAnsi="Arial" w:eastAsia="Arial"/>
          <w:b w:val="0"/>
          <w:i w:val="0"/>
          <w:color w:val="111827"/>
          <w:sz w:val="19"/>
        </w:rPr>
        <w:t>Audits robots.txt, sitemaps, structured data schemas, and llms.txt configurations, reducing technical audit cycle time by 85%.</w:t>
      </w:r>
    </w:p>
    <w:p>
      <w:pPr>
        <w:spacing w:before="60" w:after="36" w:line="259" w:lineRule="auto"/>
      </w:pPr>
      <w:r>
        <w:rPr>
          <w:rFonts w:ascii="Arial" w:hAnsi="Arial" w:eastAsia="Arial"/>
          <w:b/>
          <w:i w:val="0"/>
          <w:color w:val="0B2545"/>
          <w:sz w:val="20"/>
        </w:rPr>
        <w:t>Technical Blog (Python &amp; AI Learning Hub)</w:t>
      </w:r>
      <w:r>
        <w:rPr>
          <w:rFonts w:ascii="Arial" w:hAnsi="Arial" w:eastAsia="Arial"/>
          <w:b/>
          <w:i w:val="0"/>
          <w:color w:val="111827"/>
          <w:sz w:val="20"/>
        </w:rPr>
        <w:t xml:space="preserve"> | Full-stack AI Product</w:t>
      </w:r>
      <w:r>
        <w:rPr>
          <w:rFonts w:ascii="Arial" w:hAnsi="Arial" w:eastAsia="Arial"/>
          <w:b w:val="0"/>
          <w:i w:val="0"/>
          <w:color w:val="4B5563"/>
          <w:sz w:val="20"/>
        </w:rPr>
        <w:t xml:space="preserve"> | January 2026 - Present</w:t>
      </w:r>
      <w:r>
        <w:rPr>
          <w:rFonts w:ascii="Arial" w:hAnsi="Arial" w:eastAsia="Arial"/>
          <w:b w:val="0"/>
          <w:i w:val="0"/>
          <w:color w:val="2563EB"/>
          <w:sz w:val="20"/>
        </w:rPr>
        <w:t xml:space="preserve"> | </w:t>
      </w:r>
      <w:hyperlink ns2:id="rId14" w:history="1">
        <w:r>
          <w:rPr>
            <w:rFonts w:ascii="Arial" w:hAnsi="Arial" w:eastAsia="Arial"/>
            <w:b w:val="0"/>
            <w:i w:val="0"/>
            <w:color w:val="0563C1"/>
            <w:sz w:val="20"/>
            <w:u w:val="single"/>
          </w:rPr>
          <w:t>madhudadi.in/blog</w:t>
        </w:r>
      </w:hyperlink>
    </w:p>
    <w:p>
      <w:pPr>
        <w:pStyle w:val="ListBullet"/>
        <w:spacing w:before="0" w:after="68" w:line="271" w:lineRule="auto"/>
        <w:ind w:left="317" w:hanging="202"/>
      </w:pPr>
      <w:r>
        <w:rPr>
          <w:rFonts w:ascii="Arial" w:hAnsi="Arial" w:eastAsia="Arial"/>
          <w:b w:val="0"/>
          <w:i w:val="0"/>
          <w:color w:val="111827"/>
          <w:sz w:val="19"/>
        </w:rPr>
        <w:t>Engineered a production-ready technical blog using FastAPI and Next.js, processing a knowledge base of 50+ articles with a RAG system.</w:t>
      </w:r>
    </w:p>
    <w:p>
      <w:pPr>
        <w:pStyle w:val="ListBullet"/>
        <w:spacing w:before="0" w:after="68" w:line="271" w:lineRule="auto"/>
        <w:ind w:left="317" w:hanging="202"/>
      </w:pPr>
      <w:r>
        <w:rPr>
          <w:rFonts w:ascii="Arial" w:hAnsi="Arial" w:eastAsia="Arial"/>
          <w:b w:val="0"/>
          <w:i w:val="0"/>
          <w:color w:val="111827"/>
          <w:sz w:val="19"/>
        </w:rPr>
        <w:t>Integrated an AI Q&amp;A assistant powered by LangChain and RAG, achieving sub-second response times for complex AI queries.</w:t>
      </w:r>
    </w:p>
    <w:p>
      <w:pPr>
        <w:pStyle w:val="ListBullet"/>
        <w:spacing w:before="0" w:after="68" w:line="271" w:lineRule="auto"/>
        <w:ind w:left="317" w:hanging="202"/>
      </w:pPr>
      <w:r>
        <w:rPr>
          <w:rFonts w:ascii="Arial" w:hAnsi="Arial" w:eastAsia="Arial"/>
          <w:b w:val="0"/>
          <w:i w:val="0"/>
          <w:color w:val="111827"/>
          <w:sz w:val="19"/>
        </w:rPr>
        <w:t>Optimized the Next.js frontend to 95+ Lighthouse scores for speed and accessibility, contributing to a 20% increase in user engagement.</w:t>
      </w:r>
    </w:p>
    <w:p>
      <w:pPr>
        <w:spacing w:before="60" w:after="36" w:line="259" w:lineRule="auto"/>
      </w:pPr>
      <w:r>
        <w:rPr>
          <w:rFonts w:ascii="Arial" w:hAnsi="Arial" w:eastAsia="Arial"/>
          <w:b/>
          <w:i w:val="0"/>
          <w:color w:val="0B2545"/>
          <w:sz w:val="20"/>
        </w:rPr>
        <w:t>Browser Task Automation</w:t>
      </w:r>
      <w:r>
        <w:rPr>
          <w:rFonts w:ascii="Arial" w:hAnsi="Arial" w:eastAsia="Arial"/>
          <w:b/>
          <w:i w:val="0"/>
          <w:color w:val="111827"/>
          <w:sz w:val="20"/>
        </w:rPr>
        <w:t xml:space="preserve"> | Workflow Platform</w:t>
      </w:r>
      <w:r>
        <w:rPr>
          <w:rFonts w:ascii="Arial" w:hAnsi="Arial" w:eastAsia="Arial"/>
          <w:b w:val="0"/>
          <w:i w:val="0"/>
          <w:color w:val="4B5563"/>
          <w:sz w:val="20"/>
        </w:rPr>
        <w:t xml:space="preserve"> | January 2026 - Present</w:t>
      </w:r>
      <w:r>
        <w:rPr>
          <w:rFonts w:ascii="Arial" w:hAnsi="Arial" w:eastAsia="Arial"/>
          <w:b w:val="0"/>
          <w:i w:val="0"/>
          <w:color w:val="2563EB"/>
          <w:sz w:val="20"/>
        </w:rPr>
        <w:t xml:space="preserve"/>
      </w:r>
      <w:hyperlink ns2:id="rId15" w:history="1">
        <w:r>
          <w:rPr>
            <w:rFonts w:ascii="Arial" w:hAnsi="Arial" w:eastAsia="Arial"/>
            <w:b w:val="0"/>
            <w:i w:val="0"/>
            <w:color w:val="0563C1"/>
            <w:sz w:val="20"/>
            <w:u w:val="single"/>
          </w:rPr>
          <w:t/>
        </w:r>
      </w:hyperlink>
    </w:p>
    <w:p>
      <w:pPr>
        <w:pStyle w:val="ListBullet"/>
        <w:spacing w:before="0" w:after="68" w:line="271" w:lineRule="auto"/>
        <w:ind w:left="317" w:hanging="202"/>
      </w:pPr>
      <w:r>
        <w:rPr>
          <w:rFonts w:ascii="Arial" w:hAnsi="Arial" w:eastAsia="Arial"/>
          <w:b w:val="0"/>
          <w:i w:val="0"/>
          <w:color w:val="111827"/>
          <w:sz w:val="19"/>
        </w:rPr>
        <w:t>Developed a workflow automation platform that executed 20,000+ automated browser tasks within 6 months, reducing manual effort by 90%.</w:t>
      </w:r>
    </w:p>
    <w:p>
      <w:pPr>
        <w:pStyle w:val="ListBullet"/>
        <w:spacing w:before="0" w:after="68" w:line="271" w:lineRule="auto"/>
        <w:ind w:left="317" w:hanging="202"/>
      </w:pPr>
      <w:r>
        <w:rPr>
          <w:rFonts w:ascii="Arial" w:hAnsi="Arial" w:eastAsia="Arial"/>
          <w:b w:val="0"/>
          <w:i w:val="0"/>
          <w:color w:val="111827"/>
          <w:sz w:val="19"/>
        </w:rPr>
        <w:t>Engineered a FastAPI + Celery backend with Redis to orchestrate headless browser workers and limit active concurrency.</w:t>
      </w:r>
    </w:p>
    <w:p>
      <w:pPr>
        <w:pStyle w:val="ListBullet"/>
        <w:spacing w:before="0" w:after="68" w:line="271" w:lineRule="auto"/>
        <w:ind w:left="317" w:hanging="202"/>
      </w:pPr>
      <w:r>
        <w:rPr>
          <w:rFonts w:ascii="Arial" w:hAnsi="Arial" w:eastAsia="Arial"/>
          <w:b w:val="0"/>
          <w:i w:val="0"/>
          <w:color w:val="111827"/>
          <w:sz w:val="19"/>
        </w:rPr>
        <w:t>Implemented secure session-state management and encrypted storage for user-authorized session artifacts, ensuring compliance and reliability.</w:t>
      </w:r>
    </w:p>
    <w:p>
      <w:pPr>
        <w:spacing w:before="160" w:after="70" w:line="259" w:lineRule="auto"/>
        <w:pBdr>
          <w:bottom w:val="single" w:sz="5" w:space="1" w:color="9FB6CF"/>
        </w:pBdr>
      </w:pPr>
      <w:r>
        <w:rPr>
          <w:rFonts w:ascii="Arial" w:hAnsi="Arial" w:eastAsia="Arial"/>
          <w:b/>
          <w:i w:val="0"/>
          <w:color w:val="1F4D78"/>
          <w:sz w:val="21"/>
        </w:rPr>
        <w:t>SKILLS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75"/>
        <w:gridCol w:w="7661"/>
      </w:tblGrid>
      <w:tr>
        <w:tc>
          <w:tcPr>
            <w:tcW w:type="dxa" w:w="2275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1F5F9"/>
          </w:tcPr>
          <w:p>
            <w:pPr>
              <w:spacing w:after="28" w:before="0" w:line="259" w:lineRule="auto"/>
            </w:pPr>
            <w:r>
              <w:rPr>
                <w:rFonts w:ascii="Arial" w:hAnsi="Arial" w:eastAsia="Arial"/>
                <w:b/>
                <w:i w:val="0"/>
                <w:color w:val="0B2545"/>
                <w:sz w:val="19"/>
              </w:rPr>
              <w:t>AI / LLM</w:t>
            </w:r>
          </w:p>
        </w:tc>
        <w:tc>
          <w:tcPr>
            <w:tcW w:type="dxa" w:w="7661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28" w:line="259" w:lineRule="auto" w:before="0"/>
            </w:pPr>
            <w:r>
              <w:rPr>
                <w:rFonts w:ascii="Arial" w:hAnsi="Arial" w:eastAsia="Arial"/>
                <w:b w:val="0"/>
                <w:i w:val="0"/>
                <w:color w:val="111827"/>
                <w:sz w:val="18"/>
              </w:rPr>
              <w:t>Agentic AI, RAG, LangChain, MCPs, Machine Learning, Deep Learning, NLP, MLOps, DevOps</w:t>
            </w:r>
          </w:p>
        </w:tc>
      </w:tr>
      <w:tr>
        <w:tc>
          <w:tcPr>
            <w:tcW w:type="dxa" w:w="2275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1F5F9"/>
          </w:tcPr>
          <w:p>
            <w:pPr>
              <w:spacing w:after="28" w:line="259" w:lineRule="auto" w:before="0"/>
            </w:pPr>
            <w:r>
              <w:rPr>
                <w:rFonts w:ascii="Arial" w:hAnsi="Arial" w:eastAsia="Arial"/>
                <w:b/>
                <w:i w:val="0"/>
                <w:color w:val="0B2545"/>
                <w:sz w:val="19"/>
              </w:rPr>
              <w:t>Analytics</w:t>
            </w:r>
          </w:p>
        </w:tc>
        <w:tc>
          <w:tcPr>
            <w:tcW w:type="dxa" w:w="7661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28" w:line="259" w:lineRule="auto" w:before="0"/>
            </w:pPr>
            <w:r>
              <w:rPr>
                <w:rFonts w:ascii="Arial" w:hAnsi="Arial" w:eastAsia="Arial"/>
                <w:b w:val="0"/>
                <w:i w:val="0"/>
                <w:color w:val="111827"/>
                <w:sz w:val="18"/>
              </w:rPr>
              <w:t>KPI frameworks, Marketing Mix Modeling, Hypothesis Testing, A/B Testing, Regression, Clustering, Boosting, Classification, Sentiment Analysis</w:t>
            </w:r>
          </w:p>
        </w:tc>
      </w:tr>
      <w:tr>
        <w:tc>
          <w:tcPr>
            <w:tcW w:type="dxa" w:w="2275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1F5F9"/>
          </w:tcPr>
          <w:p>
            <w:pPr>
              <w:spacing w:after="28" w:line="259" w:lineRule="auto" w:before="0"/>
            </w:pPr>
            <w:r>
              <w:rPr>
                <w:rFonts w:ascii="Arial" w:hAnsi="Arial" w:eastAsia="Arial"/>
                <w:b/>
                <w:i w:val="0"/>
                <w:color w:val="0B2545"/>
                <w:sz w:val="19"/>
              </w:rPr>
              <w:t>Data / Cloud</w:t>
            </w:r>
          </w:p>
        </w:tc>
        <w:tc>
          <w:tcPr>
            <w:tcW w:type="dxa" w:w="7661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28" w:line="259" w:lineRule="auto" w:before="0"/>
            </w:pPr>
            <w:r>
              <w:rPr>
                <w:rFonts w:ascii="Arial" w:hAnsi="Arial" w:eastAsia="Arial"/>
                <w:b w:val="0"/>
                <w:i w:val="0"/>
                <w:color w:val="111827"/>
                <w:sz w:val="18"/>
              </w:rPr>
              <w:t>Python, SQL, BigQuery, GCP (Cloud Functions, BigQuery), AWS (S3, Lambda), Big Data, Power BI, Tableau, Looker Studio</w:t>
            </w:r>
          </w:p>
        </w:tc>
      </w:tr>
      <w:tr>
        <w:tc>
          <w:tcPr>
            <w:tcW w:type="dxa" w:w="2275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1F5F9"/>
          </w:tcPr>
          <w:p>
            <w:pPr>
              <w:spacing w:after="28" w:line="259" w:lineRule="auto" w:before="0"/>
            </w:pPr>
            <w:r>
              <w:rPr>
                <w:rFonts w:ascii="Arial" w:hAnsi="Arial" w:eastAsia="Arial"/>
                <w:b/>
                <w:i w:val="0"/>
                <w:color w:val="0B2545"/>
                <w:sz w:val="19"/>
              </w:rPr>
              <w:t>Marketing</w:t>
            </w:r>
          </w:p>
        </w:tc>
        <w:tc>
          <w:tcPr>
            <w:tcW w:type="dxa" w:w="7661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28" w:line="259" w:lineRule="auto" w:before="0"/>
            </w:pPr>
            <w:r>
              <w:rPr>
                <w:rFonts w:ascii="Arial" w:hAnsi="Arial" w:eastAsia="Arial"/>
                <w:b w:val="0"/>
                <w:i w:val="0"/>
                <w:color w:val="111827"/>
                <w:sz w:val="18"/>
              </w:rPr>
              <w:t>Performance &amp; Brand Marketing, Loyalty Analytics, Web Analytics, Product Recommendation, CLM, ATL/BTL/Digital measurement</w:t>
            </w:r>
          </w:p>
        </w:tc>
      </w:tr>
      <w:tr>
        <w:tc>
          <w:tcPr>
            <w:tcW w:type="dxa" w:w="2275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1F5F9"/>
          </w:tcPr>
          <w:p>
            <w:pPr>
              <w:spacing w:after="28" w:line="259" w:lineRule="auto" w:before="0"/>
            </w:pPr>
            <w:r>
              <w:rPr>
                <w:rFonts w:ascii="Arial" w:hAnsi="Arial" w:eastAsia="Arial"/>
                <w:b/>
                <w:i w:val="0"/>
                <w:color w:val="0B2545"/>
                <w:sz w:val="19"/>
              </w:rPr>
              <w:t>Product</w:t>
            </w:r>
          </w:p>
        </w:tc>
        <w:tc>
          <w:tcPr>
            <w:tcW w:type="dxa" w:w="7661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28" w:line="259" w:lineRule="auto" w:before="0"/>
            </w:pPr>
            <w:r>
              <w:rPr>
                <w:rFonts w:ascii="Arial" w:hAnsi="Arial" w:eastAsia="Arial"/>
                <w:b w:val="0"/>
                <w:i w:val="0"/>
                <w:color w:val="111827"/>
                <w:sz w:val="18"/>
              </w:rPr>
              <w:t>FastAPI, Next.js, PostgreSQL, Redis, Celery, Playwright, Tailwind CSS, GitHub Actions</w:t>
            </w:r>
          </w:p>
        </w:tc>
      </w:tr>
    </w:tbl>
    <w:p>
      <w:pPr>
        <w:spacing w:before="160" w:after="70" w:line="259" w:lineRule="auto"/>
        <w:pBdr>
          <w:bottom w:val="single" w:sz="5" w:space="1" w:color="9FB6CF"/>
        </w:pBdr>
      </w:pPr>
      <w:r>
        <w:rPr>
          <w:rFonts w:ascii="Arial" w:hAnsi="Arial" w:eastAsia="Arial"/>
          <w:b/>
          <w:i w:val="0"/>
          <w:color w:val="1F4D78"/>
          <w:sz w:val="21"/>
        </w:rPr>
        <w:t>SELECTED AWARDS</w:t>
      </w:r>
    </w:p>
    <w:p>
      <w:pPr>
        <w:pStyle w:val="ListBullet"/>
        <w:spacing w:before="0" w:after="68" w:line="271" w:lineRule="auto"/>
        <w:ind w:left="317" w:hanging="202"/>
      </w:pPr>
      <w:r>
        <w:rPr>
          <w:rFonts w:ascii="Arial" w:hAnsi="Arial" w:eastAsia="Arial"/>
          <w:b w:val="0"/>
          <w:i w:val="0"/>
          <w:color w:val="111827"/>
          <w:sz w:val="19"/>
        </w:rPr>
        <w:t>Best Performer of the Quarter (Q1 2024), Novartis.</w:t>
      </w:r>
    </w:p>
    <w:p>
      <w:pPr>
        <w:pStyle w:val="ListBullet"/>
        <w:spacing w:before="0" w:after="68" w:line="271" w:lineRule="auto"/>
        <w:ind w:left="317" w:hanging="202"/>
      </w:pPr>
      <w:r>
        <w:rPr>
          <w:rFonts w:ascii="Arial" w:hAnsi="Arial" w:eastAsia="Arial"/>
          <w:b w:val="0"/>
          <w:i w:val="0"/>
          <w:color w:val="111827"/>
          <w:sz w:val="19"/>
        </w:rPr>
        <w:t>Best Performer of the Quarter (Q3 Trailblazer), redBus, for campaign strategy that resulted in 30% growth in new customers.</w:t>
      </w:r>
    </w:p>
    <w:p>
      <w:pPr>
        <w:pStyle w:val="ListBullet"/>
        <w:spacing w:before="0" w:after="68" w:line="271" w:lineRule="auto"/>
        <w:ind w:left="317" w:hanging="202"/>
      </w:pPr>
      <w:r>
        <w:rPr>
          <w:rFonts w:ascii="Arial" w:hAnsi="Arial" w:eastAsia="Arial"/>
          <w:b w:val="0"/>
          <w:i w:val="0"/>
          <w:color w:val="111827"/>
          <w:sz w:val="19"/>
        </w:rPr>
        <w:t>Best Performer of the Year (2020-2021), GroupM; selected for the WPP NextGen program.</w:t>
      </w:r>
    </w:p>
    <w:p>
      <w:pPr>
        <w:pStyle w:val="ListBullet"/>
        <w:spacing w:before="0" w:after="68" w:line="271" w:lineRule="auto"/>
        <w:ind w:left="317" w:hanging="202"/>
      </w:pPr>
      <w:r>
        <w:rPr>
          <w:rFonts w:ascii="Arial" w:hAnsi="Arial" w:eastAsia="Arial"/>
          <w:b w:val="0"/>
          <w:i w:val="0"/>
          <w:color w:val="111827"/>
          <w:sz w:val="19"/>
        </w:rPr>
        <w:t>Special Recognition Award for work as Manager in Aarunya fest, IIM Amritsar.</w:t>
      </w:r>
    </w:p>
    <w:p>
      <w:pPr>
        <w:spacing w:before="160" w:after="70" w:line="259" w:lineRule="auto"/>
        <w:pBdr>
          <w:bottom w:val="single" w:sz="5" w:space="1" w:color="9FB6CF"/>
        </w:pBdr>
      </w:pPr>
      <w:r>
        <w:rPr>
          <w:rFonts w:ascii="Arial" w:hAnsi="Arial" w:eastAsia="Arial"/>
          <w:b/>
          <w:i w:val="0"/>
          <w:color w:val="1F4D78"/>
          <w:sz w:val="21"/>
        </w:rPr>
        <w:t>EDUCATION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14"/>
        <w:gridCol w:w="2714"/>
        <w:gridCol w:w="2714"/>
        <w:gridCol w:w="2714"/>
      </w:tblGrid>
      <w:tr>
        <w:trPr>
          <w:tblHeader w:val="true"/>
        </w:trPr>
        <w:tc>
          <w:tcPr>
            <w:tcW w:type="dxa" w:w="1584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line="259" w:lineRule="auto" w:before="0" w:after="28"/>
            </w:pPr>
            <w:r>
              <w:rPr>
                <w:rFonts w:ascii="Arial" w:hAnsi="Arial" w:eastAsia="Arial"/>
                <w:b/>
                <w:i w:val="0"/>
                <w:color w:val="0B2545"/>
                <w:sz w:val="19"/>
              </w:rPr>
              <w:t>Degree</w:t>
            </w:r>
          </w:p>
        </w:tc>
        <w:tc>
          <w:tcPr>
            <w:tcW w:type="dxa" w:w="1944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line="259" w:lineRule="auto" w:before="0" w:after="28"/>
            </w:pPr>
            <w:r>
              <w:rPr>
                <w:rFonts w:ascii="Arial" w:hAnsi="Arial" w:eastAsia="Arial"/>
                <w:b/>
                <w:i w:val="0"/>
                <w:color w:val="0B2545"/>
                <w:sz w:val="19"/>
              </w:rPr>
              <w:t>Duration</w:t>
            </w:r>
          </w:p>
        </w:tc>
        <w:tc>
          <w:tcPr>
            <w:tcW w:type="dxa" w:w="5256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line="259" w:lineRule="auto" w:before="0" w:after="28"/>
            </w:pPr>
            <w:r>
              <w:rPr>
                <w:rFonts w:ascii="Arial" w:hAnsi="Arial" w:eastAsia="Arial"/>
                <w:b/>
                <w:i w:val="0"/>
                <w:color w:val="0B2545"/>
                <w:sz w:val="19"/>
              </w:rPr>
              <w:t>Institute / Specialization</w:t>
            </w:r>
          </w:p>
        </w:tc>
        <w:tc>
          <w:tcPr>
            <w:tcW w:type="dxa" w:w="136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line="259" w:lineRule="auto" w:before="0" w:after="28"/>
            </w:pPr>
            <w:r>
              <w:rPr>
                <w:rFonts w:ascii="Arial" w:hAnsi="Arial" w:eastAsia="Arial"/>
                <w:b/>
                <w:i w:val="0"/>
                <w:color w:val="0B2545"/>
                <w:sz w:val="19"/>
              </w:rPr>
              <w:t>Grade</w:t>
            </w:r>
          </w:p>
        </w:tc>
      </w:tr>
      <w:tr>
        <w:tc>
          <w:tcPr>
            <w:tcW w:type="dxa" w:w="158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before="0" w:after="28" w:line="259" w:lineRule="auto"/>
            </w:pPr>
            <w:r>
              <w:rPr>
                <w:rFonts w:ascii="Arial" w:hAnsi="Arial" w:eastAsia="Arial"/>
                <w:b w:val="0"/>
                <w:i w:val="0"/>
                <w:color w:val="111827"/>
                <w:sz w:val="18"/>
              </w:rPr>
              <w:t>MBA</w:t>
            </w:r>
          </w:p>
        </w:tc>
        <w:tc>
          <w:tcPr>
            <w:tcW w:type="dxa" w:w="194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line="259" w:lineRule="auto" w:before="0" w:after="28"/>
            </w:pPr>
            <w:r>
              <w:rPr>
                <w:rFonts w:ascii="Arial" w:hAnsi="Arial" w:eastAsia="Arial"/>
                <w:b w:val="0"/>
                <w:i w:val="0"/>
                <w:color w:val="111827"/>
                <w:sz w:val="18"/>
              </w:rPr>
              <w:t>2018-2020</w:t>
            </w:r>
          </w:p>
        </w:tc>
        <w:tc>
          <w:tcPr>
            <w:tcW w:type="dxa" w:w="525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line="259" w:lineRule="auto" w:before="0" w:after="28"/>
            </w:pPr>
            <w:r>
              <w:rPr>
                <w:rFonts w:ascii="Arial" w:hAnsi="Arial" w:eastAsia="Arial"/>
                <w:b w:val="0"/>
                <w:i w:val="0"/>
                <w:color w:val="111827"/>
                <w:sz w:val="18"/>
              </w:rPr>
              <w:t>Indian Institute of Management, Amritsar | Marketing / Analytics</w:t>
            </w:r>
          </w:p>
        </w:tc>
        <w:tc>
          <w:tcPr>
            <w:tcW w:type="dxa" w:w="136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line="259" w:lineRule="auto" w:before="0" w:after="28"/>
            </w:pPr>
            <w:r>
              <w:rPr>
                <w:rFonts w:ascii="Arial" w:hAnsi="Arial" w:eastAsia="Arial"/>
                <w:b w:val="0"/>
                <w:i w:val="0"/>
                <w:color w:val="111827"/>
                <w:sz w:val="18"/>
              </w:rPr>
              <w:t>3.371/4.33</w:t>
            </w:r>
          </w:p>
        </w:tc>
      </w:tr>
      <w:tr>
        <w:tc>
          <w:tcPr>
            <w:tcW w:type="dxa" w:w="158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line="259" w:lineRule="auto" w:before="0" w:after="28"/>
            </w:pPr>
            <w:r>
              <w:rPr>
                <w:rFonts w:ascii="Arial" w:hAnsi="Arial" w:eastAsia="Arial"/>
                <w:b w:val="0"/>
                <w:i w:val="0"/>
                <w:color w:val="111827"/>
                <w:sz w:val="18"/>
              </w:rPr>
              <w:t>B.Tech.</w:t>
            </w:r>
          </w:p>
        </w:tc>
        <w:tc>
          <w:tcPr>
            <w:tcW w:type="dxa" w:w="194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line="259" w:lineRule="auto" w:before="0" w:after="28"/>
            </w:pPr>
            <w:r>
              <w:rPr>
                <w:rFonts w:ascii="Arial" w:hAnsi="Arial" w:eastAsia="Arial"/>
                <w:b w:val="0"/>
                <w:i w:val="0"/>
                <w:color w:val="111827"/>
                <w:sz w:val="18"/>
              </w:rPr>
              <w:t>2012-2016</w:t>
            </w:r>
          </w:p>
        </w:tc>
        <w:tc>
          <w:tcPr>
            <w:tcW w:type="dxa" w:w="525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line="259" w:lineRule="auto" w:before="0" w:after="28"/>
            </w:pPr>
            <w:r>
              <w:rPr>
                <w:rFonts w:ascii="Arial" w:hAnsi="Arial" w:eastAsia="Arial"/>
                <w:b w:val="0"/>
                <w:i w:val="0"/>
                <w:color w:val="111827"/>
                <w:sz w:val="18"/>
              </w:rPr>
              <w:t>MVGR College of Engineering | Electrical and Electronics Engineering</w:t>
            </w:r>
          </w:p>
        </w:tc>
        <w:tc>
          <w:tcPr>
            <w:tcW w:type="dxa" w:w="136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line="259" w:lineRule="auto" w:before="0" w:after="28"/>
            </w:pPr>
            <w:r>
              <w:rPr>
                <w:rFonts w:ascii="Arial" w:hAnsi="Arial" w:eastAsia="Arial"/>
                <w:b w:val="0"/>
                <w:i w:val="0"/>
                <w:color w:val="111827"/>
                <w:sz w:val="18"/>
              </w:rPr>
              <w:t>79.75%</w:t>
            </w:r>
          </w:p>
        </w:tc>
      </w:tr>
    </w:tbl>
    <w:p>
      <w:pPr>
        <w:spacing w:before="180" w:after="80" w:line="259" w:lineRule="auto"/>
        <w:pBdr>
          <w:bottom w:val="single" w:sz="5" w:space="1" w:color="9FB6CF"/>
        </w:pBdr>
      </w:pPr>
      <w:r>
        <w:rPr>
          <w:rFonts w:ascii="Arial" w:hAnsi="Arial" w:eastAsia="Arial"/>
          <w:b/>
          <w:color w:val="1F4D78"/>
          <w:sz w:val="21"/>
        </w:rPr>
        <w:t>LEADERSHIP &amp; IMPACT HIGHLIGHTS</w:t>
      </w:r>
    </w:p>
    <w:p>
      <w:pPr>
        <w:pStyle w:val="ListBullet"/>
        <w:spacing w:before="0" w:after="64" w:line="269" w:lineRule="auto"/>
        <w:ind w:left="317" w:hanging="202"/>
      </w:pPr>
      <w:r>
        <w:rPr>
          <w:rFonts w:ascii="Arial" w:hAnsi="Arial" w:eastAsia="Arial"/>
          <w:b w:val="0"/>
          <w:color w:val="111827"/>
          <w:sz w:val="19"/>
        </w:rPr>
        <w:t>Led cross-functional analytics programs across marketing, IT, patient support, and analytics teams to integrate digital analytics into business processes.</w:t>
      </w:r>
    </w:p>
    <w:p>
      <w:pPr>
        <w:pStyle w:val="ListBullet"/>
        <w:spacing w:before="0" w:after="64" w:line="269" w:lineRule="auto"/>
        <w:ind w:left="317" w:hanging="202"/>
      </w:pPr>
      <w:r>
        <w:rPr>
          <w:rFonts w:ascii="Arial" w:hAnsi="Arial" w:eastAsia="Arial"/>
          <w:b w:val="0"/>
          <w:color w:val="111827"/>
          <w:sz w:val="19"/>
        </w:rPr>
        <w:t>Directed end-to-end analytics initiatives from data collection and analysis to actionable insights, reporting, and executive decision support.</w:t>
      </w:r>
    </w:p>
    <w:p>
      <w:pPr>
        <w:pStyle w:val="ListBullet"/>
        <w:spacing w:before="0" w:after="64" w:line="269" w:lineRule="auto"/>
        <w:ind w:left="317" w:hanging="202"/>
      </w:pPr>
      <w:r>
        <w:rPr>
          <w:rFonts w:ascii="Arial" w:hAnsi="Arial" w:eastAsia="Arial"/>
          <w:b w:val="0"/>
          <w:color w:val="111827"/>
          <w:sz w:val="19"/>
        </w:rPr>
        <w:t>Presented analytical findings and strategic recommendations to senior leadership across Marketing and Patient Support divisions.</w:t>
      </w:r>
    </w:p>
    <w:p>
      <w:pPr>
        <w:pStyle w:val="ListBullet"/>
        <w:spacing w:before="0" w:after="64" w:line="269" w:lineRule="auto"/>
        <w:ind w:left="317" w:hanging="202"/>
      </w:pPr>
      <w:r>
        <w:rPr>
          <w:rFonts w:ascii="Arial" w:hAnsi="Arial" w:eastAsia="Arial"/>
          <w:b w:val="0"/>
          <w:color w:val="111827"/>
          <w:sz w:val="19"/>
        </w:rPr>
        <w:t>Trained and mentored team members in AI and analytics best practices, supporting a stronger data-centric culture.</w:t>
      </w:r>
    </w:p>
    <w:p>
      <w:pPr>
        <w:pStyle w:val="ListBullet"/>
        <w:spacing w:before="0" w:after="64" w:line="269" w:lineRule="auto"/>
        <w:ind w:left="317" w:hanging="202"/>
      </w:pPr>
      <w:r>
        <w:rPr>
          <w:rFonts w:ascii="Arial" w:hAnsi="Arial" w:eastAsia="Arial"/>
          <w:b w:val="0"/>
          <w:color w:val="111827"/>
          <w:sz w:val="19"/>
        </w:rPr>
        <w:t>Led marketing analytics measurement for ATL, BTL, digital, and CLM campaigns across redBus markets and channels.</w:t>
      </w:r>
    </w:p>
    <w:sectPr w:rsidR="00FC693F" w:rsidRPr="0006063C" w:rsidSect="00034616">
      <w:pgSz w:w="12240" w:h="15840"/>
      <w:pgMar w:top="605" w:right="691" w:bottom="605" w:left="691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 w:eastAsia="Arial"/>
      <w:sz w:val="1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madhu.kumar245@gmail.com" TargetMode="External"/><Relationship Id="rId10" Type="http://schemas.openxmlformats.org/officeDocument/2006/relationships/hyperlink" Target="https://www.linkedin.com/in/madhu-dadi-54684531" TargetMode="External"/><Relationship Id="rId11" Type="http://schemas.openxmlformats.org/officeDocument/2006/relationships/hyperlink" Target="https://madhudadi.in" TargetMode="External"/><Relationship Id="rId12" Type="http://schemas.openxmlformats.org/officeDocument/2006/relationships/hyperlink" Target="https://github.com/madhu2456" TargetMode="External"/><Relationship Id="rId13" Type="http://schemas.openxmlformats.org/officeDocument/2006/relationships/hyperlink" Target="https://adticks.com" TargetMode="External"/><Relationship Id="rId14" Type="http://schemas.openxmlformats.org/officeDocument/2006/relationships/hyperlink" Target="https://madhudadi.in/blog" TargetMode="External"/><Relationship Id="rId15" Type="http://schemas.openxmlformats.org/officeDocument/2006/relationships/hyperlink" Target="https://udemyenroller.madhudadi.in" TargetMode="External"/><Relationship Id="rId16" Type="http://schemas.openxmlformats.org/officeDocument/2006/relationships/hyperlink" Target="tel:+91998542244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Madhu Dadi Resume</dc:title>
  <dc:subject>AI &amp; Analytics Leader Resume</dc:subject>
  <dc:creator>Madhu Dadi</dc:creator>
  <cp:keywords>AI analytics, RAG, LLM, marketing analytics, healthcare analytics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