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2409A"/>
          <w:sz w:val="48"/>
        </w:rPr>
        <w:t>Deterministic Resolution Journeys</w:t>
      </w:r>
    </w:p>
    <w:p>
      <w:pPr>
        <w:jc w:val="center"/>
      </w:pPr>
      <w:r>
        <w:rPr>
          <w:color w:val="23262E"/>
          <w:sz w:val="26"/>
        </w:rPr>
        <w:t>Comprehensive Logic Document for Key Modules</w:t>
      </w:r>
    </w:p>
    <w:p>
      <w:pPr>
        <w:jc w:val="center"/>
      </w:pPr>
      <w:r>
        <w:rPr>
          <w:i/>
          <w:color w:val="5F636E"/>
          <w:sz w:val="21"/>
        </w:rPr>
        <w:t>Contract-to-Cozy (CtC) — Product / Engineering Reference</w:t>
      </w:r>
    </w:p>
    <w:p/>
    <w:tbl>
      <w:tblPr>
        <w:tblW w:type="auto" w:w="0"/>
        <w:jc w:val="center"/>
        <w:tblLayout w:type="autofit"/>
        <w:tblLook w:firstColumn="1" w:firstRow="1" w:lastColumn="0" w:lastRow="0" w:noHBand="0" w:noVBand="1" w:val="04A0"/>
      </w:tblPr>
      <w:tblGrid>
        <w:gridCol w:w="10086"/>
      </w:tblGrid>
      <w:tr>
        <w:tc>
          <w:tcPr>
            <w:tcW w:type="dxa" w:w="10086"/>
            <w:shd w:fill="F5F8FF"/>
            <w:tcMar>
              <w:top w:w="100" w:type="dxa"/>
              <w:start w:w="140" w:type="dxa"/>
              <w:bottom w:w="100" w:type="dxa"/>
              <w:end w:w="140" w:type="dxa"/>
            </w:tcMar>
          </w:tcPr>
          <w:p>
            <w:pPr>
              <w:pStyle w:val="Callout"/>
            </w:pPr>
            <w:r>
              <w:rPr>
                <w:i/>
                <w:color w:val="23262E"/>
              </w:rPr>
              <w:t>This document focuses on the deterministic logic of the feature: signal normalization, journey construction, step orchestration, derived intelligence, prioritization, suppression, merging, execution guarding, Home Tools integration, and frontend/mobile behavior.</w:t>
            </w:r>
          </w:p>
        </w:tc>
      </w:tr>
    </w:tbl>
    <w:p/>
    <w:p>
      <w:pPr>
        <w:pStyle w:val="Heading1"/>
      </w:pPr>
      <w:r>
        <w:t>1. Executive Summary</w:t>
      </w:r>
    </w:p>
    <w:p>
      <w:r>
        <w:t>Deterministic Resolution Journeys (DRJ) is the cross-product guidance layer that converts CtC signals into ordered, trustworthy action paths. It removes generic CTAs, prevents premature execution, reuses existing Home Tools as journey steps, and makes backend intelligence visible in the UI.</w:t>
      </w:r>
    </w:p>
    <w:tbl>
      <w:tblPr>
        <w:tblStyle w:val="TableGrid"/>
        <w:tblW w:type="auto" w:w="0"/>
        <w:jc w:val="center"/>
        <w:tblLook w:firstColumn="1" w:firstRow="1" w:lastColumn="0" w:lastRow="0" w:noHBand="0" w:noVBand="1" w:val="04A0"/>
      </w:tblPr>
      <w:tblGrid>
        <w:gridCol w:w="5043"/>
        <w:gridCol w:w="5043"/>
      </w:tblGrid>
      <w:tr>
        <w:tc>
          <w:tcPr>
            <w:tcW w:type="dxa" w:w="5043"/>
            <w:shd w:fill="DCE6FF"/>
            <w:tcMar>
              <w:top w:w="80" w:type="dxa"/>
              <w:start w:w="120" w:type="dxa"/>
              <w:bottom w:w="80" w:type="dxa"/>
              <w:end w:w="120" w:type="dxa"/>
            </w:tcMar>
          </w:tcPr>
          <w:p>
            <w:r>
              <w:rPr>
                <w:b/>
              </w:rPr>
              <w:t>What DRJ Solves</w:t>
            </w:r>
          </w:p>
        </w:tc>
        <w:tc>
          <w:tcPr>
            <w:tcW w:type="dxa" w:w="5043"/>
            <w:shd w:fill="DCE6FF"/>
            <w:tcMar>
              <w:top w:w="80" w:type="dxa"/>
              <w:start w:w="120" w:type="dxa"/>
              <w:bottom w:w="80" w:type="dxa"/>
              <w:end w:w="120" w:type="dxa"/>
            </w:tcMar>
          </w:tcPr>
          <w:p>
            <w:r>
              <w:rPr>
                <w:b/>
              </w:rPr>
              <w:t>How It Solves It</w:t>
            </w:r>
          </w:p>
        </w:tc>
      </w:tr>
      <w:tr>
        <w:tc>
          <w:tcPr>
            <w:tcW w:type="dxa" w:w="5043"/>
            <w:tcMar>
              <w:top w:w="80" w:type="dxa"/>
              <w:start w:w="120" w:type="dxa"/>
              <w:bottom w:w="80" w:type="dxa"/>
              <w:end w:w="120" w:type="dxa"/>
            </w:tcMar>
            <w:vAlign w:val="center"/>
          </w:tcPr>
          <w:p>
            <w:r>
              <w:t>Users see issue-only or generic actions</w:t>
            </w:r>
          </w:p>
        </w:tc>
        <w:tc>
          <w:tcPr>
            <w:tcW w:type="dxa" w:w="5043"/>
            <w:tcMar>
              <w:top w:w="80" w:type="dxa"/>
              <w:start w:w="120" w:type="dxa"/>
              <w:bottom w:w="80" w:type="dxa"/>
              <w:end w:w="120" w:type="dxa"/>
            </w:tcMar>
            <w:vAlign w:val="center"/>
          </w:tcPr>
          <w:p>
            <w:r>
              <w:t>Every actionable signal resolves to a canonical next step and a deterministic journey.</w:t>
            </w:r>
          </w:p>
        </w:tc>
      </w:tr>
      <w:tr>
        <w:tc>
          <w:tcPr>
            <w:tcW w:type="dxa" w:w="5043"/>
            <w:tcMar>
              <w:top w:w="80" w:type="dxa"/>
              <w:start w:w="120" w:type="dxa"/>
              <w:bottom w:w="80" w:type="dxa"/>
              <w:end w:w="120" w:type="dxa"/>
            </w:tcMar>
            <w:vAlign w:val="center"/>
          </w:tcPr>
          <w:p>
            <w:r>
              <w:t>Execution happens too early</w:t>
            </w:r>
          </w:p>
        </w:tc>
        <w:tc>
          <w:tcPr>
            <w:tcW w:type="dxa" w:w="5043"/>
            <w:tcMar>
              <w:top w:w="80" w:type="dxa"/>
              <w:start w:w="120" w:type="dxa"/>
              <w:bottom w:w="80" w:type="dxa"/>
              <w:end w:w="120" w:type="dxa"/>
            </w:tcMar>
            <w:vAlign w:val="center"/>
          </w:tcPr>
          <w:p>
            <w:r>
              <w:t>Execution Guard blocks booking or equivalent actions until required prior steps are complete.</w:t>
            </w:r>
          </w:p>
        </w:tc>
      </w:tr>
      <w:tr>
        <w:tc>
          <w:tcPr>
            <w:tcW w:type="dxa" w:w="5043"/>
            <w:tcMar>
              <w:top w:w="80" w:type="dxa"/>
              <w:start w:w="120" w:type="dxa"/>
              <w:bottom w:w="80" w:type="dxa"/>
              <w:end w:w="120" w:type="dxa"/>
            </w:tcMar>
            <w:vAlign w:val="center"/>
          </w:tcPr>
          <w:p>
            <w:r>
              <w:t>Tools operate in isolation</w:t>
            </w:r>
          </w:p>
        </w:tc>
        <w:tc>
          <w:tcPr>
            <w:tcW w:type="dxa" w:w="5043"/>
            <w:tcMar>
              <w:top w:w="80" w:type="dxa"/>
              <w:start w:w="120" w:type="dxa"/>
              <w:bottom w:w="80" w:type="dxa"/>
              <w:end w:w="120" w:type="dxa"/>
            </w:tcMar>
            <w:vAlign w:val="center"/>
          </w:tcPr>
          <w:p>
            <w:r>
              <w:t>Journey steps map directly to existing Home Tools and persist derived outputs between steps.</w:t>
            </w:r>
          </w:p>
        </w:tc>
      </w:tr>
      <w:tr>
        <w:tc>
          <w:tcPr>
            <w:tcW w:type="dxa" w:w="5043"/>
            <w:tcMar>
              <w:top w:w="80" w:type="dxa"/>
              <w:start w:w="120" w:type="dxa"/>
              <w:bottom w:w="80" w:type="dxa"/>
              <w:end w:w="120" w:type="dxa"/>
            </w:tcMar>
            <w:vAlign w:val="center"/>
          </w:tcPr>
          <w:p>
            <w:r>
              <w:t>Backend detects issues but UI stays silent</w:t>
            </w:r>
          </w:p>
        </w:tc>
        <w:tc>
          <w:tcPr>
            <w:tcW w:type="dxa" w:w="5043"/>
            <w:tcMar>
              <w:top w:w="80" w:type="dxa"/>
              <w:start w:w="120" w:type="dxa"/>
              <w:bottom w:w="80" w:type="dxa"/>
              <w:end w:w="120" w:type="dxa"/>
            </w:tcMar>
            <w:vAlign w:val="center"/>
          </w:tcPr>
          <w:p>
            <w:r>
              <w:t>Worker- and service-generated signals create/update visible guidance surfaces.</w:t>
            </w:r>
          </w:p>
        </w:tc>
      </w:tr>
      <w:tr>
        <w:tc>
          <w:tcPr>
            <w:tcW w:type="dxa" w:w="5043"/>
            <w:tcMar>
              <w:top w:w="80" w:type="dxa"/>
              <w:start w:w="120" w:type="dxa"/>
              <w:bottom w:w="80" w:type="dxa"/>
              <w:end w:w="120" w:type="dxa"/>
            </w:tcMar>
            <w:vAlign w:val="center"/>
          </w:tcPr>
          <w:p>
            <w:r>
              <w:t>Too many weak actions create noise</w:t>
            </w:r>
          </w:p>
        </w:tc>
        <w:tc>
          <w:tcPr>
            <w:tcW w:type="dxa" w:w="5043"/>
            <w:tcMar>
              <w:top w:w="80" w:type="dxa"/>
              <w:start w:w="120" w:type="dxa"/>
              <w:bottom w:w="80" w:type="dxa"/>
              <w:end w:w="120" w:type="dxa"/>
            </w:tcMar>
            <w:vAlign w:val="center"/>
          </w:tcPr>
          <w:p>
            <w:r>
              <w:t>Priority Engine, Signal Suppression, and Signal Merging rank, dedupe, and consolidate actions.</w:t>
            </w:r>
          </w:p>
        </w:tc>
      </w:tr>
    </w:tbl>
    <w:p/>
    <w:p>
      <w:pPr>
        <w:pStyle w:val="Heading1"/>
      </w:pPr>
      <w:r>
        <w:t>2. Product Logic Overview</w:t>
      </w:r>
    </w:p>
    <w:p>
      <w:r>
        <w:t>DRJ is not a new standalone tool. It is a deterministic orchestration layer that sits across CtC and coordinates existing Home Tools, alerts, incidents, financial models, and provider flows.</w:t>
      </w:r>
    </w:p>
    <w:p/>
    <w:p>
      <w:r>
        <w:t>Core sequence:</w:t>
      </w:r>
    </w:p>
    <w:p>
      <w:pPr/>
      <w:r>
        <w:t>1. Signal is detected or resolved from an existing backend/service/worker/tool.</w:t>
      </w:r>
    </w:p>
    <w:p>
      <w:pPr/>
      <w:r>
        <w:t>2. Signal is normalized into a GuidanceSignal contract.</w:t>
      </w:r>
    </w:p>
    <w:p>
      <w:pPr/>
      <w:r>
        <w:t>3. A matching journey template is selected.</w:t>
      </w:r>
    </w:p>
    <w:p>
      <w:pPr/>
      <w:r>
        <w:t>4. Ordered journey steps are created or updated.</w:t>
      </w:r>
    </w:p>
    <w:p>
      <w:pPr/>
      <w:r>
        <w:t>5. Existing Home Tools execute specific steps and return structured outputs.</w:t>
      </w:r>
    </w:p>
    <w:p>
      <w:pPr/>
      <w:r>
        <w:t>6. Derived data is persisted and re-used by downstream steps.</w:t>
      </w:r>
    </w:p>
    <w:p>
      <w:pPr/>
      <w:r>
        <w:t>7. Next best step is recalculated.</w:t>
      </w:r>
    </w:p>
    <w:p>
      <w:pPr/>
      <w:r>
        <w:t>8. Execution-stage actions are allowed only when readiness rules pass.</w:t>
      </w:r>
    </w:p>
    <w:p>
      <w:pPr>
        <w:pStyle w:val="Heading1"/>
      </w:pPr>
      <w:r>
        <w:t>3. Primary Inputs and Signal Sources</w:t>
      </w:r>
    </w:p>
    <w:p>
      <w:r>
        <w:t>Key signal sources reviewed for this feature:</w:t>
      </w:r>
    </w:p>
    <w:p>
      <w:pPr>
        <w:pStyle w:val="ListBullet"/>
      </w:pPr>
      <w:r>
        <w:t>Risk Assessment / Home Score / Risk Radar</w:t>
      </w:r>
    </w:p>
    <w:p>
      <w:pPr>
        <w:pStyle w:val="ListBullet"/>
      </w:pPr>
      <w:r>
        <w:t>Maintenance, Seasonal, Daily Snapshot, Habit Coach</w:t>
      </w:r>
    </w:p>
    <w:p>
      <w:pPr>
        <w:pStyle w:val="ListBullet"/>
      </w:pPr>
      <w:r>
        <w:t>Home Digital Twin and completeness scoring</w:t>
      </w:r>
    </w:p>
    <w:p>
      <w:pPr>
        <w:pStyle w:val="ListBullet"/>
      </w:pPr>
      <w:r>
        <w:t>Insurance Auditor / Coverage Intelligence / OCR / lapse incidents</w:t>
      </w:r>
    </w:p>
    <w:p>
      <w:pPr>
        <w:pStyle w:val="ListBullet"/>
      </w:pPr>
      <w:r>
        <w:t>Replace vs Repair / Appliance Oracle</w:t>
      </w:r>
    </w:p>
    <w:p>
      <w:pPr>
        <w:pStyle w:val="ListBullet"/>
      </w:pPr>
      <w:r>
        <w:t>Price Radar / Service Price Radar</w:t>
      </w:r>
    </w:p>
    <w:p>
      <w:pPr>
        <w:pStyle w:val="ListBullet"/>
      </w:pPr>
      <w:r>
        <w:t>Negotiation Shield (contractor, inspection, claim scenarios)</w:t>
      </w:r>
    </w:p>
    <w:p>
      <w:pPr>
        <w:pStyle w:val="ListBullet"/>
      </w:pPr>
      <w:r>
        <w:t>Inspection reports and visual inspection flows</w:t>
      </w:r>
    </w:p>
    <w:p>
      <w:pPr>
        <w:pStyle w:val="ListBullet"/>
      </w:pPr>
      <w:r>
        <w:t>Home Event Radar / Neighborhood Change / Gazette</w:t>
      </w:r>
    </w:p>
    <w:p>
      <w:pPr>
        <w:pStyle w:val="ListBullet"/>
      </w:pPr>
      <w:r>
        <w:t>Hidden Asset Finder, Seller Prep, Capital Timeline, Home Savings, Do-Nothing Simulator, True Cost of Ownership</w:t>
      </w:r>
    </w:p>
    <w:p>
      <w:pPr>
        <w:pStyle w:val="ListBullet"/>
      </w:pPr>
      <w:r>
        <w:t>Recall matching, freeze/weather/climate workers</w:t>
      </w:r>
    </w:p>
    <w:p>
      <w:pPr>
        <w:pStyle w:val="ListBullet"/>
      </w:pPr>
      <w:r>
        <w:t>Bookings, provider search, claims, disputes</w:t>
      </w:r>
    </w:p>
    <w:p>
      <w:pPr>
        <w:pStyle w:val="Heading1"/>
      </w:pPr>
      <w:r>
        <w:t>4. Database Tables and Enums</w:t>
      </w:r>
    </w:p>
    <w:p>
      <w:r>
        <w:t>The database layer provides persistent state for signals, journeys, steps, and optionally event traceability. The intent is to create a deterministic foundation without duplicating tool-specific data models.</w:t>
      </w:r>
    </w:p>
    <w:p>
      <w:pPr>
        <w:pStyle w:val="Heading2"/>
      </w:pPr>
      <w:r>
        <w:t>4.1 GuidanceSignal</w:t>
      </w:r>
    </w:p>
    <w:tbl>
      <w:tblPr>
        <w:tblStyle w:val="TableGrid"/>
        <w:tblW w:type="auto" w:w="0"/>
        <w:jc w:val="center"/>
        <w:tblLook w:firstColumn="1" w:firstRow="1" w:lastColumn="0" w:lastRow="0" w:noHBand="0" w:noVBand="1" w:val="04A0"/>
      </w:tblPr>
      <w:tblGrid>
        <w:gridCol w:w="5043"/>
        <w:gridCol w:w="5043"/>
      </w:tblGrid>
      <w:tr>
        <w:tc>
          <w:tcPr>
            <w:tcW w:type="dxa" w:w="5043"/>
            <w:shd w:fill="E8EEFF"/>
            <w:tcMar>
              <w:top w:w="80" w:type="dxa"/>
              <w:start w:w="120" w:type="dxa"/>
              <w:bottom w:w="80" w:type="dxa"/>
              <w:end w:w="120" w:type="dxa"/>
            </w:tcMar>
          </w:tcPr>
          <w:p>
            <w:r>
              <w:rPr>
                <w:b/>
              </w:rPr>
              <w:t>Field</w:t>
            </w:r>
          </w:p>
        </w:tc>
        <w:tc>
          <w:tcPr>
            <w:tcW w:type="dxa" w:w="5043"/>
            <w:shd w:fill="E8EEFF"/>
            <w:tcMar>
              <w:top w:w="80" w:type="dxa"/>
              <w:start w:w="120" w:type="dxa"/>
              <w:bottom w:w="80" w:type="dxa"/>
              <w:end w:w="120" w:type="dxa"/>
            </w:tcMar>
          </w:tcPr>
          <w:p>
            <w:r>
              <w:rPr>
                <w:b/>
              </w:rPr>
              <w:t>Purpose / Logic</w:t>
            </w:r>
          </w:p>
        </w:tc>
      </w:tr>
      <w:tr>
        <w:tc>
          <w:tcPr>
            <w:tcW w:type="dxa" w:w="5043"/>
            <w:tcMar>
              <w:top w:w="80" w:type="dxa"/>
              <w:start w:w="120" w:type="dxa"/>
              <w:bottom w:w="80" w:type="dxa"/>
              <w:end w:w="120" w:type="dxa"/>
            </w:tcMar>
            <w:vAlign w:val="center"/>
          </w:tcPr>
          <w:p>
            <w:r>
              <w:t>id, propertyId, assetId</w:t>
            </w:r>
          </w:p>
        </w:tc>
        <w:tc>
          <w:tcPr>
            <w:tcW w:type="dxa" w:w="5043"/>
            <w:tcMar>
              <w:top w:w="80" w:type="dxa"/>
              <w:start w:w="120" w:type="dxa"/>
              <w:bottom w:w="80" w:type="dxa"/>
              <w:end w:w="120" w:type="dxa"/>
            </w:tcMar>
            <w:vAlign w:val="center"/>
          </w:tcPr>
          <w:p>
            <w:r>
              <w:t>Property-scoped and optionally asset-scoped signal identity.</w:t>
            </w:r>
          </w:p>
        </w:tc>
      </w:tr>
      <w:tr>
        <w:tc>
          <w:tcPr>
            <w:tcW w:type="dxa" w:w="5043"/>
            <w:tcMar>
              <w:top w:w="80" w:type="dxa"/>
              <w:start w:w="120" w:type="dxa"/>
              <w:bottom w:w="80" w:type="dxa"/>
              <w:end w:w="120" w:type="dxa"/>
            </w:tcMar>
            <w:vAlign w:val="center"/>
          </w:tcPr>
          <w:p>
            <w:r>
              <w:t>signalIntentFamily</w:t>
            </w:r>
          </w:p>
        </w:tc>
        <w:tc>
          <w:tcPr>
            <w:tcW w:type="dxa" w:w="5043"/>
            <w:tcMar>
              <w:top w:w="80" w:type="dxa"/>
              <w:start w:w="120" w:type="dxa"/>
              <w:bottom w:w="80" w:type="dxa"/>
              <w:end w:w="120" w:type="dxa"/>
            </w:tcMar>
            <w:vAlign w:val="center"/>
          </w:tcPr>
          <w:p>
            <w:r>
              <w:t>Normalized family such as lifecycle_end_or_past_life, coverage_gap, price_above_market, inspection_followup_needed.</w:t>
            </w:r>
          </w:p>
        </w:tc>
      </w:tr>
      <w:tr>
        <w:tc>
          <w:tcPr>
            <w:tcW w:type="dxa" w:w="5043"/>
            <w:tcMar>
              <w:top w:w="80" w:type="dxa"/>
              <w:start w:w="120" w:type="dxa"/>
              <w:bottom w:w="80" w:type="dxa"/>
              <w:end w:w="120" w:type="dxa"/>
            </w:tcMar>
            <w:vAlign w:val="center"/>
          </w:tcPr>
          <w:p>
            <w:r>
              <w:t>issueDomain</w:t>
            </w:r>
          </w:p>
        </w:tc>
        <w:tc>
          <w:tcPr>
            <w:tcW w:type="dxa" w:w="5043"/>
            <w:tcMar>
              <w:top w:w="80" w:type="dxa"/>
              <w:start w:w="120" w:type="dxa"/>
              <w:bottom w:w="80" w:type="dxa"/>
              <w:end w:w="120" w:type="dxa"/>
            </w:tcMar>
            <w:vAlign w:val="center"/>
          </w:tcPr>
          <w:p>
            <w:r>
              <w:t>Operational domain used for grouping and logic routing: maintenance, insurance, financial, safety, compliance, neighborhood, claims, etc.</w:t>
            </w:r>
          </w:p>
        </w:tc>
      </w:tr>
      <w:tr>
        <w:tc>
          <w:tcPr>
            <w:tcW w:type="dxa" w:w="5043"/>
            <w:tcMar>
              <w:top w:w="80" w:type="dxa"/>
              <w:start w:w="120" w:type="dxa"/>
              <w:bottom w:w="80" w:type="dxa"/>
              <w:end w:w="120" w:type="dxa"/>
            </w:tcMar>
            <w:vAlign w:val="center"/>
          </w:tcPr>
          <w:p>
            <w:r>
              <w:t>decisionStage</w:t>
            </w:r>
          </w:p>
        </w:tc>
        <w:tc>
          <w:tcPr>
            <w:tcW w:type="dxa" w:w="5043"/>
            <w:tcMar>
              <w:top w:w="80" w:type="dxa"/>
              <w:start w:w="120" w:type="dxa"/>
              <w:bottom w:w="80" w:type="dxa"/>
              <w:end w:w="120" w:type="dxa"/>
            </w:tcMar>
            <w:vAlign w:val="center"/>
          </w:tcPr>
          <w:p>
            <w:r>
              <w:t>Current stage: awareness, diagnosis, decision, execution, validation, tracking.</w:t>
            </w:r>
          </w:p>
        </w:tc>
      </w:tr>
      <w:tr>
        <w:tc>
          <w:tcPr>
            <w:tcW w:type="dxa" w:w="5043"/>
            <w:tcMar>
              <w:top w:w="80" w:type="dxa"/>
              <w:start w:w="120" w:type="dxa"/>
              <w:bottom w:w="80" w:type="dxa"/>
              <w:end w:w="120" w:type="dxa"/>
            </w:tcMar>
            <w:vAlign w:val="center"/>
          </w:tcPr>
          <w:p>
            <w:r>
              <w:t>severity, confidenceScore</w:t>
            </w:r>
          </w:p>
        </w:tc>
        <w:tc>
          <w:tcPr>
            <w:tcW w:type="dxa" w:w="5043"/>
            <w:tcMar>
              <w:top w:w="80" w:type="dxa"/>
              <w:start w:w="120" w:type="dxa"/>
              <w:bottom w:w="80" w:type="dxa"/>
              <w:end w:w="120" w:type="dxa"/>
            </w:tcMar>
            <w:vAlign w:val="center"/>
          </w:tcPr>
          <w:p>
            <w:r>
              <w:t>Used by Priority Engine and Confidence Layer.</w:t>
            </w:r>
          </w:p>
        </w:tc>
      </w:tr>
      <w:tr>
        <w:tc>
          <w:tcPr>
            <w:tcW w:type="dxa" w:w="5043"/>
            <w:tcMar>
              <w:top w:w="80" w:type="dxa"/>
              <w:start w:w="120" w:type="dxa"/>
              <w:bottom w:w="80" w:type="dxa"/>
              <w:end w:w="120" w:type="dxa"/>
            </w:tcMar>
            <w:vAlign w:val="center"/>
          </w:tcPr>
          <w:p>
            <w:r>
              <w:t>executionReadiness</w:t>
            </w:r>
          </w:p>
        </w:tc>
        <w:tc>
          <w:tcPr>
            <w:tcW w:type="dxa" w:w="5043"/>
            <w:tcMar>
              <w:top w:w="80" w:type="dxa"/>
              <w:start w:w="120" w:type="dxa"/>
              <w:bottom w:w="80" w:type="dxa"/>
              <w:end w:w="120" w:type="dxa"/>
            </w:tcMar>
            <w:vAlign w:val="center"/>
          </w:tcPr>
          <w:p>
            <w:r>
              <w:t>not_ready, needs_context, ready, or tracking_only. Drives guard logic and UX treatment.</w:t>
            </w:r>
          </w:p>
        </w:tc>
      </w:tr>
      <w:tr>
        <w:tc>
          <w:tcPr>
            <w:tcW w:type="dxa" w:w="5043"/>
            <w:tcMar>
              <w:top w:w="80" w:type="dxa"/>
              <w:start w:w="120" w:type="dxa"/>
              <w:bottom w:w="80" w:type="dxa"/>
              <w:end w:w="120" w:type="dxa"/>
            </w:tcMar>
            <w:vAlign w:val="center"/>
          </w:tcPr>
          <w:p>
            <w:r>
              <w:t>canonicalFirstStep</w:t>
            </w:r>
          </w:p>
        </w:tc>
        <w:tc>
          <w:tcPr>
            <w:tcW w:type="dxa" w:w="5043"/>
            <w:tcMar>
              <w:top w:w="80" w:type="dxa"/>
              <w:start w:w="120" w:type="dxa"/>
              <w:bottom w:w="80" w:type="dxa"/>
              <w:end w:w="120" w:type="dxa"/>
            </w:tcMar>
            <w:vAlign w:val="center"/>
          </w:tcPr>
          <w:p>
            <w:r>
              <w:t>Single best next action for the user.</w:t>
            </w:r>
          </w:p>
        </w:tc>
      </w:tr>
      <w:tr>
        <w:tc>
          <w:tcPr>
            <w:tcW w:type="dxa" w:w="5043"/>
            <w:tcMar>
              <w:top w:w="80" w:type="dxa"/>
              <w:start w:w="120" w:type="dxa"/>
              <w:bottom w:w="80" w:type="dxa"/>
              <w:end w:w="120" w:type="dxa"/>
            </w:tcMar>
            <w:vAlign w:val="center"/>
          </w:tcPr>
          <w:p>
            <w:r>
              <w:t>recommendedTool</w:t>
            </w:r>
          </w:p>
        </w:tc>
        <w:tc>
          <w:tcPr>
            <w:tcW w:type="dxa" w:w="5043"/>
            <w:tcMar>
              <w:top w:w="80" w:type="dxa"/>
              <w:start w:w="120" w:type="dxa"/>
              <w:bottom w:w="80" w:type="dxa"/>
              <w:end w:w="120" w:type="dxa"/>
            </w:tcMar>
            <w:vAlign w:val="center"/>
          </w:tcPr>
          <w:p>
            <w:r>
              <w:t>Preferred CtC destination if a tool or page should own the step.</w:t>
            </w:r>
          </w:p>
        </w:tc>
      </w:tr>
      <w:tr>
        <w:tc>
          <w:tcPr>
            <w:tcW w:type="dxa" w:w="5043"/>
            <w:tcMar>
              <w:top w:w="80" w:type="dxa"/>
              <w:start w:w="120" w:type="dxa"/>
              <w:bottom w:w="80" w:type="dxa"/>
              <w:end w:w="120" w:type="dxa"/>
            </w:tcMar>
            <w:vAlign w:val="center"/>
          </w:tcPr>
          <w:p>
            <w:r>
              <w:t>contextPrerequisites</w:t>
            </w:r>
          </w:p>
        </w:tc>
        <w:tc>
          <w:tcPr>
            <w:tcW w:type="dxa" w:w="5043"/>
            <w:tcMar>
              <w:top w:w="80" w:type="dxa"/>
              <w:start w:w="120" w:type="dxa"/>
              <w:bottom w:w="80" w:type="dxa"/>
              <w:end w:w="120" w:type="dxa"/>
            </w:tcMar>
            <w:vAlign w:val="center"/>
          </w:tcPr>
          <w:p>
            <w:r>
              <w:t>What must be known before higher-confidence or execution-stage actions are allowed.</w:t>
            </w:r>
          </w:p>
        </w:tc>
      </w:tr>
      <w:tr>
        <w:tc>
          <w:tcPr>
            <w:tcW w:type="dxa" w:w="5043"/>
            <w:tcMar>
              <w:top w:w="80" w:type="dxa"/>
              <w:start w:w="120" w:type="dxa"/>
              <w:bottom w:w="80" w:type="dxa"/>
              <w:end w:w="120" w:type="dxa"/>
            </w:tcMar>
            <w:vAlign w:val="center"/>
          </w:tcPr>
          <w:p>
            <w:r>
              <w:t>sourcePayload / metadata</w:t>
            </w:r>
          </w:p>
        </w:tc>
        <w:tc>
          <w:tcPr>
            <w:tcW w:type="dxa" w:w="5043"/>
            <w:tcMar>
              <w:top w:w="80" w:type="dxa"/>
              <w:start w:w="120" w:type="dxa"/>
              <w:bottom w:w="80" w:type="dxa"/>
              <w:end w:w="120" w:type="dxa"/>
            </w:tcMar>
            <w:vAlign w:val="center"/>
          </w:tcPr>
          <w:p>
            <w:r>
              <w:t>Traceability back to originating tool/service/worker without duplicating raw source tables.</w:t>
            </w:r>
          </w:p>
        </w:tc>
      </w:tr>
      <w:tr>
        <w:tc>
          <w:tcPr>
            <w:tcW w:type="dxa" w:w="5043"/>
            <w:tcMar>
              <w:top w:w="80" w:type="dxa"/>
              <w:start w:w="120" w:type="dxa"/>
              <w:bottom w:w="80" w:type="dxa"/>
              <w:end w:w="120" w:type="dxa"/>
            </w:tcMar>
            <w:vAlign w:val="center"/>
          </w:tcPr>
          <w:p>
            <w:r>
              <w:t>duplicateGroupId</w:t>
            </w:r>
          </w:p>
        </w:tc>
        <w:tc>
          <w:tcPr>
            <w:tcW w:type="dxa" w:w="5043"/>
            <w:tcMar>
              <w:top w:w="80" w:type="dxa"/>
              <w:start w:w="120" w:type="dxa"/>
              <w:bottom w:w="80" w:type="dxa"/>
              <w:end w:w="120" w:type="dxa"/>
            </w:tcMar>
            <w:vAlign w:val="center"/>
          </w:tcPr>
          <w:p>
            <w:r>
              <w:t>Supports signal dedupe and merging logic.</w:t>
            </w:r>
          </w:p>
        </w:tc>
      </w:tr>
    </w:tbl>
    <w:p/>
    <w:p>
      <w:pPr>
        <w:pStyle w:val="Heading2"/>
      </w:pPr>
      <w:r>
        <w:t>4.2 GuidanceJourney</w:t>
      </w:r>
    </w:p>
    <w:tbl>
      <w:tblPr>
        <w:tblStyle w:val="TableGrid"/>
        <w:tblW w:type="auto" w:w="0"/>
        <w:jc w:val="center"/>
        <w:tblLook w:firstColumn="1" w:firstRow="1" w:lastColumn="0" w:lastRow="0" w:noHBand="0" w:noVBand="1" w:val="04A0"/>
      </w:tblPr>
      <w:tblGrid>
        <w:gridCol w:w="5043"/>
        <w:gridCol w:w="5043"/>
      </w:tblGrid>
      <w:tr>
        <w:tc>
          <w:tcPr>
            <w:tcW w:type="dxa" w:w="5043"/>
            <w:shd w:fill="E8EEFF"/>
            <w:tcMar>
              <w:top w:w="80" w:type="dxa"/>
              <w:start w:w="120" w:type="dxa"/>
              <w:bottom w:w="80" w:type="dxa"/>
              <w:end w:w="120" w:type="dxa"/>
            </w:tcMar>
          </w:tcPr>
          <w:p>
            <w:r>
              <w:rPr>
                <w:b/>
              </w:rPr>
              <w:t>Field</w:t>
            </w:r>
          </w:p>
        </w:tc>
        <w:tc>
          <w:tcPr>
            <w:tcW w:type="dxa" w:w="5043"/>
            <w:shd w:fill="E8EEFF"/>
            <w:tcMar>
              <w:top w:w="80" w:type="dxa"/>
              <w:start w:w="120" w:type="dxa"/>
              <w:bottom w:w="80" w:type="dxa"/>
              <w:end w:w="120" w:type="dxa"/>
            </w:tcMar>
          </w:tcPr>
          <w:p>
            <w:r>
              <w:rPr>
                <w:b/>
              </w:rPr>
              <w:t>Purpose / Logic</w:t>
            </w:r>
          </w:p>
        </w:tc>
      </w:tr>
      <w:tr>
        <w:tc>
          <w:tcPr>
            <w:tcW w:type="dxa" w:w="5043"/>
            <w:tcMar>
              <w:top w:w="80" w:type="dxa"/>
              <w:start w:w="120" w:type="dxa"/>
              <w:bottom w:w="80" w:type="dxa"/>
              <w:end w:w="120" w:type="dxa"/>
            </w:tcMar>
            <w:vAlign w:val="center"/>
          </w:tcPr>
          <w:p>
            <w:r>
              <w:t>id, propertyId, assetId, signalId</w:t>
            </w:r>
          </w:p>
        </w:tc>
        <w:tc>
          <w:tcPr>
            <w:tcW w:type="dxa" w:w="5043"/>
            <w:tcMar>
              <w:top w:w="80" w:type="dxa"/>
              <w:start w:w="120" w:type="dxa"/>
              <w:bottom w:w="80" w:type="dxa"/>
              <w:end w:w="120" w:type="dxa"/>
            </w:tcMar>
            <w:vAlign w:val="center"/>
          </w:tcPr>
          <w:p>
            <w:r>
              <w:t>Journey identity and origin.</w:t>
            </w:r>
          </w:p>
        </w:tc>
      </w:tr>
      <w:tr>
        <w:tc>
          <w:tcPr>
            <w:tcW w:type="dxa" w:w="5043"/>
            <w:tcMar>
              <w:top w:w="80" w:type="dxa"/>
              <w:start w:w="120" w:type="dxa"/>
              <w:bottom w:w="80" w:type="dxa"/>
              <w:end w:w="120" w:type="dxa"/>
            </w:tcMar>
            <w:vAlign w:val="center"/>
          </w:tcPr>
          <w:p>
            <w:r>
              <w:t>journeyType</w:t>
            </w:r>
          </w:p>
        </w:tc>
        <w:tc>
          <w:tcPr>
            <w:tcW w:type="dxa" w:w="5043"/>
            <w:tcMar>
              <w:top w:w="80" w:type="dxa"/>
              <w:start w:w="120" w:type="dxa"/>
              <w:bottom w:w="80" w:type="dxa"/>
              <w:end w:w="120" w:type="dxa"/>
            </w:tcMar>
            <w:vAlign w:val="center"/>
          </w:tcPr>
          <w:p>
            <w:r>
              <w:t>Template key such as SYSTEM_FAILURE, COVERAGE_RISK, INSPECTION_FOLLOWUP, FINANCIAL_EXPOSURE.</w:t>
            </w:r>
          </w:p>
        </w:tc>
      </w:tr>
      <w:tr>
        <w:tc>
          <w:tcPr>
            <w:tcW w:type="dxa" w:w="5043"/>
            <w:tcMar>
              <w:top w:w="80" w:type="dxa"/>
              <w:start w:w="120" w:type="dxa"/>
              <w:bottom w:w="80" w:type="dxa"/>
              <w:end w:w="120" w:type="dxa"/>
            </w:tcMar>
            <w:vAlign w:val="center"/>
          </w:tcPr>
          <w:p>
            <w:r>
              <w:t>status</w:t>
            </w:r>
          </w:p>
        </w:tc>
        <w:tc>
          <w:tcPr>
            <w:tcW w:type="dxa" w:w="5043"/>
            <w:tcMar>
              <w:top w:w="80" w:type="dxa"/>
              <w:start w:w="120" w:type="dxa"/>
              <w:bottom w:w="80" w:type="dxa"/>
              <w:end w:w="120" w:type="dxa"/>
            </w:tcMar>
            <w:vAlign w:val="center"/>
          </w:tcPr>
          <w:p>
            <w:r>
              <w:t>ACTIVE, COMPLETED, ABORTED, optionally ARCHIVED.</w:t>
            </w:r>
          </w:p>
        </w:tc>
      </w:tr>
      <w:tr>
        <w:tc>
          <w:tcPr>
            <w:tcW w:type="dxa" w:w="5043"/>
            <w:tcMar>
              <w:top w:w="80" w:type="dxa"/>
              <w:start w:w="120" w:type="dxa"/>
              <w:bottom w:w="80" w:type="dxa"/>
              <w:end w:w="120" w:type="dxa"/>
            </w:tcMar>
            <w:vAlign w:val="center"/>
          </w:tcPr>
          <w:p>
            <w:r>
              <w:t>currentStepId</w:t>
            </w:r>
          </w:p>
        </w:tc>
        <w:tc>
          <w:tcPr>
            <w:tcW w:type="dxa" w:w="5043"/>
            <w:tcMar>
              <w:top w:w="80" w:type="dxa"/>
              <w:start w:w="120" w:type="dxa"/>
              <w:bottom w:w="80" w:type="dxa"/>
              <w:end w:w="120" w:type="dxa"/>
            </w:tcMar>
            <w:vAlign w:val="center"/>
          </w:tcPr>
          <w:p>
            <w:r>
              <w:t>Fast lookup of the current controlling step.</w:t>
            </w:r>
          </w:p>
        </w:tc>
      </w:tr>
      <w:tr>
        <w:tc>
          <w:tcPr>
            <w:tcW w:type="dxa" w:w="5043"/>
            <w:tcMar>
              <w:top w:w="80" w:type="dxa"/>
              <w:start w:w="120" w:type="dxa"/>
              <w:bottom w:w="80" w:type="dxa"/>
              <w:end w:w="120" w:type="dxa"/>
            </w:tcMar>
            <w:vAlign w:val="center"/>
          </w:tcPr>
          <w:p>
            <w:r>
              <w:t>executionReadiness</w:t>
            </w:r>
          </w:p>
        </w:tc>
        <w:tc>
          <w:tcPr>
            <w:tcW w:type="dxa" w:w="5043"/>
            <w:tcMar>
              <w:top w:w="80" w:type="dxa"/>
              <w:start w:w="120" w:type="dxa"/>
              <w:bottom w:w="80" w:type="dxa"/>
              <w:end w:w="120" w:type="dxa"/>
            </w:tcMar>
            <w:vAlign w:val="center"/>
          </w:tcPr>
          <w:p>
            <w:r>
              <w:t>Journey-level readiness; used by execution guard and UI.</w:t>
            </w:r>
          </w:p>
        </w:tc>
      </w:tr>
      <w:tr>
        <w:tc>
          <w:tcPr>
            <w:tcW w:type="dxa" w:w="5043"/>
            <w:tcMar>
              <w:top w:w="80" w:type="dxa"/>
              <w:start w:w="120" w:type="dxa"/>
              <w:bottom w:w="80" w:type="dxa"/>
              <w:end w:w="120" w:type="dxa"/>
            </w:tcMar>
            <w:vAlign w:val="center"/>
          </w:tcPr>
          <w:p>
            <w:r>
              <w:t>derivedData</w:t>
            </w:r>
          </w:p>
        </w:tc>
        <w:tc>
          <w:tcPr>
            <w:tcW w:type="dxa" w:w="5043"/>
            <w:tcMar>
              <w:top w:w="80" w:type="dxa"/>
              <w:start w:w="120" w:type="dxa"/>
              <w:bottom w:w="80" w:type="dxa"/>
              <w:end w:w="120" w:type="dxa"/>
            </w:tcMar>
            <w:vAlign w:val="center"/>
          </w:tcPr>
          <w:p>
            <w:r>
              <w:t>Structured outputs merged from step-producing tools.</w:t>
            </w:r>
          </w:p>
        </w:tc>
      </w:tr>
      <w:tr>
        <w:tc>
          <w:tcPr>
            <w:tcW w:type="dxa" w:w="5043"/>
            <w:tcMar>
              <w:top w:w="80" w:type="dxa"/>
              <w:start w:w="120" w:type="dxa"/>
              <w:bottom w:w="80" w:type="dxa"/>
              <w:end w:w="120" w:type="dxa"/>
            </w:tcMar>
            <w:vAlign w:val="center"/>
          </w:tcPr>
          <w:p>
            <w:r>
              <w:t>contextSnapshot</w:t>
            </w:r>
          </w:p>
        </w:tc>
        <w:tc>
          <w:tcPr>
            <w:tcW w:type="dxa" w:w="5043"/>
            <w:tcMar>
              <w:top w:w="80" w:type="dxa"/>
              <w:start w:w="120" w:type="dxa"/>
              <w:bottom w:w="80" w:type="dxa"/>
              <w:end w:w="120" w:type="dxa"/>
            </w:tcMar>
            <w:vAlign w:val="center"/>
          </w:tcPr>
          <w:p>
            <w:r>
              <w:t>Point-in-time context used when journey was created or materially updated.</w:t>
            </w:r>
          </w:p>
        </w:tc>
      </w:tr>
      <w:tr>
        <w:tc>
          <w:tcPr>
            <w:tcW w:type="dxa" w:w="5043"/>
            <w:tcMar>
              <w:top w:w="80" w:type="dxa"/>
              <w:start w:w="120" w:type="dxa"/>
              <w:bottom w:w="80" w:type="dxa"/>
              <w:end w:w="120" w:type="dxa"/>
            </w:tcMar>
            <w:vAlign w:val="center"/>
          </w:tcPr>
          <w:p>
            <w:r>
              <w:t>lowContext flag / equivalent</w:t>
            </w:r>
          </w:p>
        </w:tc>
        <w:tc>
          <w:tcPr>
            <w:tcW w:type="dxa" w:w="5043"/>
            <w:tcMar>
              <w:top w:w="80" w:type="dxa"/>
              <w:start w:w="120" w:type="dxa"/>
              <w:bottom w:w="80" w:type="dxa"/>
              <w:end w:w="120" w:type="dxa"/>
            </w:tcMar>
            <w:vAlign w:val="center"/>
          </w:tcPr>
          <w:p>
            <w:r>
              <w:t>Signals whether important prerequisites were skipped or are missing.</w:t>
            </w:r>
          </w:p>
        </w:tc>
      </w:tr>
    </w:tbl>
    <w:p/>
    <w:p>
      <w:pPr>
        <w:pStyle w:val="Heading2"/>
      </w:pPr>
      <w:r>
        <w:t>4.3 GuidanceJourneyStep</w:t>
      </w:r>
    </w:p>
    <w:tbl>
      <w:tblPr>
        <w:tblStyle w:val="TableGrid"/>
        <w:tblW w:type="auto" w:w="0"/>
        <w:jc w:val="center"/>
        <w:tblLook w:firstColumn="1" w:firstRow="1" w:lastColumn="0" w:lastRow="0" w:noHBand="0" w:noVBand="1" w:val="04A0"/>
      </w:tblPr>
      <w:tblGrid>
        <w:gridCol w:w="5043"/>
        <w:gridCol w:w="5043"/>
      </w:tblGrid>
      <w:tr>
        <w:tc>
          <w:tcPr>
            <w:tcW w:type="dxa" w:w="5043"/>
            <w:shd w:fill="E8EEFF"/>
            <w:tcMar>
              <w:top w:w="80" w:type="dxa"/>
              <w:start w:w="120" w:type="dxa"/>
              <w:bottom w:w="80" w:type="dxa"/>
              <w:end w:w="120" w:type="dxa"/>
            </w:tcMar>
          </w:tcPr>
          <w:p>
            <w:r>
              <w:rPr>
                <w:b/>
              </w:rPr>
              <w:t>Field</w:t>
            </w:r>
          </w:p>
        </w:tc>
        <w:tc>
          <w:tcPr>
            <w:tcW w:type="dxa" w:w="5043"/>
            <w:shd w:fill="E8EEFF"/>
            <w:tcMar>
              <w:top w:w="80" w:type="dxa"/>
              <w:start w:w="120" w:type="dxa"/>
              <w:bottom w:w="80" w:type="dxa"/>
              <w:end w:w="120" w:type="dxa"/>
            </w:tcMar>
          </w:tcPr>
          <w:p>
            <w:r>
              <w:rPr>
                <w:b/>
              </w:rPr>
              <w:t>Purpose / Logic</w:t>
            </w:r>
          </w:p>
        </w:tc>
      </w:tr>
      <w:tr>
        <w:tc>
          <w:tcPr>
            <w:tcW w:type="dxa" w:w="5043"/>
            <w:tcMar>
              <w:top w:w="80" w:type="dxa"/>
              <w:start w:w="120" w:type="dxa"/>
              <w:bottom w:w="80" w:type="dxa"/>
              <w:end w:w="120" w:type="dxa"/>
            </w:tcMar>
            <w:vAlign w:val="center"/>
          </w:tcPr>
          <w:p>
            <w:r>
              <w:t>journeyId, order</w:t>
            </w:r>
          </w:p>
        </w:tc>
        <w:tc>
          <w:tcPr>
            <w:tcW w:type="dxa" w:w="5043"/>
            <w:tcMar>
              <w:top w:w="80" w:type="dxa"/>
              <w:start w:w="120" w:type="dxa"/>
              <w:bottom w:w="80" w:type="dxa"/>
              <w:end w:w="120" w:type="dxa"/>
            </w:tcMar>
            <w:vAlign w:val="center"/>
          </w:tcPr>
          <w:p>
            <w:r>
              <w:t>Ordered deterministic progression.</w:t>
            </w:r>
          </w:p>
        </w:tc>
      </w:tr>
      <w:tr>
        <w:tc>
          <w:tcPr>
            <w:tcW w:type="dxa" w:w="5043"/>
            <w:tcMar>
              <w:top w:w="80" w:type="dxa"/>
              <w:start w:w="120" w:type="dxa"/>
              <w:bottom w:w="80" w:type="dxa"/>
              <w:end w:w="120" w:type="dxa"/>
            </w:tcMar>
            <w:vAlign w:val="center"/>
          </w:tcPr>
          <w:p>
            <w:r>
              <w:t>stepKey, label</w:t>
            </w:r>
          </w:p>
        </w:tc>
        <w:tc>
          <w:tcPr>
            <w:tcW w:type="dxa" w:w="5043"/>
            <w:tcMar>
              <w:top w:w="80" w:type="dxa"/>
              <w:start w:w="120" w:type="dxa"/>
              <w:bottom w:w="80" w:type="dxa"/>
              <w:end w:w="120" w:type="dxa"/>
            </w:tcMar>
            <w:vAlign w:val="center"/>
          </w:tcPr>
          <w:p>
            <w:r>
              <w:t>Stable key plus human-readable step label.</w:t>
            </w:r>
          </w:p>
        </w:tc>
      </w:tr>
      <w:tr>
        <w:tc>
          <w:tcPr>
            <w:tcW w:type="dxa" w:w="5043"/>
            <w:tcMar>
              <w:top w:w="80" w:type="dxa"/>
              <w:start w:w="120" w:type="dxa"/>
              <w:bottom w:w="80" w:type="dxa"/>
              <w:end w:w="120" w:type="dxa"/>
            </w:tcMar>
            <w:vAlign w:val="center"/>
          </w:tcPr>
          <w:p>
            <w:r>
              <w:t>status</w:t>
            </w:r>
          </w:p>
        </w:tc>
        <w:tc>
          <w:tcPr>
            <w:tcW w:type="dxa" w:w="5043"/>
            <w:tcMar>
              <w:top w:w="80" w:type="dxa"/>
              <w:start w:w="120" w:type="dxa"/>
              <w:bottom w:w="80" w:type="dxa"/>
              <w:end w:w="120" w:type="dxa"/>
            </w:tcMar>
            <w:vAlign w:val="center"/>
          </w:tcPr>
          <w:p>
            <w:r>
              <w:t>PENDING, IN_PROGRESS, COMPLETED, SKIPPED, BLOCKED.</w:t>
            </w:r>
          </w:p>
        </w:tc>
      </w:tr>
      <w:tr>
        <w:tc>
          <w:tcPr>
            <w:tcW w:type="dxa" w:w="5043"/>
            <w:tcMar>
              <w:top w:w="80" w:type="dxa"/>
              <w:start w:w="120" w:type="dxa"/>
              <w:bottom w:w="80" w:type="dxa"/>
              <w:end w:w="120" w:type="dxa"/>
            </w:tcMar>
            <w:vAlign w:val="center"/>
          </w:tcPr>
          <w:p>
            <w:r>
              <w:t>isRequired</w:t>
            </w:r>
          </w:p>
        </w:tc>
        <w:tc>
          <w:tcPr>
            <w:tcW w:type="dxa" w:w="5043"/>
            <w:tcMar>
              <w:top w:w="80" w:type="dxa"/>
              <w:start w:w="120" w:type="dxa"/>
              <w:bottom w:w="80" w:type="dxa"/>
              <w:end w:w="120" w:type="dxa"/>
            </w:tcMar>
            <w:vAlign w:val="center"/>
          </w:tcPr>
          <w:p>
            <w:r>
              <w:t>Required steps gate downstream execution.</w:t>
            </w:r>
          </w:p>
        </w:tc>
      </w:tr>
      <w:tr>
        <w:tc>
          <w:tcPr>
            <w:tcW w:type="dxa" w:w="5043"/>
            <w:tcMar>
              <w:top w:w="80" w:type="dxa"/>
              <w:start w:w="120" w:type="dxa"/>
              <w:bottom w:w="80" w:type="dxa"/>
              <w:end w:w="120" w:type="dxa"/>
            </w:tcMar>
            <w:vAlign w:val="center"/>
          </w:tcPr>
          <w:p>
            <w:r>
              <w:t>blockedReason</w:t>
            </w:r>
          </w:p>
        </w:tc>
        <w:tc>
          <w:tcPr>
            <w:tcW w:type="dxa" w:w="5043"/>
            <w:tcMar>
              <w:top w:w="80" w:type="dxa"/>
              <w:start w:w="120" w:type="dxa"/>
              <w:bottom w:w="80" w:type="dxa"/>
              <w:end w:w="120" w:type="dxa"/>
            </w:tcMar>
            <w:vAlign w:val="center"/>
          </w:tcPr>
          <w:p>
            <w:r>
              <w:t>Human-readable explanation when the step cannot proceed.</w:t>
            </w:r>
          </w:p>
        </w:tc>
      </w:tr>
      <w:tr>
        <w:tc>
          <w:tcPr>
            <w:tcW w:type="dxa" w:w="5043"/>
            <w:tcMar>
              <w:top w:w="80" w:type="dxa"/>
              <w:start w:w="120" w:type="dxa"/>
              <w:bottom w:w="80" w:type="dxa"/>
              <w:end w:w="120" w:type="dxa"/>
            </w:tcMar>
            <w:vAlign w:val="center"/>
          </w:tcPr>
          <w:p>
            <w:r>
              <w:t>dataProduced</w:t>
            </w:r>
          </w:p>
        </w:tc>
        <w:tc>
          <w:tcPr>
            <w:tcW w:type="dxa" w:w="5043"/>
            <w:tcMar>
              <w:top w:w="80" w:type="dxa"/>
              <w:start w:w="120" w:type="dxa"/>
              <w:bottom w:w="80" w:type="dxa"/>
              <w:end w:w="120" w:type="dxa"/>
            </w:tcMar>
            <w:vAlign w:val="center"/>
          </w:tcPr>
          <w:p>
            <w:r>
              <w:t>Structured output created by that specific step.</w:t>
            </w:r>
          </w:p>
        </w:tc>
      </w:tr>
      <w:tr>
        <w:tc>
          <w:tcPr>
            <w:tcW w:type="dxa" w:w="5043"/>
            <w:tcMar>
              <w:top w:w="80" w:type="dxa"/>
              <w:start w:w="120" w:type="dxa"/>
              <w:bottom w:w="80" w:type="dxa"/>
              <w:end w:w="120" w:type="dxa"/>
            </w:tcMar>
            <w:vAlign w:val="center"/>
          </w:tcPr>
          <w:p>
            <w:r>
              <w:t>completedAt</w:t>
            </w:r>
          </w:p>
        </w:tc>
        <w:tc>
          <w:tcPr>
            <w:tcW w:type="dxa" w:w="5043"/>
            <w:tcMar>
              <w:top w:w="80" w:type="dxa"/>
              <w:start w:w="120" w:type="dxa"/>
              <w:bottom w:w="80" w:type="dxa"/>
              <w:end w:w="120" w:type="dxa"/>
            </w:tcMar>
            <w:vAlign w:val="center"/>
          </w:tcPr>
          <w:p>
            <w:r>
              <w:t>Auditable completion timestamp.</w:t>
            </w:r>
          </w:p>
        </w:tc>
      </w:tr>
    </w:tbl>
    <w:p/>
    <w:p>
      <w:pPr>
        <w:pStyle w:val="Heading2"/>
      </w:pPr>
      <w:r>
        <w:t>4.4 Enums</w:t>
      </w:r>
    </w:p>
    <w:tbl>
      <w:tblPr>
        <w:tblStyle w:val="TableGrid"/>
        <w:tblW w:type="auto" w:w="0"/>
        <w:jc w:val="center"/>
        <w:tblLook w:firstColumn="1" w:firstRow="1" w:lastColumn="0" w:lastRow="0" w:noHBand="0" w:noVBand="1" w:val="04A0"/>
      </w:tblPr>
      <w:tblGrid>
        <w:gridCol w:w="5043"/>
        <w:gridCol w:w="5043"/>
      </w:tblGrid>
      <w:tr>
        <w:tc>
          <w:tcPr>
            <w:tcW w:type="dxa" w:w="5043"/>
            <w:shd w:fill="E8EEFF"/>
            <w:tcMar>
              <w:top w:w="80" w:type="dxa"/>
              <w:start w:w="120" w:type="dxa"/>
              <w:bottom w:w="80" w:type="dxa"/>
              <w:end w:w="120" w:type="dxa"/>
            </w:tcMar>
          </w:tcPr>
          <w:p>
            <w:r>
              <w:rPr>
                <w:b/>
              </w:rPr>
              <w:t>Enum</w:t>
            </w:r>
          </w:p>
        </w:tc>
        <w:tc>
          <w:tcPr>
            <w:tcW w:type="dxa" w:w="5043"/>
            <w:shd w:fill="E8EEFF"/>
            <w:tcMar>
              <w:top w:w="80" w:type="dxa"/>
              <w:start w:w="120" w:type="dxa"/>
              <w:bottom w:w="80" w:type="dxa"/>
              <w:end w:w="120" w:type="dxa"/>
            </w:tcMar>
          </w:tcPr>
          <w:p>
            <w:r>
              <w:rPr>
                <w:b/>
              </w:rPr>
              <w:t>Values / Notes</w:t>
            </w:r>
          </w:p>
        </w:tc>
      </w:tr>
      <w:tr>
        <w:tc>
          <w:tcPr>
            <w:tcW w:type="dxa" w:w="5043"/>
            <w:tcMar>
              <w:top w:w="80" w:type="dxa"/>
              <w:start w:w="120" w:type="dxa"/>
              <w:bottom w:w="80" w:type="dxa"/>
              <w:end w:w="120" w:type="dxa"/>
            </w:tcMar>
          </w:tcPr>
          <w:p>
            <w:r>
              <w:t>JourneyStatus</w:t>
            </w:r>
          </w:p>
        </w:tc>
        <w:tc>
          <w:tcPr>
            <w:tcW w:type="dxa" w:w="5043"/>
            <w:tcMar>
              <w:top w:w="80" w:type="dxa"/>
              <w:start w:w="120" w:type="dxa"/>
              <w:bottom w:w="80" w:type="dxa"/>
              <w:end w:w="120" w:type="dxa"/>
            </w:tcMar>
          </w:tcPr>
          <w:p>
            <w:r>
              <w:t>ACTIVE, COMPLETED, ABORTED, optionally ARCHIVED</w:t>
            </w:r>
          </w:p>
        </w:tc>
      </w:tr>
      <w:tr>
        <w:tc>
          <w:tcPr>
            <w:tcW w:type="dxa" w:w="5043"/>
            <w:tcMar>
              <w:top w:w="80" w:type="dxa"/>
              <w:start w:w="120" w:type="dxa"/>
              <w:bottom w:w="80" w:type="dxa"/>
              <w:end w:w="120" w:type="dxa"/>
            </w:tcMar>
          </w:tcPr>
          <w:p>
            <w:r>
              <w:t>StepStatus</w:t>
            </w:r>
          </w:p>
        </w:tc>
        <w:tc>
          <w:tcPr>
            <w:tcW w:type="dxa" w:w="5043"/>
            <w:tcMar>
              <w:top w:w="80" w:type="dxa"/>
              <w:start w:w="120" w:type="dxa"/>
              <w:bottom w:w="80" w:type="dxa"/>
              <w:end w:w="120" w:type="dxa"/>
            </w:tcMar>
          </w:tcPr>
          <w:p>
            <w:r>
              <w:t>PENDING, IN_PROGRESS, COMPLETED, SKIPPED, BLOCKED</w:t>
            </w:r>
          </w:p>
        </w:tc>
      </w:tr>
      <w:tr>
        <w:tc>
          <w:tcPr>
            <w:tcW w:type="dxa" w:w="5043"/>
            <w:tcMar>
              <w:top w:w="80" w:type="dxa"/>
              <w:start w:w="120" w:type="dxa"/>
              <w:bottom w:w="80" w:type="dxa"/>
              <w:end w:w="120" w:type="dxa"/>
            </w:tcMar>
          </w:tcPr>
          <w:p>
            <w:r>
              <w:t>DecisionStage</w:t>
            </w:r>
          </w:p>
        </w:tc>
        <w:tc>
          <w:tcPr>
            <w:tcW w:type="dxa" w:w="5043"/>
            <w:tcMar>
              <w:top w:w="80" w:type="dxa"/>
              <w:start w:w="120" w:type="dxa"/>
              <w:bottom w:w="80" w:type="dxa"/>
              <w:end w:w="120" w:type="dxa"/>
            </w:tcMar>
          </w:tcPr>
          <w:p>
            <w:r>
              <w:t>AWARENESS, DIAGNOSIS, DECISION, EXECUTION, VALIDATION, TRACKING</w:t>
            </w:r>
          </w:p>
        </w:tc>
      </w:tr>
      <w:tr>
        <w:tc>
          <w:tcPr>
            <w:tcW w:type="dxa" w:w="5043"/>
            <w:tcMar>
              <w:top w:w="80" w:type="dxa"/>
              <w:start w:w="120" w:type="dxa"/>
              <w:bottom w:w="80" w:type="dxa"/>
              <w:end w:w="120" w:type="dxa"/>
            </w:tcMar>
          </w:tcPr>
          <w:p>
            <w:r>
              <w:t>ExecutionReadiness</w:t>
            </w:r>
          </w:p>
        </w:tc>
        <w:tc>
          <w:tcPr>
            <w:tcW w:type="dxa" w:w="5043"/>
            <w:tcMar>
              <w:top w:w="80" w:type="dxa"/>
              <w:start w:w="120" w:type="dxa"/>
              <w:bottom w:w="80" w:type="dxa"/>
              <w:end w:w="120" w:type="dxa"/>
            </w:tcMar>
          </w:tcPr>
          <w:p>
            <w:r>
              <w:t>NOT_READY, NEEDS_CONTEXT, READY, TRACKING_ONLY, UNKNOWN</w:t>
            </w:r>
          </w:p>
        </w:tc>
      </w:tr>
    </w:tbl>
    <w:p>
      <w:pPr>
        <w:pStyle w:val="Heading1"/>
      </w:pPr>
      <w:r>
        <w:t>5. Backend Modules and Logic</w:t>
      </w:r>
    </w:p>
    <w:p>
      <w:pPr>
        <w:pStyle w:val="Heading2"/>
      </w:pPr>
      <w:r>
        <w:t>5.1 guidanceSignalResolver.service.ts</w:t>
      </w:r>
    </w:p>
    <w:p>
      <w:pPr>
        <w:pStyle w:val="ListBullet"/>
      </w:pPr>
      <w:r>
        <w:t>Normalizes raw issues from tools, workers, incidents, bookings, claims, inspections, and financial services into a common signal contract.</w:t>
      </w:r>
    </w:p>
    <w:p>
      <w:pPr>
        <w:pStyle w:val="ListBullet"/>
      </w:pPr>
      <w:r>
        <w:t>Determines signalIntentFamily, issueDomain, decisionStage, executionReadiness, canonicalFirstStep, recommendedTool, severity, and confidence.</w:t>
      </w:r>
    </w:p>
    <w:p>
      <w:pPr>
        <w:pStyle w:val="ListBullet"/>
      </w:pPr>
      <w:r>
        <w:t>Uses existing service outputs instead of recomputing core business logic wherever possible.</w:t>
      </w:r>
    </w:p>
    <w:p>
      <w:pPr>
        <w:pStyle w:val="ListBullet"/>
      </w:pPr>
      <w:r>
        <w:t>Supports both visible-tool signals and backend-only/worker-only signals.</w:t>
      </w:r>
    </w:p>
    <w:p>
      <w:pPr>
        <w:pStyle w:val="Heading2"/>
      </w:pPr>
      <w:r>
        <w:t>5.2 guidanceTemplateRegistry.ts</w:t>
      </w:r>
    </w:p>
    <w:p>
      <w:pPr>
        <w:pStyle w:val="ListBullet"/>
      </w:pPr>
      <w:r>
        <w:t>Maps normalized signal families and issue domains to deterministic journey templates.</w:t>
      </w:r>
    </w:p>
    <w:p>
      <w:pPr>
        <w:pStyle w:val="ListBullet"/>
      </w:pPr>
      <w:r>
        <w:t>Defines ordered steps, required vs optional steps, default step labels, and default tool/flow ownership.</w:t>
      </w:r>
    </w:p>
    <w:p>
      <w:pPr>
        <w:pStyle w:val="ListBullet"/>
      </w:pPr>
      <w:r>
        <w:t>Encodes logic such as lifecycle_end_or_past_life → repair vs replace → coverage → pricing → negotiation → booking.</w:t>
      </w:r>
    </w:p>
    <w:p>
      <w:pPr>
        <w:pStyle w:val="ListBullet"/>
      </w:pPr>
      <w:r>
        <w:t>Acts as the contract between audit findings and executable backend flow logic.</w:t>
      </w:r>
    </w:p>
    <w:p>
      <w:pPr>
        <w:pStyle w:val="Heading2"/>
      </w:pPr>
      <w:r>
        <w:t>5.3 guidanceJourney.service.ts</w:t>
      </w:r>
    </w:p>
    <w:p>
      <w:pPr>
        <w:pStyle w:val="ListBullet"/>
      </w:pPr>
      <w:r>
        <w:t>Creates, reuses, updates, and closes GuidanceJourney records.</w:t>
      </w:r>
    </w:p>
    <w:p>
      <w:pPr>
        <w:pStyle w:val="ListBullet"/>
      </w:pPr>
      <w:r>
        <w:t>Prevents duplicate active journeys for equivalent property/asset/signal combinations.</w:t>
      </w:r>
    </w:p>
    <w:p>
      <w:pPr>
        <w:pStyle w:val="ListBullet"/>
      </w:pPr>
      <w:r>
        <w:t>Maintains context snapshots, current step pointers, and journey-level readiness.</w:t>
      </w:r>
    </w:p>
    <w:p>
      <w:pPr>
        <w:pStyle w:val="ListBullet"/>
      </w:pPr>
      <w:r>
        <w:t>Supports regrouping or merging when multiple signals should converge into one journey.</w:t>
      </w:r>
    </w:p>
    <w:p>
      <w:pPr>
        <w:pStyle w:val="Heading2"/>
      </w:pPr>
      <w:r>
        <w:t>5.4 guidanceStepResolver.service.ts</w:t>
      </w:r>
    </w:p>
    <w:p>
      <w:pPr>
        <w:pStyle w:val="ListBullet"/>
      </w:pPr>
      <w:r>
        <w:t>Builds ordered journey steps from templates.</w:t>
      </w:r>
    </w:p>
    <w:p>
      <w:pPr>
        <w:pStyle w:val="ListBullet"/>
      </w:pPr>
      <w:r>
        <w:t>Determines current step, next best step, skipped steps, and blocked steps.</w:t>
      </w:r>
    </w:p>
    <w:p>
      <w:pPr>
        <w:pStyle w:val="ListBullet"/>
      </w:pPr>
      <w:r>
        <w:t>Validates whether prerequisites are met before advancing execution-stage actions.</w:t>
      </w:r>
    </w:p>
    <w:p>
      <w:pPr>
        <w:pStyle w:val="ListBullet"/>
      </w:pPr>
      <w:r>
        <w:t>Returns the journey summary used by the frontend: primary step, warnings, upcoming steps, and blocked reasons.</w:t>
      </w:r>
    </w:p>
    <w:p>
      <w:pPr>
        <w:pStyle w:val="Heading2"/>
      </w:pPr>
      <w:r>
        <w:t>5.5 guidanceDerivedData.service.ts</w:t>
      </w:r>
    </w:p>
    <w:p>
      <w:pPr>
        <w:pStyle w:val="ListBullet"/>
      </w:pPr>
      <w:r>
        <w:t>Merges tool outputs into reusable derivedData at the journey level.</w:t>
      </w:r>
    </w:p>
    <w:p>
      <w:pPr>
        <w:pStyle w:val="ListBullet"/>
      </w:pPr>
      <w:r>
        <w:t>Typical merged fields include repairReplaceDecision, breakEven, coverageStatus, deductibleExposure, fairPriceRange, negotiationLeverage, urgency, severity, costOfInaction, fundingGap, and claim/recall resolution state.</w:t>
      </w:r>
    </w:p>
    <w:p>
      <w:pPr>
        <w:pStyle w:val="ListBullet"/>
      </w:pPr>
      <w:r>
        <w:t>Prevents uncontrolled JSON sprawl by keeping consistent structured keys.</w:t>
      </w:r>
    </w:p>
    <w:p>
      <w:pPr>
        <w:pStyle w:val="ListBullet"/>
      </w:pPr>
      <w:r>
        <w:t>Feeds downstream step resolution so each step can build on what is already known.</w:t>
      </w:r>
    </w:p>
    <w:p>
      <w:pPr>
        <w:pStyle w:val="Heading2"/>
      </w:pPr>
      <w:r>
        <w:t>5.6 guidanceBookingGuard.service.ts</w:t>
      </w:r>
    </w:p>
    <w:p>
      <w:pPr>
        <w:pStyle w:val="ListBullet"/>
      </w:pPr>
      <w:r>
        <w:t>Enforces that execution-stage actions cannot be taken when the journey is not ready.</w:t>
      </w:r>
    </w:p>
    <w:p>
      <w:pPr>
        <w:pStyle w:val="ListBullet"/>
      </w:pPr>
      <w:r>
        <w:t>Blocks provider search, inspection scheduling, or similar execution flows if required steps remain incomplete.</w:t>
      </w:r>
    </w:p>
    <w:p>
      <w:pPr>
        <w:pStyle w:val="ListBullet"/>
      </w:pPr>
      <w:r>
        <w:t>Returns clear reasons and the correct prior step to complete.</w:t>
      </w:r>
    </w:p>
    <w:p>
      <w:pPr>
        <w:pStyle w:val="ListBullet"/>
      </w:pPr>
      <w:r>
        <w:t>Fails safe: if readiness is uncertain for a critical path, booking is blocked rather than allowed prematurely.</w:t>
      </w:r>
    </w:p>
    <w:p>
      <w:pPr>
        <w:pStyle w:val="Heading2"/>
      </w:pPr>
      <w:r>
        <w:t>5.7 guidancePriority.service.ts</w:t>
      </w:r>
    </w:p>
    <w:p>
      <w:pPr>
        <w:pStyle w:val="ListBullet"/>
      </w:pPr>
      <w:r>
        <w:t>Calculates priorityScore and priorityBucket for active journeys/actions.</w:t>
      </w:r>
    </w:p>
    <w:p>
      <w:pPr>
        <w:pStyle w:val="ListBullet"/>
      </w:pPr>
      <w:r>
        <w:t>Combines severity, urgency, financial impact, safety impact, confidence, and user-context modifiers.</w:t>
      </w:r>
    </w:p>
    <w:p>
      <w:pPr>
        <w:pStyle w:val="ListBullet"/>
      </w:pPr>
      <w:r>
        <w:t>Enables Top 3 action selection, dashboard grouping, and calm/noise-reduced action ordering.</w:t>
      </w:r>
    </w:p>
    <w:p>
      <w:pPr>
        <w:pStyle w:val="ListBullet"/>
      </w:pPr>
      <w:r>
        <w:t>Works on top of deterministic journeys rather than replacing them.</w:t>
      </w:r>
    </w:p>
    <w:p>
      <w:pPr>
        <w:pStyle w:val="Heading2"/>
      </w:pPr>
      <w:r>
        <w:t>5.8 guidanceSuppression.service.ts</w:t>
      </w:r>
    </w:p>
    <w:p>
      <w:pPr>
        <w:pStyle w:val="ListBullet"/>
      </w:pPr>
      <w:r>
        <w:t>Suppresses weak, redundant, duplicate, or tracking-only signals from primary action surfaces.</w:t>
      </w:r>
    </w:p>
    <w:p>
      <w:pPr>
        <w:pStyle w:val="ListBullet"/>
      </w:pPr>
      <w:r>
        <w:t>Guarantees no duplicate journeys for equivalent problems and reduces noisy low-value items.</w:t>
      </w:r>
    </w:p>
    <w:p>
      <w:pPr>
        <w:pStyle w:val="ListBullet"/>
      </w:pPr>
      <w:r>
        <w:t>Prevents conflicting outputs such as replace vs delay for the same exact issue state.</w:t>
      </w:r>
    </w:p>
    <w:p>
      <w:pPr>
        <w:pStyle w:val="ListBullet"/>
      </w:pPr>
      <w:r>
        <w:t>Keeps suppressed data available for diagnostics/logging if needed, but not as user-facing clutter.</w:t>
      </w:r>
    </w:p>
    <w:p>
      <w:pPr>
        <w:pStyle w:val="Heading2"/>
      </w:pPr>
      <w:r>
        <w:t>5.9 guidanceFinancialContext.service.ts</w:t>
      </w:r>
    </w:p>
    <w:p>
      <w:pPr>
        <w:pStyle w:val="ListBullet"/>
      </w:pPr>
      <w:r>
        <w:t>Adds financial reality to prioritization and next-step resolution.</w:t>
      </w:r>
    </w:p>
    <w:p>
      <w:pPr>
        <w:pStyle w:val="ListBullet"/>
      </w:pPr>
      <w:r>
        <w:t>Pulls from Home Savings, Capital Timeline, Do-Nothing Simulator, True Cost of Ownership, Budget Forecaster, and coverage/deductible context.</w:t>
      </w:r>
    </w:p>
    <w:p>
      <w:pPr>
        <w:pStyle w:val="ListBullet"/>
      </w:pPr>
      <w:r>
        <w:t>Can downgrade execution urgency when a funding gap exists, or increase priority when cost-of-delay is high.</w:t>
      </w:r>
    </w:p>
    <w:p>
      <w:pPr>
        <w:pStyle w:val="ListBullet"/>
      </w:pPr>
      <w:r>
        <w:t>Makes DRJ feel financially credible rather than purely technical.</w:t>
      </w:r>
    </w:p>
    <w:p>
      <w:pPr>
        <w:pStyle w:val="Heading2"/>
      </w:pPr>
      <w:r>
        <w:t>5.10 guidanceConfidence.service.ts</w:t>
      </w:r>
    </w:p>
    <w:p>
      <w:pPr>
        <w:pStyle w:val="ListBullet"/>
      </w:pPr>
      <w:r>
        <w:t>Computes confidenceScore/confidenceLabel using Digital Twin completeness, source quality, freshness, and data availability.</w:t>
      </w:r>
    </w:p>
    <w:p>
      <w:pPr>
        <w:pStyle w:val="ListBullet"/>
      </w:pPr>
      <w:r>
        <w:t>High confidence allows strong CTAs; low confidence routes users toward data completion or safer diagnostics.</w:t>
      </w:r>
    </w:p>
    <w:p>
      <w:pPr>
        <w:pStyle w:val="ListBullet"/>
      </w:pPr>
      <w:r>
        <w:t>Prevents overconfident recommendation language when core inputs are missing.</w:t>
      </w:r>
    </w:p>
    <w:p>
      <w:pPr>
        <w:pStyle w:val="ListBullet"/>
      </w:pPr>
      <w:r>
        <w:t>Helps suppress or soften noisy/weak signals.</w:t>
      </w:r>
    </w:p>
    <w:p>
      <w:pPr>
        <w:pStyle w:val="Heading2"/>
      </w:pPr>
      <w:r>
        <w:t>5.11 guidanceValidation.service.ts</w:t>
      </w:r>
    </w:p>
    <w:p>
      <w:pPr>
        <w:pStyle w:val="ListBullet"/>
      </w:pPr>
      <w:r>
        <w:t>Validates math, score ranges, state transitions, stale data, and API payload integrity.</w:t>
      </w:r>
    </w:p>
    <w:p>
      <w:pPr>
        <w:pStyle w:val="ListBullet"/>
      </w:pPr>
      <w:r>
        <w:t>Protects break-even, cost-of-delay, priority scoring, and savings-gap outputs from invalid or misleading values.</w:t>
      </w:r>
    </w:p>
    <w:p>
      <w:pPr>
        <w:pStyle w:val="ListBullet"/>
      </w:pPr>
      <w:r>
        <w:t>Downgrades or suppresses actions when validation fails instead of crashing the system.</w:t>
      </w:r>
    </w:p>
    <w:p>
      <w:pPr>
        <w:pStyle w:val="ListBullet"/>
      </w:pPr>
      <w:r>
        <w:t>Acts as the production-safety layer before responses are returned.</w:t>
      </w:r>
    </w:p>
    <w:p>
      <w:pPr>
        <w:pStyle w:val="Heading1"/>
      </w:pPr>
      <w:r>
        <w:t>6. Journey Logic and Template Behavior</w:t>
      </w:r>
    </w:p>
    <w:p>
      <w:r>
        <w:t>Each normalized signal family maps to a deterministic template. The template defines step order, which steps are required, what tool or page can own each step, and what blocks later execution.</w:t>
      </w:r>
    </w:p>
    <w:p>
      <w:pPr>
        <w:pStyle w:val="Heading2"/>
      </w:pPr>
      <w:r>
        <w:t>Lifecycle / system failure</w:t>
      </w:r>
    </w:p>
    <w:p>
      <w:r>
        <w:t>Signals like HVAC past lifespan, water heater end-of-life, roof aging, electrical/plumbing risk.</w:t>
      </w:r>
    </w:p>
    <w:p>
      <w:pPr>
        <w:pStyle w:val="ListBullet"/>
      </w:pPr>
      <w:r>
        <w:t>Step 1: Compare Repair vs Replace or Check Coverage depending on the asset type and safety context.</w:t>
      </w:r>
    </w:p>
    <w:p>
      <w:pPr>
        <w:pStyle w:val="ListBullet"/>
      </w:pPr>
      <w:r>
        <w:t>Step 2: Confirm coverage, warranty, deductible, or claimability where relevant.</w:t>
      </w:r>
    </w:p>
    <w:p>
      <w:pPr>
        <w:pStyle w:val="ListBullet"/>
      </w:pPr>
      <w:r>
        <w:t>Step 3: Validate price using Price Radar or quote analysis.</w:t>
      </w:r>
    </w:p>
    <w:p>
      <w:pPr>
        <w:pStyle w:val="ListBullet"/>
      </w:pPr>
      <w:r>
        <w:t>Step 4: Use Negotiation Shield if a contractor quote is available and leverage exists.</w:t>
      </w:r>
    </w:p>
    <w:p>
      <w:pPr>
        <w:pStyle w:val="ListBullet"/>
      </w:pPr>
      <w:r>
        <w:t>Step 5: Allow booking or execution only when prior required steps are satisfied.</w:t>
      </w:r>
    </w:p>
    <w:p>
      <w:pPr>
        <w:pStyle w:val="Heading2"/>
      </w:pPr>
      <w:r>
        <w:t>Coverage risk</w:t>
      </w:r>
    </w:p>
    <w:p>
      <w:r>
        <w:t>Signals like no coverage, warranty-only coverage, expiring policy, lapse incidents, deductible exposure.</w:t>
      </w:r>
    </w:p>
    <w:p>
      <w:pPr>
        <w:pStyle w:val="ListBullet"/>
      </w:pPr>
      <w:r>
        <w:t>Step 1: Check coverage or validate deductible impact.</w:t>
      </w:r>
    </w:p>
    <w:p>
      <w:pPr>
        <w:pStyle w:val="ListBullet"/>
      </w:pPr>
      <w:r>
        <w:t>Step 2: Estimate uncovered exposure or premium impact.</w:t>
      </w:r>
    </w:p>
    <w:p>
      <w:pPr>
        <w:pStyle w:val="ListBullet"/>
      </w:pPr>
      <w:r>
        <w:t>Step 3: Compare options, update policy, upload documents, or shop market alternatives.</w:t>
      </w:r>
    </w:p>
    <w:p>
      <w:pPr>
        <w:pStyle w:val="ListBullet"/>
      </w:pPr>
      <w:r>
        <w:t>Step 4: Mark journey complete when the coverage gap is materially resolved or adequately documented.</w:t>
      </w:r>
    </w:p>
    <w:p>
      <w:pPr>
        <w:pStyle w:val="Heading2"/>
      </w:pPr>
      <w:r>
        <w:t>Inspection follow-up</w:t>
      </w:r>
    </w:p>
    <w:p>
      <w:r>
        <w:t>Signals like no recent inspection, unresolved inspection defects, visual inspection AI findings.</w:t>
      </w:r>
    </w:p>
    <w:p>
      <w:pPr>
        <w:pStyle w:val="ListBullet"/>
      </w:pPr>
      <w:r>
        <w:t>Step 1: Assess urgency and defect severity.</w:t>
      </w:r>
    </w:p>
    <w:p>
      <w:pPr>
        <w:pStyle w:val="ListBullet"/>
      </w:pPr>
      <w:r>
        <w:t>Step 2: Estimate cost or route to the correct specialist type.</w:t>
      </w:r>
    </w:p>
    <w:p>
      <w:pPr>
        <w:pStyle w:val="ListBullet"/>
      </w:pPr>
      <w:r>
        <w:t>Step 3: Validate whether repair, monitoring, negotiation, or further inspection is the correct action.</w:t>
      </w:r>
    </w:p>
    <w:p>
      <w:pPr>
        <w:pStyle w:val="ListBullet"/>
      </w:pPr>
      <w:r>
        <w:t>Step 4: Allow scheduling or follow-up execution after severity and scope are understood.</w:t>
      </w:r>
    </w:p>
    <w:p>
      <w:pPr>
        <w:pStyle w:val="Heading2"/>
      </w:pPr>
      <w:r>
        <w:t>Financial exposure</w:t>
      </w:r>
    </w:p>
    <w:p>
      <w:r>
        <w:t>Signals like cost of inaction, capital expense horizon, savings shortfall, TCO above market, hidden asset program eligibility.</w:t>
      </w:r>
    </w:p>
    <w:p>
      <w:pPr>
        <w:pStyle w:val="ListBullet"/>
      </w:pPr>
      <w:r>
        <w:t>Step 1: Estimate out-of-pocket cost or funding gap.</w:t>
      </w:r>
    </w:p>
    <w:p>
      <w:pPr>
        <w:pStyle w:val="ListBullet"/>
      </w:pPr>
      <w:r>
        <w:t>Step 2: Compare options, reduce costs, or re-route into the right financial/home tool.</w:t>
      </w:r>
    </w:p>
    <w:p>
      <w:pPr>
        <w:pStyle w:val="ListBullet"/>
      </w:pPr>
      <w:r>
        <w:t>Step 3: Execute only if the action is ready and financially sensible.</w:t>
      </w:r>
    </w:p>
    <w:p>
      <w:pPr>
        <w:pStyle w:val="ListBullet"/>
      </w:pPr>
      <w:r>
        <w:t>Step 4: Track resolution or funding closure when applicable.</w:t>
      </w:r>
    </w:p>
    <w:p>
      <w:pPr>
        <w:pStyle w:val="Heading1"/>
      </w:pPr>
      <w:r>
        <w:t>7. Priority Engine</w:t>
      </w:r>
    </w:p>
    <w:p>
      <w:r>
        <w:t>The Priority Engine determines what the user should see first. It does not change the deterministic journey logic; it ranks active journeys and actions.</w:t>
      </w:r>
    </w:p>
    <w:tbl>
      <w:tblPr>
        <w:tblStyle w:val="TableGrid"/>
        <w:tblW w:type="auto" w:w="0"/>
        <w:jc w:val="center"/>
        <w:tblLook w:firstColumn="1" w:firstRow="1" w:lastColumn="0" w:lastRow="0" w:noHBand="0" w:noVBand="1" w:val="04A0"/>
      </w:tblPr>
      <w:tblGrid>
        <w:gridCol w:w="3362"/>
        <w:gridCol w:w="3362"/>
        <w:gridCol w:w="3362"/>
      </w:tblGrid>
      <w:tr>
        <w:tc>
          <w:tcPr>
            <w:tcW w:type="dxa" w:w="3362"/>
            <w:shd w:fill="E8EEFF"/>
            <w:tcMar>
              <w:top w:w="80" w:type="dxa"/>
              <w:start w:w="120" w:type="dxa"/>
              <w:bottom w:w="80" w:type="dxa"/>
              <w:end w:w="120" w:type="dxa"/>
            </w:tcMar>
          </w:tcPr>
          <w:p>
            <w:r>
              <w:rPr>
                <w:b/>
              </w:rPr>
              <w:t>Factor</w:t>
            </w:r>
          </w:p>
        </w:tc>
        <w:tc>
          <w:tcPr>
            <w:tcW w:type="dxa" w:w="3362"/>
            <w:shd w:fill="E8EEFF"/>
            <w:tcMar>
              <w:top w:w="80" w:type="dxa"/>
              <w:start w:w="120" w:type="dxa"/>
              <w:bottom w:w="80" w:type="dxa"/>
              <w:end w:w="120" w:type="dxa"/>
            </w:tcMar>
          </w:tcPr>
          <w:p>
            <w:r>
              <w:rPr>
                <w:b/>
              </w:rPr>
              <w:t>How It Is Used</w:t>
            </w:r>
          </w:p>
        </w:tc>
        <w:tc>
          <w:tcPr>
            <w:tcW w:type="dxa" w:w="3362"/>
            <w:shd w:fill="E8EEFF"/>
            <w:tcMar>
              <w:top w:w="80" w:type="dxa"/>
              <w:start w:w="120" w:type="dxa"/>
              <w:bottom w:w="80" w:type="dxa"/>
              <w:end w:w="120" w:type="dxa"/>
            </w:tcMar>
          </w:tcPr>
          <w:p>
            <w:r>
              <w:rPr>
                <w:b/>
              </w:rPr>
              <w:t>Typical Effect</w:t>
            </w:r>
          </w:p>
        </w:tc>
      </w:tr>
      <w:tr>
        <w:tc>
          <w:tcPr>
            <w:tcW w:type="dxa" w:w="3362"/>
            <w:tcMar>
              <w:top w:w="80" w:type="dxa"/>
              <w:start w:w="120" w:type="dxa"/>
              <w:bottom w:w="80" w:type="dxa"/>
              <w:end w:w="120" w:type="dxa"/>
            </w:tcMar>
          </w:tcPr>
          <w:p>
            <w:r>
              <w:t>Severity / safety</w:t>
            </w:r>
          </w:p>
        </w:tc>
        <w:tc>
          <w:tcPr>
            <w:tcW w:type="dxa" w:w="3362"/>
            <w:tcMar>
              <w:top w:w="80" w:type="dxa"/>
              <w:start w:w="120" w:type="dxa"/>
              <w:bottom w:w="80" w:type="dxa"/>
              <w:end w:w="120" w:type="dxa"/>
            </w:tcMar>
          </w:tcPr>
          <w:p>
            <w:r>
              <w:t>Direct boost from recall, fire/electrical/gas risk, critical failures.</w:t>
            </w:r>
          </w:p>
        </w:tc>
        <w:tc>
          <w:tcPr>
            <w:tcW w:type="dxa" w:w="3362"/>
            <w:tcMar>
              <w:top w:w="80" w:type="dxa"/>
              <w:start w:w="120" w:type="dxa"/>
              <w:bottom w:w="80" w:type="dxa"/>
              <w:end w:w="120" w:type="dxa"/>
            </w:tcMar>
          </w:tcPr>
          <w:p>
            <w:r>
              <w:t>Moves item into Immediate actions.</w:t>
            </w:r>
          </w:p>
        </w:tc>
      </w:tr>
      <w:tr>
        <w:tc>
          <w:tcPr>
            <w:tcW w:type="dxa" w:w="3362"/>
            <w:tcMar>
              <w:top w:w="80" w:type="dxa"/>
              <w:start w:w="120" w:type="dxa"/>
              <w:bottom w:w="80" w:type="dxa"/>
              <w:end w:w="120" w:type="dxa"/>
            </w:tcMar>
          </w:tcPr>
          <w:p>
            <w:r>
              <w:t>Urgency / time horizon</w:t>
            </w:r>
          </w:p>
        </w:tc>
        <w:tc>
          <w:tcPr>
            <w:tcW w:type="dxa" w:w="3362"/>
            <w:tcMar>
              <w:top w:w="80" w:type="dxa"/>
              <w:start w:w="120" w:type="dxa"/>
              <w:bottom w:w="80" w:type="dxa"/>
              <w:end w:w="120" w:type="dxa"/>
            </w:tcMar>
          </w:tcPr>
          <w:p>
            <w:r>
              <w:t>Immediate, soon, later weighting based on due dates, weather windows, claim deadlines, expiring policies.</w:t>
            </w:r>
          </w:p>
        </w:tc>
        <w:tc>
          <w:tcPr>
            <w:tcW w:type="dxa" w:w="3362"/>
            <w:tcMar>
              <w:top w:w="80" w:type="dxa"/>
              <w:start w:w="120" w:type="dxa"/>
              <w:bottom w:w="80" w:type="dxa"/>
              <w:end w:w="120" w:type="dxa"/>
            </w:tcMar>
          </w:tcPr>
          <w:p>
            <w:r>
              <w:t>Raises time-sensitive items above optimization items.</w:t>
            </w:r>
          </w:p>
        </w:tc>
      </w:tr>
      <w:tr>
        <w:tc>
          <w:tcPr>
            <w:tcW w:type="dxa" w:w="3362"/>
            <w:tcMar>
              <w:top w:w="80" w:type="dxa"/>
              <w:start w:w="120" w:type="dxa"/>
              <w:bottom w:w="80" w:type="dxa"/>
              <w:end w:w="120" w:type="dxa"/>
            </w:tcMar>
          </w:tcPr>
          <w:p>
            <w:r>
              <w:t>Financial impact</w:t>
            </w:r>
          </w:p>
        </w:tc>
        <w:tc>
          <w:tcPr>
            <w:tcW w:type="dxa" w:w="3362"/>
            <w:tcMar>
              <w:top w:w="80" w:type="dxa"/>
              <w:start w:w="120" w:type="dxa"/>
              <w:bottom w:w="80" w:type="dxa"/>
              <w:end w:w="120" w:type="dxa"/>
            </w:tcMar>
          </w:tcPr>
          <w:p>
            <w:r>
              <w:t>Uses funding gap, deductible exposure, cost of delay, premium opportunity, capital horizon.</w:t>
            </w:r>
          </w:p>
        </w:tc>
        <w:tc>
          <w:tcPr>
            <w:tcW w:type="dxa" w:w="3362"/>
            <w:tcMar>
              <w:top w:w="80" w:type="dxa"/>
              <w:start w:w="120" w:type="dxa"/>
              <w:bottom w:w="80" w:type="dxa"/>
              <w:end w:w="120" w:type="dxa"/>
            </w:tcMar>
          </w:tcPr>
          <w:p>
            <w:r>
              <w:t>Prevents technically correct but financially tone-deaf actions.</w:t>
            </w:r>
          </w:p>
        </w:tc>
      </w:tr>
      <w:tr>
        <w:tc>
          <w:tcPr>
            <w:tcW w:type="dxa" w:w="3362"/>
            <w:tcMar>
              <w:top w:w="80" w:type="dxa"/>
              <w:start w:w="120" w:type="dxa"/>
              <w:bottom w:w="80" w:type="dxa"/>
              <w:end w:w="120" w:type="dxa"/>
            </w:tcMar>
          </w:tcPr>
          <w:p>
            <w:r>
              <w:t>Confidence</w:t>
            </w:r>
          </w:p>
        </w:tc>
        <w:tc>
          <w:tcPr>
            <w:tcW w:type="dxa" w:w="3362"/>
            <w:tcMar>
              <w:top w:w="80" w:type="dxa"/>
              <w:start w:w="120" w:type="dxa"/>
              <w:bottom w:w="80" w:type="dxa"/>
              <w:end w:w="120" w:type="dxa"/>
            </w:tcMar>
          </w:tcPr>
          <w:p>
            <w:r>
              <w:t>High-confidence actions can be surfaced more prominently; low-confidence actions may be softened or rerouted.</w:t>
            </w:r>
          </w:p>
        </w:tc>
        <w:tc>
          <w:tcPr>
            <w:tcW w:type="dxa" w:w="3362"/>
            <w:tcMar>
              <w:top w:w="80" w:type="dxa"/>
              <w:start w:w="120" w:type="dxa"/>
              <w:bottom w:w="80" w:type="dxa"/>
              <w:end w:w="120" w:type="dxa"/>
            </w:tcMar>
          </w:tcPr>
          <w:p>
            <w:r>
              <w:t>Protects user trust.</w:t>
            </w:r>
          </w:p>
        </w:tc>
      </w:tr>
      <w:tr>
        <w:tc>
          <w:tcPr>
            <w:tcW w:type="dxa" w:w="3362"/>
            <w:tcMar>
              <w:top w:w="80" w:type="dxa"/>
              <w:start w:w="120" w:type="dxa"/>
              <w:bottom w:w="80" w:type="dxa"/>
              <w:end w:w="120" w:type="dxa"/>
            </w:tcMar>
          </w:tcPr>
          <w:p>
            <w:r>
              <w:t>User context</w:t>
            </w:r>
          </w:p>
        </w:tc>
        <w:tc>
          <w:tcPr>
            <w:tcW w:type="dxa" w:w="3362"/>
            <w:tcMar>
              <w:top w:w="80" w:type="dxa"/>
              <w:start w:w="120" w:type="dxa"/>
              <w:bottom w:w="80" w:type="dxa"/>
              <w:end w:w="120" w:type="dxa"/>
            </w:tcMar>
          </w:tcPr>
          <w:p>
            <w:r>
              <w:t>Selling intent, move-in state, open booking/claim state, known budget constraints.</w:t>
            </w:r>
          </w:p>
        </w:tc>
        <w:tc>
          <w:tcPr>
            <w:tcW w:type="dxa" w:w="3362"/>
            <w:tcMar>
              <w:top w:w="80" w:type="dxa"/>
              <w:start w:w="120" w:type="dxa"/>
              <w:bottom w:w="80" w:type="dxa"/>
              <w:end w:w="120" w:type="dxa"/>
            </w:tcMar>
          </w:tcPr>
          <w:p>
            <w:r>
              <w:t>Personalizes ordering without changing deterministic rules.</w:t>
            </w:r>
          </w:p>
        </w:tc>
      </w:tr>
    </w:tbl>
    <w:p>
      <w:r>
        <w:t>Priority output should include both a numeric priorityScore and a human-usable priorityBucket (HIGH / MEDIUM / LOW or Immediate / Upcoming / Optimization).</w:t>
      </w:r>
    </w:p>
    <w:p>
      <w:pPr>
        <w:pStyle w:val="Heading1"/>
      </w:pPr>
      <w:r>
        <w:t>8. Signal Suppression and Deduplication</w:t>
      </w:r>
    </w:p>
    <w:p>
      <w:r>
        <w:t>Suppression is required so DRJ stays useful instead of noisy.</w:t>
      </w:r>
    </w:p>
    <w:p>
      <w:pPr>
        <w:pStyle w:val="ListBullet"/>
      </w:pPr>
      <w:r>
        <w:t>Duplicate suppression: if the same property/asset/issue combination is already represented by an active journey, update it instead of creating a second one.</w:t>
      </w:r>
    </w:p>
    <w:p>
      <w:pPr>
        <w:pStyle w:val="ListBullet"/>
      </w:pPr>
      <w:r>
        <w:t>Weak-signal suppression: low-severity, low-confidence, low-financial-impact items should not crowd the main action surfaces.</w:t>
      </w:r>
    </w:p>
    <w:p>
      <w:pPr>
        <w:pStyle w:val="ListBullet"/>
      </w:pPr>
      <w:r>
        <w:t>Tracking-only suppression: informational/timeline-style items should remain available but not dominate top action areas.</w:t>
      </w:r>
    </w:p>
    <w:p>
      <w:pPr>
        <w:pStyle w:val="ListBullet"/>
      </w:pPr>
      <w:r>
        <w:t>Redundant-step suppression: once a required step is completed, it should not continue to surface as a primary CTA unless new information invalidates the result.</w:t>
      </w:r>
    </w:p>
    <w:p>
      <w:pPr>
        <w:pStyle w:val="ListBullet"/>
      </w:pPr>
      <w:r>
        <w:t>Conflict suppression: if two backend routes could suggest conflicting actions, deterministic precedence rules must collapse them into one consistent recommendation.</w:t>
      </w:r>
    </w:p>
    <w:p>
      <w:pPr>
        <w:pStyle w:val="Heading1"/>
      </w:pPr>
      <w:r>
        <w:t>9. Signal Merging Engine</w:t>
      </w:r>
    </w:p>
    <w:p>
      <w:r>
        <w:t>Signal Merging consolidates multiple related signals into one journey when they belong to the same homeowner decision. This is a major differentiator because it makes CtC feel coherent.</w:t>
      </w:r>
    </w:p>
    <w:tbl>
      <w:tblPr>
        <w:tblW w:type="auto" w:w="0"/>
        <w:jc w:val="center"/>
        <w:tblLayout w:type="autofit"/>
        <w:tblLook w:firstColumn="1" w:firstRow="1" w:lastColumn="0" w:lastRow="0" w:noHBand="0" w:noVBand="1" w:val="04A0"/>
      </w:tblPr>
      <w:tblGrid>
        <w:gridCol w:w="10086"/>
      </w:tblGrid>
      <w:tr>
        <w:tc>
          <w:tcPr>
            <w:tcW w:type="dxa" w:w="10086"/>
            <w:shd w:fill="F5F8FF"/>
            <w:tcMar>
              <w:top w:w="100" w:type="dxa"/>
              <w:start w:w="140" w:type="dxa"/>
              <w:bottom w:w="100" w:type="dxa"/>
              <w:end w:w="140" w:type="dxa"/>
            </w:tcMar>
          </w:tcPr>
          <w:p>
            <w:pPr>
              <w:pStyle w:val="Callout"/>
            </w:pPr>
            <w:r>
              <w:rPr>
                <w:i/>
                <w:color w:val="23262E"/>
              </w:rPr>
              <w:t>Example: HVAC aging + no home warranty coverage + savings shortfall should not produce three disconnected cards. It should produce one journey that explains the real situation and the ordered response.</w:t>
            </w:r>
          </w:p>
        </w:tc>
      </w:tr>
    </w:tbl>
    <w:p/>
    <w:p>
      <w:pPr>
        <w:pStyle w:val="ListBullet"/>
      </w:pPr>
      <w:r>
        <w:t>Inputs considered for merge: assetId, propertyId, signal family compatibility, duplicateGroupId, issue domain compatibility, and time proximity.</w:t>
      </w:r>
    </w:p>
    <w:p>
      <w:pPr>
        <w:pStyle w:val="ListBullet"/>
      </w:pPr>
      <w:r>
        <w:t>Typical merge example: lifecycle_end_or_past_life + deductible/coverage issue + capital/savings exposure → one system-failure journey with financial context.</w:t>
      </w:r>
    </w:p>
    <w:p>
      <w:pPr>
        <w:pStyle w:val="ListBullet"/>
      </w:pPr>
      <w:r>
        <w:t>Merge rules must preserve source traceability so the UI and audit logs can still explain why the merged journey exists.</w:t>
      </w:r>
    </w:p>
    <w:p>
      <w:pPr>
        <w:pStyle w:val="ListBullet"/>
      </w:pPr>
      <w:r>
        <w:t>Merged journey must choose one canonical first step and carry secondary insights as warnings or downstream steps.</w:t>
      </w:r>
    </w:p>
    <w:p>
      <w:pPr>
        <w:pStyle w:val="Heading1"/>
      </w:pPr>
      <w:r>
        <w:t>10. Integration Points with Existing Home Tools</w:t>
      </w:r>
    </w:p>
    <w:tbl>
      <w:tblPr>
        <w:tblStyle w:val="TableGrid"/>
        <w:tblW w:type="auto" w:w="0"/>
        <w:jc w:val="center"/>
        <w:tblLook w:firstColumn="1" w:firstRow="1" w:lastColumn="0" w:lastRow="0" w:noHBand="0" w:noVBand="1" w:val="04A0"/>
      </w:tblPr>
      <w:tblGrid>
        <w:gridCol w:w="3362"/>
        <w:gridCol w:w="3362"/>
        <w:gridCol w:w="3362"/>
      </w:tblGrid>
      <w:tr>
        <w:tc>
          <w:tcPr>
            <w:tcW w:type="dxa" w:w="3362"/>
            <w:shd w:fill="E8EEFF"/>
            <w:tcMar>
              <w:top w:w="80" w:type="dxa"/>
              <w:start w:w="120" w:type="dxa"/>
              <w:bottom w:w="80" w:type="dxa"/>
              <w:end w:w="120" w:type="dxa"/>
            </w:tcMar>
          </w:tcPr>
          <w:p>
            <w:r>
              <w:rPr>
                <w:b/>
              </w:rPr>
              <w:t>Home Tool / Flow</w:t>
            </w:r>
          </w:p>
        </w:tc>
        <w:tc>
          <w:tcPr>
            <w:tcW w:type="dxa" w:w="3362"/>
            <w:shd w:fill="E8EEFF"/>
            <w:tcMar>
              <w:top w:w="80" w:type="dxa"/>
              <w:start w:w="120" w:type="dxa"/>
              <w:bottom w:w="80" w:type="dxa"/>
              <w:end w:w="120" w:type="dxa"/>
            </w:tcMar>
          </w:tcPr>
          <w:p>
            <w:r>
              <w:rPr>
                <w:b/>
              </w:rPr>
              <w:t>Role in DRJ</w:t>
            </w:r>
          </w:p>
        </w:tc>
        <w:tc>
          <w:tcPr>
            <w:tcW w:type="dxa" w:w="3362"/>
            <w:shd w:fill="E8EEFF"/>
            <w:tcMar>
              <w:top w:w="80" w:type="dxa"/>
              <w:start w:w="120" w:type="dxa"/>
              <w:bottom w:w="80" w:type="dxa"/>
              <w:end w:w="120" w:type="dxa"/>
            </w:tcMar>
          </w:tcPr>
          <w:p>
            <w:r>
              <w:rPr>
                <w:b/>
              </w:rPr>
              <w:t>Integration Logic</w:t>
            </w:r>
          </w:p>
        </w:tc>
      </w:tr>
      <w:tr>
        <w:tc>
          <w:tcPr>
            <w:tcW w:type="dxa" w:w="3362"/>
            <w:tcMar>
              <w:top w:w="80" w:type="dxa"/>
              <w:start w:w="120" w:type="dxa"/>
              <w:bottom w:w="80" w:type="dxa"/>
              <w:end w:w="120" w:type="dxa"/>
            </w:tcMar>
          </w:tcPr>
          <w:p>
            <w:r>
              <w:t>Replace vs Repair / Appliance Oracle</w:t>
            </w:r>
          </w:p>
        </w:tc>
        <w:tc>
          <w:tcPr>
            <w:tcW w:type="dxa" w:w="3362"/>
            <w:tcMar>
              <w:top w:w="80" w:type="dxa"/>
              <w:start w:w="120" w:type="dxa"/>
              <w:bottom w:w="80" w:type="dxa"/>
              <w:end w:w="120" w:type="dxa"/>
            </w:tcMar>
          </w:tcPr>
          <w:p>
            <w:r>
              <w:t>Decision step</w:t>
            </w:r>
          </w:p>
        </w:tc>
        <w:tc>
          <w:tcPr>
            <w:tcW w:type="dxa" w:w="3362"/>
            <w:tcMar>
              <w:top w:w="80" w:type="dxa"/>
              <w:start w:w="120" w:type="dxa"/>
              <w:bottom w:w="80" w:type="dxa"/>
              <w:end w:w="120" w:type="dxa"/>
            </w:tcMar>
          </w:tcPr>
          <w:p>
            <w:r>
              <w:t>Completes when it returns a defensible repair-vs-replace recommendation, break-even, or equivalent decision output.</w:t>
            </w:r>
          </w:p>
        </w:tc>
      </w:tr>
      <w:tr>
        <w:tc>
          <w:tcPr>
            <w:tcW w:type="dxa" w:w="3362"/>
            <w:tcMar>
              <w:top w:w="80" w:type="dxa"/>
              <w:start w:w="120" w:type="dxa"/>
              <w:bottom w:w="80" w:type="dxa"/>
              <w:end w:w="120" w:type="dxa"/>
            </w:tcMar>
          </w:tcPr>
          <w:p>
            <w:r>
              <w:t>Insurance Auditor / Coverage Intelligence</w:t>
            </w:r>
          </w:p>
        </w:tc>
        <w:tc>
          <w:tcPr>
            <w:tcW w:type="dxa" w:w="3362"/>
            <w:tcMar>
              <w:top w:w="80" w:type="dxa"/>
              <w:start w:w="120" w:type="dxa"/>
              <w:bottom w:w="80" w:type="dxa"/>
              <w:end w:w="120" w:type="dxa"/>
            </w:tcMar>
          </w:tcPr>
          <w:p>
            <w:r>
              <w:t>Coverage step</w:t>
            </w:r>
          </w:p>
        </w:tc>
        <w:tc>
          <w:tcPr>
            <w:tcW w:type="dxa" w:w="3362"/>
            <w:tcMar>
              <w:top w:w="80" w:type="dxa"/>
              <w:start w:w="120" w:type="dxa"/>
              <w:bottom w:w="80" w:type="dxa"/>
              <w:end w:w="120" w:type="dxa"/>
            </w:tcMar>
          </w:tcPr>
          <w:p>
            <w:r>
              <w:t>Completes when coverage status, deductible exposure, rider gap, or expiry/remediation context becomes available.</w:t>
            </w:r>
          </w:p>
        </w:tc>
      </w:tr>
      <w:tr>
        <w:tc>
          <w:tcPr>
            <w:tcW w:type="dxa" w:w="3362"/>
            <w:tcMar>
              <w:top w:w="80" w:type="dxa"/>
              <w:start w:w="120" w:type="dxa"/>
              <w:bottom w:w="80" w:type="dxa"/>
              <w:end w:w="120" w:type="dxa"/>
            </w:tcMar>
          </w:tcPr>
          <w:p>
            <w:r>
              <w:t>Price Radar / Service Price Radar</w:t>
            </w:r>
          </w:p>
        </w:tc>
        <w:tc>
          <w:tcPr>
            <w:tcW w:type="dxa" w:w="3362"/>
            <w:tcMar>
              <w:top w:w="80" w:type="dxa"/>
              <w:start w:w="120" w:type="dxa"/>
              <w:bottom w:w="80" w:type="dxa"/>
              <w:end w:w="120" w:type="dxa"/>
            </w:tcMar>
          </w:tcPr>
          <w:p>
            <w:r>
              <w:t>Validation step</w:t>
            </w:r>
          </w:p>
        </w:tc>
        <w:tc>
          <w:tcPr>
            <w:tcW w:type="dxa" w:w="3362"/>
            <w:tcMar>
              <w:top w:w="80" w:type="dxa"/>
              <w:start w:w="120" w:type="dxa"/>
              <w:bottom w:w="80" w:type="dxa"/>
              <w:end w:w="120" w:type="dxa"/>
            </w:tcMar>
          </w:tcPr>
          <w:p>
            <w:r>
              <w:t>Completes when fair range or above-market validation exists for the relevant quote/service.</w:t>
            </w:r>
          </w:p>
        </w:tc>
      </w:tr>
      <w:tr>
        <w:tc>
          <w:tcPr>
            <w:tcW w:type="dxa" w:w="3362"/>
            <w:tcMar>
              <w:top w:w="80" w:type="dxa"/>
              <w:start w:w="120" w:type="dxa"/>
              <w:bottom w:w="80" w:type="dxa"/>
              <w:end w:w="120" w:type="dxa"/>
            </w:tcMar>
          </w:tcPr>
          <w:p>
            <w:r>
              <w:t>Negotiation Shield</w:t>
            </w:r>
          </w:p>
        </w:tc>
        <w:tc>
          <w:tcPr>
            <w:tcW w:type="dxa" w:w="3362"/>
            <w:tcMar>
              <w:top w:w="80" w:type="dxa"/>
              <w:start w:w="120" w:type="dxa"/>
              <w:bottom w:w="80" w:type="dxa"/>
              <w:end w:w="120" w:type="dxa"/>
            </w:tcMar>
          </w:tcPr>
          <w:p>
            <w:r>
              <w:t>Decision / execution-prep step</w:t>
            </w:r>
          </w:p>
        </w:tc>
        <w:tc>
          <w:tcPr>
            <w:tcW w:type="dxa" w:w="3362"/>
            <w:tcMar>
              <w:top w:w="80" w:type="dxa"/>
              <w:start w:w="120" w:type="dxa"/>
              <w:bottom w:w="80" w:type="dxa"/>
              <w:end w:w="120" w:type="dxa"/>
            </w:tcMar>
          </w:tcPr>
          <w:p>
            <w:r>
              <w:t>Completes when leverage, script type, dispute framing, or negotiation output is produced.</w:t>
            </w:r>
          </w:p>
        </w:tc>
      </w:tr>
      <w:tr>
        <w:tc>
          <w:tcPr>
            <w:tcW w:type="dxa" w:w="3362"/>
            <w:tcMar>
              <w:top w:w="80" w:type="dxa"/>
              <w:start w:w="120" w:type="dxa"/>
              <w:bottom w:w="80" w:type="dxa"/>
              <w:end w:w="120" w:type="dxa"/>
            </w:tcMar>
          </w:tcPr>
          <w:p>
            <w:r>
              <w:t>Inspection tools</w:t>
            </w:r>
          </w:p>
        </w:tc>
        <w:tc>
          <w:tcPr>
            <w:tcW w:type="dxa" w:w="3362"/>
            <w:tcMar>
              <w:top w:w="80" w:type="dxa"/>
              <w:start w:w="120" w:type="dxa"/>
              <w:bottom w:w="80" w:type="dxa"/>
              <w:end w:w="120" w:type="dxa"/>
            </w:tcMar>
          </w:tcPr>
          <w:p>
            <w:r>
              <w:t>Diagnosis step</w:t>
            </w:r>
          </w:p>
        </w:tc>
        <w:tc>
          <w:tcPr>
            <w:tcW w:type="dxa" w:w="3362"/>
            <w:tcMar>
              <w:top w:w="80" w:type="dxa"/>
              <w:start w:w="120" w:type="dxa"/>
              <w:bottom w:w="80" w:type="dxa"/>
              <w:end w:w="120" w:type="dxa"/>
            </w:tcMar>
          </w:tcPr>
          <w:p>
            <w:r>
              <w:t>Completes when inspection severity, scope, or unresolved defect classification is available.</w:t>
            </w:r>
          </w:p>
        </w:tc>
      </w:tr>
      <w:tr>
        <w:tc>
          <w:tcPr>
            <w:tcW w:type="dxa" w:w="3362"/>
            <w:tcMar>
              <w:top w:w="80" w:type="dxa"/>
              <w:start w:w="120" w:type="dxa"/>
              <w:bottom w:w="80" w:type="dxa"/>
              <w:end w:w="120" w:type="dxa"/>
            </w:tcMar>
          </w:tcPr>
          <w:p>
            <w:r>
              <w:t>Maintenance / Seasonal / Habit tools</w:t>
            </w:r>
          </w:p>
        </w:tc>
        <w:tc>
          <w:tcPr>
            <w:tcW w:type="dxa" w:w="3362"/>
            <w:tcMar>
              <w:top w:w="80" w:type="dxa"/>
              <w:start w:w="120" w:type="dxa"/>
              <w:bottom w:w="80" w:type="dxa"/>
              <w:end w:w="120" w:type="dxa"/>
            </w:tcMar>
          </w:tcPr>
          <w:p>
            <w:r>
              <w:t>Urgency / execution step</w:t>
            </w:r>
          </w:p>
        </w:tc>
        <w:tc>
          <w:tcPr>
            <w:tcW w:type="dxa" w:w="3362"/>
            <w:tcMar>
              <w:top w:w="80" w:type="dxa"/>
              <w:start w:w="120" w:type="dxa"/>
              <w:bottom w:w="80" w:type="dxa"/>
              <w:end w:w="120" w:type="dxa"/>
            </w:tcMar>
          </w:tcPr>
          <w:p>
            <w:r>
              <w:t>Can produce urgency, DIY-vs-pro hints, and completion signals; some tasks may remain directly executable.</w:t>
            </w:r>
          </w:p>
        </w:tc>
      </w:tr>
      <w:tr>
        <w:tc>
          <w:tcPr>
            <w:tcW w:type="dxa" w:w="3362"/>
            <w:tcMar>
              <w:top w:w="80" w:type="dxa"/>
              <w:start w:w="120" w:type="dxa"/>
              <w:bottom w:w="80" w:type="dxa"/>
              <w:end w:w="120" w:type="dxa"/>
            </w:tcMar>
          </w:tcPr>
          <w:p>
            <w:r>
              <w:t>Home Savings / Capital Timeline / Do-Nothing / TCO</w:t>
            </w:r>
          </w:p>
        </w:tc>
        <w:tc>
          <w:tcPr>
            <w:tcW w:type="dxa" w:w="3362"/>
            <w:tcMar>
              <w:top w:w="80" w:type="dxa"/>
              <w:start w:w="120" w:type="dxa"/>
              <w:bottom w:w="80" w:type="dxa"/>
              <w:end w:w="120" w:type="dxa"/>
            </w:tcMar>
          </w:tcPr>
          <w:p>
            <w:r>
              <w:t>Financial context step</w:t>
            </w:r>
          </w:p>
        </w:tc>
        <w:tc>
          <w:tcPr>
            <w:tcW w:type="dxa" w:w="3362"/>
            <w:tcMar>
              <w:top w:w="80" w:type="dxa"/>
              <w:start w:w="120" w:type="dxa"/>
              <w:bottom w:w="80" w:type="dxa"/>
              <w:end w:w="120" w:type="dxa"/>
            </w:tcMar>
          </w:tcPr>
          <w:p>
            <w:r>
              <w:t>Produces funding gap, cost-of-delay, or planning pressure used by prioritization and readiness.</w:t>
            </w:r>
          </w:p>
        </w:tc>
      </w:tr>
      <w:tr>
        <w:tc>
          <w:tcPr>
            <w:tcW w:type="dxa" w:w="3362"/>
            <w:tcMar>
              <w:top w:w="80" w:type="dxa"/>
              <w:start w:w="120" w:type="dxa"/>
              <w:bottom w:w="80" w:type="dxa"/>
              <w:end w:w="120" w:type="dxa"/>
            </w:tcMar>
          </w:tcPr>
          <w:p>
            <w:r>
              <w:t>Claims / OCR / recall / weather workers</w:t>
            </w:r>
          </w:p>
        </w:tc>
        <w:tc>
          <w:tcPr>
            <w:tcW w:type="dxa" w:w="3362"/>
            <w:tcMar>
              <w:top w:w="80" w:type="dxa"/>
              <w:start w:w="120" w:type="dxa"/>
              <w:bottom w:w="80" w:type="dxa"/>
              <w:end w:w="120" w:type="dxa"/>
            </w:tcMar>
          </w:tcPr>
          <w:p>
            <w:r>
              <w:t>Alert + bridge step</w:t>
            </w:r>
          </w:p>
        </w:tc>
        <w:tc>
          <w:tcPr>
            <w:tcW w:type="dxa" w:w="3362"/>
            <w:tcMar>
              <w:top w:w="80" w:type="dxa"/>
              <w:start w:w="120" w:type="dxa"/>
              <w:bottom w:w="80" w:type="dxa"/>
              <w:end w:w="120" w:type="dxa"/>
            </w:tcMar>
          </w:tcPr>
          <w:p>
            <w:r>
              <w:t>Create or update visible journeys even before the user enters a visible tool page.</w:t>
            </w:r>
          </w:p>
        </w:tc>
      </w:tr>
    </w:tbl>
    <w:p>
      <w:pPr>
        <w:pStyle w:val="Heading1"/>
      </w:pPr>
      <w:r>
        <w:t>11. Frontend Files, Components, and Mobile Navigation</w:t>
      </w:r>
    </w:p>
    <w:p>
      <w:r>
        <w:t>Frontend implementation should remain native to CtC and follow existing desktop and Home Tools mobile patterns.</w:t>
      </w:r>
    </w:p>
    <w:p>
      <w:pPr>
        <w:pStyle w:val="Heading2"/>
      </w:pPr>
      <w:r>
        <w:t>Reusable components</w:t>
      </w:r>
    </w:p>
    <w:p>
      <w:pPr>
        <w:pStyle w:val="ListBullet"/>
      </w:pPr>
      <w:r>
        <w:t>GuidanceActionCard.tsx — renders issue, next step, reason, readiness, warning, and progress summary.</w:t>
      </w:r>
    </w:p>
    <w:p>
      <w:pPr>
        <w:pStyle w:val="ListBullet"/>
      </w:pPr>
      <w:r>
        <w:t>GuidancePrimaryCta.tsx — renders the canonical next step with correct state (ready, blocked, low-context, tracking).</w:t>
      </w:r>
    </w:p>
    <w:p>
      <w:pPr>
        <w:pStyle w:val="ListBullet"/>
      </w:pPr>
      <w:r>
        <w:t>GuidanceJourneyStrip.tsx — compact progress visualization for completed/current/upcoming/blocked steps.</w:t>
      </w:r>
    </w:p>
    <w:p>
      <w:pPr>
        <w:pStyle w:val="ListBullet"/>
      </w:pPr>
      <w:r>
        <w:t>GuidanceWarningBanner.tsx — shows missing context, blocked execution, or prerequisite messaging.</w:t>
      </w:r>
    </w:p>
    <w:p>
      <w:pPr>
        <w:pStyle w:val="ListBullet"/>
      </w:pPr>
      <w:r>
        <w:t>GuidanceDrawer.tsx / GuidanceInlinePanel.tsx — expanded journey detail with ordered steps and next-step launch.</w:t>
      </w:r>
    </w:p>
    <w:p>
      <w:pPr>
        <w:pStyle w:val="Heading2"/>
      </w:pPr>
      <w:r>
        <w:t>Frontend hooks</w:t>
      </w:r>
    </w:p>
    <w:p>
      <w:pPr>
        <w:pStyle w:val="ListBullet"/>
      </w:pPr>
      <w:r>
        <w:t>useGuidance(propertyId) — fetches property-level guidance and top actions.</w:t>
      </w:r>
    </w:p>
    <w:p>
      <w:pPr>
        <w:pStyle w:val="ListBullet"/>
      </w:pPr>
      <w:r>
        <w:t>useJourney(journeyId) — fetches detailed step/journey context.</w:t>
      </w:r>
    </w:p>
    <w:p>
      <w:pPr>
        <w:pStyle w:val="ListBullet"/>
      </w:pPr>
      <w:r>
        <w:t>useExecutionGuard(targetAction, context) — checks whether booking or similar actions can proceed.</w:t>
      </w:r>
    </w:p>
    <w:p>
      <w:pPr>
        <w:pStyle w:val="ListBullet"/>
      </w:pPr>
      <w:r>
        <w:t>guidanceMappers.ts / guidanceDisplay.ts — maps backend contracts into display-friendly props without duplicating orchestration logic.</w:t>
      </w:r>
    </w:p>
    <w:p>
      <w:pPr>
        <w:pStyle w:val="Heading2"/>
      </w:pPr>
      <w:r>
        <w:t>Key surfaces</w:t>
      </w:r>
    </w:p>
    <w:p>
      <w:pPr>
        <w:pStyle w:val="ListBullet"/>
      </w:pPr>
      <w:r>
        <w:t>Dashboard main and property dashboard surfaces.</w:t>
      </w:r>
    </w:p>
    <w:p>
      <w:pPr>
        <w:pStyle w:val="ListBullet"/>
      </w:pPr>
      <w:r>
        <w:t>Risk scorecards and detailed asset risk rows.</w:t>
      </w:r>
    </w:p>
    <w:p>
      <w:pPr>
        <w:pStyle w:val="ListBullet"/>
      </w:pPr>
      <w:r>
        <w:t>Maintenance lists, overdue tasks, seasonal surfaces, daily snapshot.</w:t>
      </w:r>
    </w:p>
    <w:p>
      <w:pPr>
        <w:pStyle w:val="ListBullet"/>
      </w:pPr>
      <w:r>
        <w:t>Insurance / coverage / claims surfaces.</w:t>
      </w:r>
    </w:p>
    <w:p>
      <w:pPr>
        <w:pStyle w:val="ListBullet"/>
      </w:pPr>
      <w:r>
        <w:t>Booking/provider execution entry points.</w:t>
      </w:r>
    </w:p>
    <w:p>
      <w:pPr>
        <w:pStyle w:val="ListBullet"/>
      </w:pPr>
      <w:r>
        <w:t>Tool-page headers or inline context panels for Home Tools.</w:t>
      </w:r>
    </w:p>
    <w:p>
      <w:pPr>
        <w:pStyle w:val="Heading2"/>
      </w:pPr>
      <w:r>
        <w:t>Mobile navigation and behavior</w:t>
      </w:r>
    </w:p>
    <w:p>
      <w:pPr>
        <w:pStyle w:val="ListBullet"/>
      </w:pPr>
      <w:r>
        <w:t>Use existing Home Tools mobile pattern; do not invent a separate navigation system.</w:t>
      </w:r>
    </w:p>
    <w:p>
      <w:pPr>
        <w:pStyle w:val="ListBullet"/>
      </w:pPr>
      <w:r>
        <w:t>Primary next step must be visible without multiple taps.</w:t>
      </w:r>
    </w:p>
    <w:p>
      <w:pPr>
        <w:pStyle w:val="ListBullet"/>
      </w:pPr>
      <w:r>
        <w:t>Journey detail should use bottom sheet or full-screen sheet depending on current CtC mobile conventions.</w:t>
      </w:r>
    </w:p>
    <w:p>
      <w:pPr>
        <w:pStyle w:val="ListBullet"/>
      </w:pPr>
      <w:r>
        <w:t>Cards must stack cleanly; avoid dense horizontal progress controls that break on narrow screens.</w:t>
      </w:r>
    </w:p>
    <w:p>
      <w:pPr>
        <w:pStyle w:val="ListBullet"/>
      </w:pPr>
      <w:r>
        <w:t>Blocked-state warnings should render inline and remain obvious on mobile.</w:t>
      </w:r>
    </w:p>
    <w:p>
      <w:pPr>
        <w:pStyle w:val="ListBullet"/>
      </w:pPr>
      <w:r>
        <w:t>Direct tool entry must still work; journey context should enhance, not block normal mobile use unless execution safety requires it.</w:t>
      </w:r>
    </w:p>
    <w:p>
      <w:pPr>
        <w:pStyle w:val="Heading1"/>
      </w:pPr>
      <w:r>
        <w:t>12. Execution Guard Logic</w:t>
      </w:r>
    </w:p>
    <w:p>
      <w:r>
        <w:t>Execution Guard is the trust layer. It decides whether a user may proceed to provider search, booking, inspection scheduling, or similar execution-stage actions.</w:t>
      </w:r>
    </w:p>
    <w:p>
      <w:pPr>
        <w:pStyle w:val="ListBullet"/>
      </w:pPr>
      <w:r>
        <w:t>If executionReadiness is NOT_READY, execution is blocked and the user is routed to the required prior step.</w:t>
      </w:r>
    </w:p>
    <w:p>
      <w:pPr>
        <w:pStyle w:val="ListBullet"/>
      </w:pPr>
      <w:r>
        <w:t>If executionReadiness is NEEDS_CONTEXT, execution is blocked or softened depending on risk level; the UI explains what context is missing.</w:t>
      </w:r>
    </w:p>
    <w:p>
      <w:pPr>
        <w:pStyle w:val="ListBullet"/>
      </w:pPr>
      <w:r>
        <w:t>If executionReadiness is READY, execution may proceed, but journey context should still be preserved.</w:t>
      </w:r>
    </w:p>
    <w:p>
      <w:pPr>
        <w:pStyle w:val="ListBullet"/>
      </w:pPr>
      <w:r>
        <w:t>Critical paths such as HVAC replacement, roof/plumbing/electrical inspection, or high-cost repair should never skip decision/coverage/validation gates when the template requires them.</w:t>
      </w:r>
    </w:p>
    <w:p>
      <w:pPr>
        <w:pStyle w:val="ListBullet"/>
      </w:pPr>
      <w:r>
        <w:t>Guard output must include blockedReason and a safe next step instead of a dead-end rejection.</w:t>
      </w:r>
    </w:p>
    <w:p>
      <w:pPr>
        <w:pStyle w:val="Heading1"/>
      </w:pPr>
      <w:r>
        <w:t>13. Alert Bridge and Worker Integration</w:t>
      </w:r>
    </w:p>
    <w:p>
      <w:r>
        <w:t>DRJ must bridge backend-only and worker-only intelligence into visible user guidance.</w:t>
      </w:r>
    </w:p>
    <w:tbl>
      <w:tblPr>
        <w:tblStyle w:val="TableGrid"/>
        <w:tblW w:type="auto" w:w="0"/>
        <w:jc w:val="center"/>
        <w:tblLook w:firstColumn="1" w:firstRow="1" w:lastColumn="0" w:lastRow="0" w:noHBand="0" w:noVBand="1" w:val="04A0"/>
      </w:tblPr>
      <w:tblGrid>
        <w:gridCol w:w="3362"/>
        <w:gridCol w:w="3362"/>
        <w:gridCol w:w="3362"/>
      </w:tblGrid>
      <w:tr>
        <w:tc>
          <w:tcPr>
            <w:tcW w:type="dxa" w:w="3362"/>
            <w:shd w:fill="E8EEFF"/>
            <w:tcMar>
              <w:top w:w="80" w:type="dxa"/>
              <w:start w:w="120" w:type="dxa"/>
              <w:bottom w:w="80" w:type="dxa"/>
              <w:end w:w="120" w:type="dxa"/>
            </w:tcMar>
          </w:tcPr>
          <w:p>
            <w:r>
              <w:rPr>
                <w:b/>
              </w:rPr>
              <w:t>Signal Source</w:t>
            </w:r>
          </w:p>
        </w:tc>
        <w:tc>
          <w:tcPr>
            <w:tcW w:type="dxa" w:w="3362"/>
            <w:shd w:fill="E8EEFF"/>
            <w:tcMar>
              <w:top w:w="80" w:type="dxa"/>
              <w:start w:w="120" w:type="dxa"/>
              <w:bottom w:w="80" w:type="dxa"/>
              <w:end w:w="120" w:type="dxa"/>
            </w:tcMar>
          </w:tcPr>
          <w:p>
            <w:r>
              <w:rPr>
                <w:b/>
              </w:rPr>
              <w:t>Bridge Logic</w:t>
            </w:r>
          </w:p>
        </w:tc>
        <w:tc>
          <w:tcPr>
            <w:tcW w:type="dxa" w:w="3362"/>
            <w:shd w:fill="E8EEFF"/>
            <w:tcMar>
              <w:top w:w="80" w:type="dxa"/>
              <w:start w:w="120" w:type="dxa"/>
              <w:bottom w:w="80" w:type="dxa"/>
              <w:end w:w="120" w:type="dxa"/>
            </w:tcMar>
          </w:tcPr>
          <w:p>
            <w:r>
              <w:rPr>
                <w:b/>
              </w:rPr>
              <w:t>Expected User Surface</w:t>
            </w:r>
          </w:p>
        </w:tc>
      </w:tr>
      <w:tr>
        <w:tc>
          <w:tcPr>
            <w:tcW w:type="dxa" w:w="3362"/>
            <w:tcMar>
              <w:top w:w="80" w:type="dxa"/>
              <w:start w:w="120" w:type="dxa"/>
              <w:bottom w:w="80" w:type="dxa"/>
              <w:end w:w="120" w:type="dxa"/>
            </w:tcMar>
          </w:tcPr>
          <w:p>
            <w:r>
              <w:t>Recall matching worker</w:t>
            </w:r>
          </w:p>
        </w:tc>
        <w:tc>
          <w:tcPr>
            <w:tcW w:type="dxa" w:w="3362"/>
            <w:tcMar>
              <w:top w:w="80" w:type="dxa"/>
              <w:start w:w="120" w:type="dxa"/>
              <w:bottom w:w="80" w:type="dxa"/>
              <w:end w:w="120" w:type="dxa"/>
            </w:tcMar>
          </w:tcPr>
          <w:p>
            <w:r>
              <w:t>Create/update journey; mark urgent safety state; expose remedy path.</w:t>
            </w:r>
          </w:p>
        </w:tc>
        <w:tc>
          <w:tcPr>
            <w:tcW w:type="dxa" w:w="3362"/>
            <w:tcMar>
              <w:top w:w="80" w:type="dxa"/>
              <w:start w:w="120" w:type="dxa"/>
              <w:bottom w:w="80" w:type="dxa"/>
              <w:end w:w="120" w:type="dxa"/>
            </w:tcMar>
          </w:tcPr>
          <w:p>
            <w:r>
              <w:t>Dashboard alert, warranties/inventory context, asset detail.</w:t>
            </w:r>
          </w:p>
        </w:tc>
      </w:tr>
      <w:tr>
        <w:tc>
          <w:tcPr>
            <w:tcW w:type="dxa" w:w="3362"/>
            <w:tcMar>
              <w:top w:w="80" w:type="dxa"/>
              <w:start w:w="120" w:type="dxa"/>
              <w:bottom w:w="80" w:type="dxa"/>
              <w:end w:w="120" w:type="dxa"/>
            </w:tcMar>
          </w:tcPr>
          <w:p>
            <w:r>
              <w:t>Freeze / storm / weather risk worker</w:t>
            </w:r>
          </w:p>
        </w:tc>
        <w:tc>
          <w:tcPr>
            <w:tcW w:type="dxa" w:w="3362"/>
            <w:tcMar>
              <w:top w:w="80" w:type="dxa"/>
              <w:start w:w="120" w:type="dxa"/>
              <w:bottom w:w="80" w:type="dxa"/>
              <w:end w:w="120" w:type="dxa"/>
            </w:tcMar>
          </w:tcPr>
          <w:p>
            <w:r>
              <w:t>Create/update risk or maintenance journey with immediate safety or readiness steps.</w:t>
            </w:r>
          </w:p>
        </w:tc>
        <w:tc>
          <w:tcPr>
            <w:tcW w:type="dxa" w:w="3362"/>
            <w:tcMar>
              <w:top w:w="80" w:type="dxa"/>
              <w:start w:w="120" w:type="dxa"/>
              <w:bottom w:w="80" w:type="dxa"/>
              <w:end w:w="120" w:type="dxa"/>
            </w:tcMar>
          </w:tcPr>
          <w:p>
            <w:r>
              <w:t>Banner/alert + relevant climate/maintenance/tool surface.</w:t>
            </w:r>
          </w:p>
        </w:tc>
      </w:tr>
      <w:tr>
        <w:tc>
          <w:tcPr>
            <w:tcW w:type="dxa" w:w="3362"/>
            <w:tcMar>
              <w:top w:w="80" w:type="dxa"/>
              <w:start w:w="120" w:type="dxa"/>
              <w:bottom w:w="80" w:type="dxa"/>
              <w:end w:w="120" w:type="dxa"/>
            </w:tcMar>
          </w:tcPr>
          <w:p>
            <w:r>
              <w:t>Coverage lapse / expiring policy incident</w:t>
            </w:r>
          </w:p>
        </w:tc>
        <w:tc>
          <w:tcPr>
            <w:tcW w:type="dxa" w:w="3362"/>
            <w:tcMar>
              <w:top w:w="80" w:type="dxa"/>
              <w:start w:w="120" w:type="dxa"/>
              <w:bottom w:w="80" w:type="dxa"/>
              <w:end w:w="120" w:type="dxa"/>
            </w:tcMar>
          </w:tcPr>
          <w:p>
            <w:r>
              <w:t>Create/update coverage journey with clear remediation path.</w:t>
            </w:r>
          </w:p>
        </w:tc>
        <w:tc>
          <w:tcPr>
            <w:tcW w:type="dxa" w:w="3362"/>
            <w:tcMar>
              <w:top w:w="80" w:type="dxa"/>
              <w:start w:w="120" w:type="dxa"/>
              <w:bottom w:w="80" w:type="dxa"/>
              <w:end w:w="120" w:type="dxa"/>
            </w:tcMar>
          </w:tcPr>
          <w:p>
            <w:r>
              <w:t>Insurance / coverage pages, dashboard action card.</w:t>
            </w:r>
          </w:p>
        </w:tc>
      </w:tr>
      <w:tr>
        <w:tc>
          <w:tcPr>
            <w:tcW w:type="dxa" w:w="3362"/>
            <w:tcMar>
              <w:top w:w="80" w:type="dxa"/>
              <w:start w:w="120" w:type="dxa"/>
              <w:bottom w:w="80" w:type="dxa"/>
              <w:end w:w="120" w:type="dxa"/>
            </w:tcMar>
          </w:tcPr>
          <w:p>
            <w:r>
              <w:t>Neighborhood / radar event ingest</w:t>
            </w:r>
          </w:p>
        </w:tc>
        <w:tc>
          <w:tcPr>
            <w:tcW w:type="dxa" w:w="3362"/>
            <w:tcMar>
              <w:top w:w="80" w:type="dxa"/>
              <w:start w:w="120" w:type="dxa"/>
              <w:bottom w:w="80" w:type="dxa"/>
              <w:end w:w="120" w:type="dxa"/>
            </w:tcMar>
          </w:tcPr>
          <w:p>
            <w:r>
              <w:t>Update tracking or value-impact journey when materially relevant.</w:t>
            </w:r>
          </w:p>
        </w:tc>
        <w:tc>
          <w:tcPr>
            <w:tcW w:type="dxa" w:w="3362"/>
            <w:tcMar>
              <w:top w:w="80" w:type="dxa"/>
              <w:start w:w="120" w:type="dxa"/>
              <w:bottom w:w="80" w:type="dxa"/>
              <w:end w:w="120" w:type="dxa"/>
            </w:tcMar>
          </w:tcPr>
          <w:p>
            <w:r>
              <w:t>Home Event Radar + timeline-like action surface.</w:t>
            </w:r>
          </w:p>
        </w:tc>
      </w:tr>
    </w:tbl>
    <w:p>
      <w:pPr>
        <w:pStyle w:val="Heading1"/>
      </w:pPr>
      <w:r>
        <w:t>14. Response Contracts and APIs</w:t>
      </w:r>
    </w:p>
    <w:p>
      <w:r>
        <w:t>Backend contracts should be frontend-friendly and deterministic. The frontend should not re-implement journey logic.</w:t>
      </w:r>
    </w:p>
    <w:p>
      <w:pPr>
        <w:pStyle w:val="ListBullet"/>
      </w:pPr>
      <w:r>
        <w:t>GET property guidance — returns prioritized active journeys/actions for a property.</w:t>
      </w:r>
    </w:p>
    <w:p>
      <w:pPr>
        <w:pStyle w:val="ListBullet"/>
      </w:pPr>
      <w:r>
        <w:t>GET journey detail — returns ordered steps, current step, warnings, readiness, derived-data summary, and recommended next action.</w:t>
      </w:r>
    </w:p>
    <w:p>
      <w:pPr>
        <w:pStyle w:val="ListBullet"/>
      </w:pPr>
      <w:r>
        <w:t>POST/PUT step completion — records tool completion and updates derived data.</w:t>
      </w:r>
    </w:p>
    <w:p>
      <w:pPr>
        <w:pStyle w:val="ListBullet"/>
      </w:pPr>
      <w:r>
        <w:t>POST skip step — allowed only when step policy permits; marks low-context or blocked downstream state as needed.</w:t>
      </w:r>
    </w:p>
    <w:p>
      <w:pPr>
        <w:pStyle w:val="ListBullet"/>
      </w:pPr>
      <w:r>
        <w:t>GET execution guard status — used by provider/booking/execution entry points.</w:t>
      </w:r>
    </w:p>
    <w:p>
      <w:pPr>
        <w:pStyle w:val="Heading1"/>
      </w:pPr>
      <w:r>
        <w:t>15. End-to-End Example Flows</w:t>
      </w:r>
    </w:p>
    <w:p>
      <w:pPr>
        <w:pStyle w:val="Heading2"/>
      </w:pPr>
      <w:r>
        <w:t>HVAC past lifespan</w:t>
      </w:r>
    </w:p>
    <w:p>
      <w:pPr>
        <w:pStyle w:val="ListBullet"/>
      </w:pPr>
      <w:r>
        <w:t>Signal normalized as lifecycle_end_or_past_life.</w:t>
      </w:r>
    </w:p>
    <w:p>
      <w:pPr>
        <w:pStyle w:val="ListBullet"/>
      </w:pPr>
      <w:r>
        <w:t>Journey template selected: lifecycle/system-failure.</w:t>
      </w:r>
    </w:p>
    <w:p>
      <w:pPr>
        <w:pStyle w:val="ListBullet"/>
      </w:pPr>
      <w:r>
        <w:t>Primary next step: Compare Repair vs Replace.</w:t>
      </w:r>
    </w:p>
    <w:p>
      <w:pPr>
        <w:pStyle w:val="ListBullet"/>
      </w:pPr>
      <w:r>
        <w:t>Replace vs Repair returns REPLACE plus break-even; derived data updated.</w:t>
      </w:r>
    </w:p>
    <w:p>
      <w:pPr>
        <w:pStyle w:val="ListBullet"/>
      </w:pPr>
      <w:r>
        <w:t>Coverage step becomes next best step.</w:t>
      </w:r>
    </w:p>
    <w:p>
      <w:pPr>
        <w:pStyle w:val="ListBullet"/>
      </w:pPr>
      <w:r>
        <w:t>Only after coverage and pricing/validation are satisfied does booking become ready.</w:t>
      </w:r>
    </w:p>
    <w:p>
      <w:pPr>
        <w:pStyle w:val="Heading2"/>
      </w:pPr>
      <w:r>
        <w:t>Coverage gap</w:t>
      </w:r>
    </w:p>
    <w:p>
      <w:pPr>
        <w:pStyle w:val="ListBullet"/>
      </w:pPr>
      <w:r>
        <w:t>Signal normalized as coverage_gap.</w:t>
      </w:r>
    </w:p>
    <w:p>
      <w:pPr>
        <w:pStyle w:val="ListBullet"/>
      </w:pPr>
      <w:r>
        <w:t>Journey created with coverage → exposure → options/update policy flow.</w:t>
      </w:r>
    </w:p>
    <w:p>
      <w:pPr>
        <w:pStyle w:val="ListBullet"/>
      </w:pPr>
      <w:r>
        <w:t>UI shows Check Coverage, not a generic informational message.</w:t>
      </w:r>
    </w:p>
    <w:p>
      <w:pPr>
        <w:pStyle w:val="ListBullet"/>
      </w:pPr>
      <w:r>
        <w:t>If deductible is too high relative to savings, financial context raises exposure and may change priority.</w:t>
      </w:r>
    </w:p>
    <w:p>
      <w:pPr>
        <w:pStyle w:val="Heading2"/>
      </w:pPr>
      <w:r>
        <w:t>Inspection defect unresolved</w:t>
      </w:r>
    </w:p>
    <w:p>
      <w:pPr>
        <w:pStyle w:val="ListBullet"/>
      </w:pPr>
      <w:r>
        <w:t>Signal normalized as inspection_followup_needed.</w:t>
      </w:r>
    </w:p>
    <w:p>
      <w:pPr>
        <w:pStyle w:val="ListBullet"/>
      </w:pPr>
      <w:r>
        <w:t>Journey directs Assess Urgency before any execution-stage scheduling.</w:t>
      </w:r>
    </w:p>
    <w:p>
      <w:pPr>
        <w:pStyle w:val="ListBullet"/>
      </w:pPr>
      <w:r>
        <w:t>Derived data captures severity and specialist category.</w:t>
      </w:r>
    </w:p>
    <w:p>
      <w:pPr>
        <w:pStyle w:val="ListBullet"/>
      </w:pPr>
      <w:r>
        <w:t>Booking or provider routing only appears after scope/urgency is known.</w:t>
      </w:r>
    </w:p>
    <w:p>
      <w:pPr>
        <w:pStyle w:val="Heading1"/>
      </w:pPr>
      <w:r>
        <w:t>16. QA, Guardrails, and Production Safety</w:t>
      </w:r>
    </w:p>
    <w:p>
      <w:pPr>
        <w:pStyle w:val="ListBullet"/>
      </w:pPr>
      <w:r>
        <w:t>Math validation for break-even, cost-of-delay, savings gaps, priority scores, and similar computed values.</w:t>
      </w:r>
    </w:p>
    <w:p>
      <w:pPr>
        <w:pStyle w:val="ListBullet"/>
      </w:pPr>
      <w:r>
        <w:t>State-transition safety so steps cannot be illegally completed, skipped, or regressed.</w:t>
      </w:r>
    </w:p>
    <w:p>
      <w:pPr>
        <w:pStyle w:val="ListBullet"/>
      </w:pPr>
      <w:r>
        <w:t>Hard duplicate/conflict suppression at the final response level.</w:t>
      </w:r>
    </w:p>
    <w:p>
      <w:pPr>
        <w:pStyle w:val="ListBullet"/>
      </w:pPr>
      <w:r>
        <w:t>Freshness rules to downgrade or suppress stale quotes, stale inspections, or outdated derived data.</w:t>
      </w:r>
    </w:p>
    <w:p>
      <w:pPr>
        <w:pStyle w:val="ListBullet"/>
      </w:pPr>
      <w:r>
        <w:t>API validation and structured error handling for invalid IDs, missing context, and partial data.</w:t>
      </w:r>
    </w:p>
    <w:p>
      <w:pPr>
        <w:pStyle w:val="ListBullet"/>
      </w:pPr>
      <w:r>
        <w:t>Frontend fallback states for loading, empty, partial, and error conditions on both desktop and mobile.</w:t>
      </w:r>
    </w:p>
    <w:p>
      <w:pPr>
        <w:pStyle w:val="Heading1"/>
      </w:pPr>
      <w:r>
        <w:t>17. Success Criteria</w:t>
      </w:r>
    </w:p>
    <w:tbl>
      <w:tblPr>
        <w:tblStyle w:val="TableGrid"/>
        <w:tblW w:type="auto" w:w="0"/>
        <w:jc w:val="center"/>
        <w:tblLook w:firstColumn="1" w:firstRow="1" w:lastColumn="0" w:lastRow="0" w:noHBand="0" w:noVBand="1" w:val="04A0"/>
      </w:tblPr>
      <w:tblGrid>
        <w:gridCol w:w="5043"/>
        <w:gridCol w:w="5043"/>
      </w:tblGrid>
      <w:tr>
        <w:tc>
          <w:tcPr>
            <w:tcW w:type="dxa" w:w="5043"/>
            <w:shd w:fill="E8EEFF"/>
            <w:tcMar>
              <w:top w:w="80" w:type="dxa"/>
              <w:start w:w="120" w:type="dxa"/>
              <w:bottom w:w="80" w:type="dxa"/>
              <w:end w:w="120" w:type="dxa"/>
            </w:tcMar>
          </w:tcPr>
          <w:p>
            <w:r>
              <w:rPr>
                <w:b/>
              </w:rPr>
              <w:t>Area</w:t>
            </w:r>
          </w:p>
        </w:tc>
        <w:tc>
          <w:tcPr>
            <w:tcW w:type="dxa" w:w="5043"/>
            <w:shd w:fill="E8EEFF"/>
            <w:tcMar>
              <w:top w:w="80" w:type="dxa"/>
              <w:start w:w="120" w:type="dxa"/>
              <w:bottom w:w="80" w:type="dxa"/>
              <w:end w:w="120" w:type="dxa"/>
            </w:tcMar>
          </w:tcPr>
          <w:p>
            <w:r>
              <w:rPr>
                <w:b/>
              </w:rPr>
              <w:t>Outcome</w:t>
            </w:r>
          </w:p>
        </w:tc>
      </w:tr>
      <w:tr>
        <w:tc>
          <w:tcPr>
            <w:tcW w:type="dxa" w:w="5043"/>
            <w:tcMar>
              <w:top w:w="80" w:type="dxa"/>
              <w:start w:w="120" w:type="dxa"/>
              <w:bottom w:w="80" w:type="dxa"/>
              <w:end w:w="120" w:type="dxa"/>
            </w:tcMar>
          </w:tcPr>
          <w:p>
            <w:r>
              <w:t>Actionability</w:t>
            </w:r>
          </w:p>
        </w:tc>
        <w:tc>
          <w:tcPr>
            <w:tcW w:type="dxa" w:w="5043"/>
            <w:tcMar>
              <w:top w:w="80" w:type="dxa"/>
              <w:start w:w="120" w:type="dxa"/>
              <w:bottom w:w="80" w:type="dxa"/>
              <w:end w:w="120" w:type="dxa"/>
            </w:tcMar>
          </w:tcPr>
          <w:p>
            <w:r>
              <w:t>Every high-value signal surfaces a meaningful next step.</w:t>
            </w:r>
          </w:p>
        </w:tc>
      </w:tr>
      <w:tr>
        <w:tc>
          <w:tcPr>
            <w:tcW w:type="dxa" w:w="5043"/>
            <w:tcMar>
              <w:top w:w="80" w:type="dxa"/>
              <w:start w:w="120" w:type="dxa"/>
              <w:bottom w:w="80" w:type="dxa"/>
              <w:end w:w="120" w:type="dxa"/>
            </w:tcMar>
          </w:tcPr>
          <w:p>
            <w:r>
              <w:t>Trust</w:t>
            </w:r>
          </w:p>
        </w:tc>
        <w:tc>
          <w:tcPr>
            <w:tcW w:type="dxa" w:w="5043"/>
            <w:tcMar>
              <w:top w:w="80" w:type="dxa"/>
              <w:start w:w="120" w:type="dxa"/>
              <w:bottom w:w="80" w:type="dxa"/>
              <w:end w:w="120" w:type="dxa"/>
            </w:tcMar>
          </w:tcPr>
          <w:p>
            <w:r>
              <w:t>Premature execution is blocked and explained clearly.</w:t>
            </w:r>
          </w:p>
        </w:tc>
      </w:tr>
      <w:tr>
        <w:tc>
          <w:tcPr>
            <w:tcW w:type="dxa" w:w="5043"/>
            <w:tcMar>
              <w:top w:w="80" w:type="dxa"/>
              <w:start w:w="120" w:type="dxa"/>
              <w:bottom w:w="80" w:type="dxa"/>
              <w:end w:w="120" w:type="dxa"/>
            </w:tcMar>
          </w:tcPr>
          <w:p>
            <w:r>
              <w:t>Coherence</w:t>
            </w:r>
          </w:p>
        </w:tc>
        <w:tc>
          <w:tcPr>
            <w:tcW w:type="dxa" w:w="5043"/>
            <w:tcMar>
              <w:top w:w="80" w:type="dxa"/>
              <w:start w:w="120" w:type="dxa"/>
              <w:bottom w:w="80" w:type="dxa"/>
              <w:end w:w="120" w:type="dxa"/>
            </w:tcMar>
          </w:tcPr>
          <w:p>
            <w:r>
              <w:t>Multiple tools feel like one connected journey instead of isolated pages.</w:t>
            </w:r>
          </w:p>
        </w:tc>
      </w:tr>
      <w:tr>
        <w:tc>
          <w:tcPr>
            <w:tcW w:type="dxa" w:w="5043"/>
            <w:tcMar>
              <w:top w:w="80" w:type="dxa"/>
              <w:start w:w="120" w:type="dxa"/>
              <w:bottom w:w="80" w:type="dxa"/>
              <w:end w:w="120" w:type="dxa"/>
            </w:tcMar>
          </w:tcPr>
          <w:p>
            <w:r>
              <w:t>Noise reduction</w:t>
            </w:r>
          </w:p>
        </w:tc>
        <w:tc>
          <w:tcPr>
            <w:tcW w:type="dxa" w:w="5043"/>
            <w:tcMar>
              <w:top w:w="80" w:type="dxa"/>
              <w:start w:w="120" w:type="dxa"/>
              <w:bottom w:w="80" w:type="dxa"/>
              <w:end w:w="120" w:type="dxa"/>
            </w:tcMar>
          </w:tcPr>
          <w:p>
            <w:r>
              <w:t>Users see fewer but better actions due to ranking, suppression, and merging.</w:t>
            </w:r>
          </w:p>
        </w:tc>
      </w:tr>
      <w:tr>
        <w:tc>
          <w:tcPr>
            <w:tcW w:type="dxa" w:w="5043"/>
            <w:tcMar>
              <w:top w:w="80" w:type="dxa"/>
              <w:start w:w="120" w:type="dxa"/>
              <w:bottom w:w="80" w:type="dxa"/>
              <w:end w:w="120" w:type="dxa"/>
            </w:tcMar>
          </w:tcPr>
          <w:p>
            <w:r>
              <w:t>Mobile usability</w:t>
            </w:r>
          </w:p>
        </w:tc>
        <w:tc>
          <w:tcPr>
            <w:tcW w:type="dxa" w:w="5043"/>
            <w:tcMar>
              <w:top w:w="80" w:type="dxa"/>
              <w:start w:w="120" w:type="dxa"/>
              <w:bottom w:w="80" w:type="dxa"/>
              <w:end w:w="120" w:type="dxa"/>
            </w:tcMar>
          </w:tcPr>
          <w:p>
            <w:r>
              <w:t>Next step is obvious on mobile and execution safety is preserved.</w:t>
            </w:r>
          </w:p>
        </w:tc>
      </w:tr>
    </w:tbl>
    <w:sectPr w:rsidR="00FC693F" w:rsidRPr="0006063C" w:rsidSect="00034616">
      <w:pgSz w:w="12240" w:h="15840"/>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2409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2409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3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22409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uted">
    <w:name w:val="SmallMuted"/>
    <w:rPr>
      <w:rFonts w:ascii="Aptos" w:hAnsi="Aptos"/>
      <w:color w:val="5F636E"/>
      <w:sz w:val="18"/>
    </w:rPr>
  </w:style>
  <w:style w:type="paragraph" w:customStyle="1" w:styleId="Callout">
    <w:name w:val="Callout"/>
    <w:rPr>
      <w:rFonts w:ascii="Aptos" w:hAnsi="Aptos"/>
      <w:color w:val="23262E"/>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