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100"/>
      </w:pPr>
      <w:r>
        <w:rPr>
          <w:rFonts w:ascii="Calibri" w:hAnsi="Calibri"/>
          <w:b/>
          <w:color w:val="0B2545"/>
          <w:sz w:val="54"/>
        </w:rPr>
        <w:t>Personalization Operations Runbook</w:t>
      </w:r>
    </w:p>
    <w:p>
      <w:pPr>
        <w:spacing w:after="300"/>
      </w:pPr>
      <w:r>
        <w:rPr>
          <w:rFonts w:ascii="Calibri" w:hAnsi="Calibri"/>
          <w:color w:val="5B6573"/>
          <w:sz w:val="25"/>
        </w:rPr>
        <w:t>Default property guidance, optional household profile, internal validation, and rollback</w:t>
      </w:r>
    </w:p>
    <w:tbl>
      <w:tblPr>
        <w:tblStyle w:val="TableGrid"/>
        <w:tblW w:type="dxa" w:w="9360"/>
        <w:tblLayout w:type="fixed"/>
        <w:tblLook w:firstColumn="1" w:firstRow="1" w:lastColumn="0" w:lastRow="0" w:noHBand="0" w:noVBand="1" w:val="04A0"/>
        <w:tblInd w:w="120" w:type="dxa"/>
      </w:tblPr>
      <w:tblGrid>
        <w:gridCol w:w="1800"/>
        <w:gridCol w:w="2880"/>
        <w:gridCol w:w="1800"/>
        <w:gridCol w:w="2880"/>
      </w:tblGrid>
      <w:tr>
        <w:trPr>
          <w:cantSplit/>
          <w:tblHeader w:val="true"/>
        </w:trPr>
        <w:tc>
          <w:tcPr>
            <w:tcW w:type="dxa" w:w="1800"/>
            <w:vAlign w:val="center"/>
            <w:tcMar>
              <w:top w:w="80" w:type="dxa"/>
              <w:start w:w="120" w:type="dxa"/>
              <w:bottom w:w="80" w:type="dxa"/>
              <w:end w:w="120" w:type="dxa"/>
            </w:tcMar>
            <w:shd w:fill="E8EEF5"/>
          </w:tcPr>
          <w:p>
            <w:pPr>
              <w:keepNext/>
              <w:spacing w:before="0" w:after="60" w:line="276" w:lineRule="auto"/>
            </w:pPr>
            <w:r>
              <w:rPr>
                <w:rFonts w:ascii="Calibri" w:hAnsi="Calibri"/>
                <w:b/>
                <w:color w:val="0B2545"/>
                <w:sz w:val="19"/>
              </w:rPr>
              <w:t>Status</w:t>
            </w:r>
          </w:p>
        </w:tc>
        <w:tc>
          <w:tcPr>
            <w:tcW w:type="dxa" w:w="2880"/>
            <w:vAlign w:val="center"/>
            <w:tcMar>
              <w:top w:w="80" w:type="dxa"/>
              <w:start w:w="120" w:type="dxa"/>
              <w:bottom w:w="80" w:type="dxa"/>
              <w:end w:w="120" w:type="dxa"/>
            </w:tcMar>
            <w:shd w:fill="E8EEF5"/>
          </w:tcPr>
          <w:p>
            <w:pPr>
              <w:keepNext/>
              <w:spacing w:before="0" w:after="60" w:line="276" w:lineRule="auto"/>
            </w:pPr>
            <w:r>
              <w:rPr>
                <w:rFonts w:ascii="Calibri" w:hAnsi="Calibri"/>
                <w:b/>
                <w:color w:val="0B2545"/>
                <w:sz w:val="19"/>
              </w:rPr>
              <w:t>Environment</w:t>
            </w:r>
          </w:p>
        </w:tc>
        <w:tc>
          <w:tcPr>
            <w:tcW w:type="dxa" w:w="1800"/>
            <w:vAlign w:val="center"/>
            <w:tcMar>
              <w:top w:w="80" w:type="dxa"/>
              <w:start w:w="120" w:type="dxa"/>
              <w:bottom w:w="80" w:type="dxa"/>
              <w:end w:w="120" w:type="dxa"/>
            </w:tcMar>
            <w:shd w:fill="E8EEF5"/>
          </w:tcPr>
          <w:p>
            <w:pPr>
              <w:keepNext/>
              <w:spacing w:before="0" w:after="60" w:line="276" w:lineRule="auto"/>
            </w:pPr>
            <w:r>
              <w:rPr>
                <w:rFonts w:ascii="Calibri" w:hAnsi="Calibri"/>
                <w:b/>
                <w:color w:val="0B2545"/>
                <w:sz w:val="19"/>
              </w:rPr>
              <w:t>Scope</w:t>
            </w:r>
          </w:p>
        </w:tc>
        <w:tc>
          <w:tcPr>
            <w:tcW w:type="dxa" w:w="2880"/>
            <w:vAlign w:val="center"/>
            <w:tcMar>
              <w:top w:w="80" w:type="dxa"/>
              <w:start w:w="120" w:type="dxa"/>
              <w:bottom w:w="80" w:type="dxa"/>
              <w:end w:w="120" w:type="dxa"/>
            </w:tcMar>
            <w:shd w:fill="E8EEF5"/>
          </w:tcPr>
          <w:p>
            <w:pPr>
              <w:keepNext/>
              <w:spacing w:before="0" w:after="60" w:line="276" w:lineRule="auto"/>
            </w:pPr>
            <w:r>
              <w:rPr>
                <w:rFonts w:ascii="Calibri" w:hAnsi="Calibri"/>
                <w:b/>
                <w:color w:val="0B2545"/>
                <w:sz w:val="19"/>
              </w:rPr>
              <w:t>Database owner</w:t>
            </w:r>
          </w:p>
        </w:tc>
      </w:tr>
      <w:tr>
        <w:trPr>
          <w:cantSplit/>
        </w:trPr>
        <w:tc>
          <w:tcPr>
            <w:tcW w:type="dxa" w:w="1800"/>
            <w:vAlign w:val="center"/>
            <w:tcMar>
              <w:top w:w="80" w:type="dxa"/>
              <w:start w:w="120" w:type="dxa"/>
              <w:bottom w:w="80" w:type="dxa"/>
              <w:end w:w="120" w:type="dxa"/>
            </w:tcMar>
          </w:tcPr>
          <w:p>
            <w:pPr>
              <w:spacing w:before="0" w:after="60" w:line="276" w:lineRule="auto"/>
            </w:pPr>
            <w:r>
              <w:rPr>
                <w:rFonts w:ascii="Calibri" w:hAnsi="Calibri"/>
                <w:b w:val="0"/>
                <w:color w:val="0B2545"/>
                <w:sz w:val="19"/>
              </w:rPr>
              <w:t>Ready for use</w:t>
            </w:r>
          </w:p>
        </w:tc>
        <w:tc>
          <w:tcPr>
            <w:tcW w:type="dxa" w:w="2880"/>
            <w:vAlign w:val="center"/>
            <w:tcMar>
              <w:top w:w="80" w:type="dxa"/>
              <w:start w:w="120" w:type="dxa"/>
              <w:bottom w:w="80" w:type="dxa"/>
              <w:end w:w="120" w:type="dxa"/>
            </w:tcMar>
          </w:tcPr>
          <w:p>
            <w:pPr>
              <w:spacing w:before="0" w:after="60" w:line="276" w:lineRule="auto"/>
            </w:pPr>
            <w:r>
              <w:rPr>
                <w:rFonts w:ascii="Calibri" w:hAnsi="Calibri"/>
                <w:b w:val="0"/>
                <w:color w:val="0B2545"/>
                <w:sz w:val="19"/>
              </w:rPr>
              <w:t>Greenfield internal validation</w:t>
            </w:r>
          </w:p>
        </w:tc>
        <w:tc>
          <w:tcPr>
            <w:tcW w:type="dxa" w:w="1800"/>
            <w:vAlign w:val="center"/>
            <w:tcMar>
              <w:top w:w="80" w:type="dxa"/>
              <w:start w:w="120" w:type="dxa"/>
              <w:bottom w:w="80" w:type="dxa"/>
              <w:end w:w="120" w:type="dxa"/>
            </w:tcMar>
          </w:tcPr>
          <w:p>
            <w:pPr>
              <w:spacing w:before="0" w:after="60" w:line="276" w:lineRule="auto"/>
            </w:pPr>
            <w:r>
              <w:rPr>
                <w:rFonts w:ascii="Calibri" w:hAnsi="Calibri"/>
                <w:b w:val="0"/>
                <w:color w:val="0B2545"/>
                <w:sz w:val="19"/>
              </w:rPr>
              <w:t>Phases 0–4</w:t>
            </w:r>
          </w:p>
        </w:tc>
        <w:tc>
          <w:tcPr>
            <w:tcW w:type="dxa" w:w="2880"/>
            <w:vAlign w:val="center"/>
            <w:tcMar>
              <w:top w:w="80" w:type="dxa"/>
              <w:start w:w="120" w:type="dxa"/>
              <w:bottom w:w="80" w:type="dxa"/>
              <w:end w:w="120" w:type="dxa"/>
            </w:tcMar>
          </w:tcPr>
          <w:p>
            <w:pPr>
              <w:spacing w:before="0" w:after="60" w:line="276" w:lineRule="auto"/>
            </w:pPr>
            <w:r>
              <w:rPr>
                <w:rFonts w:ascii="Calibri" w:hAnsi="Calibri"/>
                <w:b w:val="0"/>
                <w:color w:val="0B2545"/>
                <w:sz w:val="19"/>
              </w:rPr>
              <w:t>User-managed schema application</w:t>
            </w:r>
          </w:p>
        </w:tc>
      </w:tr>
    </w:tbl>
    <w:p>
      <w:pPr>
        <w:spacing w:after="0"/>
      </w:pPr>
    </w:p>
    <w:p>
      <w:pPr>
        <w:spacing w:before="100" w:after="180"/>
        <w:ind w:left="173" w:right="173"/>
        <w:shd w:fill="F4F6F9"/>
        <w:pBdr>
          <w:left w:val="single" w:sz="18" w:space="8" w:color="2E74B5"/>
        </w:pBdr>
      </w:pPr>
      <w:r>
        <w:rPr>
          <w:rFonts w:ascii="Calibri" w:hAnsi="Calibri"/>
          <w:b/>
          <w:color w:val="0B2545"/>
          <w:sz w:val="22"/>
        </w:rPr>
        <w:t xml:space="preserve">Operating decision: </w:t>
      </w:r>
      <w:r>
        <w:rPr>
          <w:rFonts w:ascii="Calibri" w:hAnsi="Calibri"/>
          <w:color w:val="0B2545"/>
          <w:sz w:val="22"/>
        </w:rPr>
        <w:t>Basic property personalization is available by default. Consent is required only when an owner chooses to add household-profile details. There is no percentage enrollment, cohort flag, migration script, or property backfill in the current greenfield environment.</w:t>
      </w:r>
    </w:p>
    <w:p>
      <w:pPr>
        <w:pStyle w:val="Heading1"/>
      </w:pPr>
      <w:r>
        <w:t>1. Operating model</w:t>
      </w:r>
    </w:p>
    <w:p>
      <w:pPr>
        <w:numPr>
          <w:ilvl w:val="0"/>
          <w:numId w:val="10"/>
        </w:numPr>
        <w:spacing w:after="80" w:line="300" w:lineRule="auto"/>
      </w:pPr>
      <w:r>
        <w:rPr>
          <w:rFonts w:ascii="Calibri" w:hAnsi="Calibri"/>
          <w:sz w:val="22"/>
        </w:rPr>
        <w:t>Property guidance is default-on for authenticated property users when reviewed definition, rule, and en-US content versions are ACTIVE.</w:t>
      </w:r>
    </w:p>
    <w:p>
      <w:pPr>
        <w:numPr>
          <w:ilvl w:val="0"/>
          <w:numId w:val="10"/>
        </w:numPr>
        <w:spacing w:after="80" w:line="300" w:lineRule="auto"/>
      </w:pPr>
      <w:r>
        <w:rPr>
          <w:rFonts w:ascii="Calibri" w:hAnsi="Calibri"/>
          <w:sz w:val="22"/>
        </w:rPr>
        <w:t>The optional household profile is owner-only and created lazily through the profile-enable endpoint. Property recommendations never depend on a Household row.</w:t>
      </w:r>
    </w:p>
    <w:p>
      <w:pPr>
        <w:numPr>
          <w:ilvl w:val="0"/>
          <w:numId w:val="10"/>
        </w:numPr>
        <w:spacing w:after="80" w:line="300" w:lineRule="auto"/>
      </w:pPr>
      <w:r>
        <w:rPr>
          <w:rFonts w:ascii="Calibri" w:hAnsi="Calibri"/>
          <w:sz w:val="22"/>
        </w:rPr>
        <w:t>Recommendations recompute for the selected property on read or explicit refresh. There is no database-wide nightly personalization sweep.</w:t>
      </w:r>
    </w:p>
    <w:p>
      <w:pPr>
        <w:numPr>
          <w:ilvl w:val="0"/>
          <w:numId w:val="10"/>
        </w:numPr>
        <w:spacing w:after="80" w:line="300" w:lineRule="auto"/>
      </w:pPr>
      <w:r>
        <w:rPr>
          <w:rFonts w:ascii="Calibri" w:hAnsi="Calibri"/>
          <w:sz w:val="22"/>
        </w:rPr>
        <w:t>The database-backed global kill switch and per-definition pause are the exposure controls. Both are authoritative over previously materialized rows.</w:t>
      </w:r>
    </w:p>
    <w:p>
      <w:pPr>
        <w:numPr>
          <w:ilvl w:val="0"/>
          <w:numId w:val="10"/>
        </w:numPr>
        <w:spacing w:after="80" w:line="300" w:lineRule="auto"/>
      </w:pPr>
      <w:r>
        <w:rPr>
          <w:rFonts w:ascii="Calibri" w:hAnsi="Calibri"/>
          <w:sz w:val="22"/>
        </w:rPr>
        <w:t>The focused catalog contains five deterministic property definitions and five optional profile questions. All seeded rows start DRAFT.</w:t>
      </w:r>
    </w:p>
    <w:p>
      <w:pPr>
        <w:numPr>
          <w:ilvl w:val="0"/>
          <w:numId w:val="10"/>
        </w:numPr>
        <w:spacing w:after="80" w:line="300" w:lineRule="auto"/>
      </w:pPr>
      <w:r>
        <w:rPr>
          <w:rFonts w:ascii="Calibri" w:hAnsi="Calibri"/>
          <w:sz w:val="22"/>
        </w:rPr>
        <w:t>Learning, inference, experiments, graph history, and automated tuning remain deferred until real-user evidence and governance justify them.</w:t>
      </w:r>
    </w:p>
    <w:p>
      <w:pPr>
        <w:pStyle w:val="Heading1"/>
      </w:pPr>
      <w:r>
        <w:t>2. Pre-activation checklist</w:t>
      </w:r>
    </w:p>
    <w:p>
      <w:r>
        <w:rPr>
          <w:rFonts w:ascii="Calibri" w:hAnsi="Calibri"/>
          <w:i w:val="0"/>
          <w:sz w:val="22"/>
        </w:rPr>
        <w:t>Complete these checks before activating catalog records. Record evidence in the release ticket or validation log.</w:t>
      </w:r>
    </w:p>
    <w:tbl>
      <w:tblPr>
        <w:tblStyle w:val="TableGrid"/>
        <w:tblW w:type="dxa" w:w="9360"/>
        <w:tblLayout w:type="fixed"/>
        <w:tblLook w:firstColumn="1" w:firstRow="1" w:lastColumn="0" w:lastRow="0" w:noHBand="0" w:noVBand="1" w:val="04A0"/>
        <w:tblInd w:w="120" w:type="dxa"/>
      </w:tblPr>
      <w:tblGrid>
        <w:gridCol w:w="1250"/>
        <w:gridCol w:w="5000"/>
        <w:gridCol w:w="3110"/>
      </w:tblGrid>
      <w:tr>
        <w:trPr>
          <w:cantSplit/>
          <w:tblHeader w:val="true"/>
        </w:trPr>
        <w:tc>
          <w:tcPr>
            <w:tcW w:type="dxa" w:w="1250"/>
            <w:vAlign w:val="center"/>
            <w:tcMar>
              <w:top w:w="80" w:type="dxa"/>
              <w:start w:w="120" w:type="dxa"/>
              <w:bottom w:w="80" w:type="dxa"/>
              <w:end w:w="120" w:type="dxa"/>
            </w:tcMar>
            <w:shd w:fill="E8EEF5"/>
          </w:tcPr>
          <w:p>
            <w:pPr>
              <w:keepNext/>
              <w:spacing w:before="0" w:after="60" w:line="276" w:lineRule="auto"/>
            </w:pPr>
            <w:r>
              <w:rPr>
                <w:rFonts w:ascii="Calibri" w:hAnsi="Calibri"/>
                <w:b/>
                <w:color w:val="0B2545"/>
                <w:sz w:val="19"/>
              </w:rPr>
              <w:t>Result</w:t>
            </w:r>
          </w:p>
        </w:tc>
        <w:tc>
          <w:tcPr>
            <w:tcW w:type="dxa" w:w="5000"/>
            <w:vAlign w:val="center"/>
            <w:tcMar>
              <w:top w:w="80" w:type="dxa"/>
              <w:start w:w="120" w:type="dxa"/>
              <w:bottom w:w="80" w:type="dxa"/>
              <w:end w:w="120" w:type="dxa"/>
            </w:tcMar>
            <w:shd w:fill="E8EEF5"/>
          </w:tcPr>
          <w:p>
            <w:pPr>
              <w:keepNext/>
              <w:spacing w:before="0" w:after="60" w:line="276" w:lineRule="auto"/>
            </w:pPr>
            <w:r>
              <w:rPr>
                <w:rFonts w:ascii="Calibri" w:hAnsi="Calibri"/>
                <w:b/>
                <w:color w:val="0B2545"/>
                <w:sz w:val="19"/>
              </w:rPr>
              <w:t>Required check</w:t>
            </w:r>
          </w:p>
        </w:tc>
        <w:tc>
          <w:tcPr>
            <w:tcW w:type="dxa" w:w="3110"/>
            <w:vAlign w:val="center"/>
            <w:tcMar>
              <w:top w:w="80" w:type="dxa"/>
              <w:start w:w="120" w:type="dxa"/>
              <w:bottom w:w="80" w:type="dxa"/>
              <w:end w:w="120" w:type="dxa"/>
            </w:tcMar>
            <w:shd w:fill="E8EEF5"/>
          </w:tcPr>
          <w:p>
            <w:pPr>
              <w:keepNext/>
              <w:spacing w:before="0" w:after="60" w:line="276" w:lineRule="auto"/>
            </w:pPr>
            <w:r>
              <w:rPr>
                <w:rFonts w:ascii="Calibri" w:hAnsi="Calibri"/>
                <w:b/>
                <w:color w:val="0B2545"/>
                <w:sz w:val="19"/>
              </w:rPr>
              <w:t>Evidence / owner</w:t>
            </w:r>
          </w:p>
        </w:tc>
      </w:tr>
      <w:tr>
        <w:trPr>
          <w:cantSplit/>
        </w:trPr>
        <w:tc>
          <w:tcPr>
            <w:tcW w:type="dxa" w:w="1250"/>
            <w:vAlign w:val="center"/>
            <w:tcMar>
              <w:top w:w="80" w:type="dxa"/>
              <w:start w:w="120" w:type="dxa"/>
              <w:bottom w:w="80" w:type="dxa"/>
              <w:end w:w="120" w:type="dxa"/>
            </w:tcMar>
          </w:tcPr>
          <w:p>
            <w:pPr>
              <w:spacing w:before="0" w:after="60" w:line="276" w:lineRule="auto"/>
            </w:pPr>
            <w:r>
              <w:rPr>
                <w:rFonts w:ascii="Calibri" w:hAnsi="Calibri"/>
                <w:b w:val="0"/>
                <w:color w:val="0B2545"/>
                <w:sz w:val="19"/>
              </w:rPr>
              <w:t>PASS / FAIL</w:t>
            </w:r>
          </w:p>
        </w:tc>
        <w:tc>
          <w:tcPr>
            <w:tcW w:type="dxa" w:w="5000"/>
            <w:vAlign w:val="center"/>
            <w:tcMar>
              <w:top w:w="80" w:type="dxa"/>
              <w:start w:w="120" w:type="dxa"/>
              <w:bottom w:w="80" w:type="dxa"/>
              <w:end w:w="120" w:type="dxa"/>
            </w:tcMar>
          </w:tcPr>
          <w:p>
            <w:pPr>
              <w:spacing w:before="0" w:after="60" w:line="276" w:lineRule="auto"/>
            </w:pPr>
            <w:r>
              <w:rPr>
                <w:rFonts w:ascii="Calibri" w:hAnsi="Calibri"/>
                <w:b w:val="0"/>
                <w:color w:val="0B2545"/>
                <w:sz w:val="19"/>
              </w:rPr>
              <w:t>Latest main is deployed to the target environment.</w:t>
            </w:r>
          </w:p>
        </w:tc>
        <w:tc>
          <w:tcPr>
            <w:tcW w:type="dxa" w:w="3110"/>
            <w:vAlign w:val="center"/>
            <w:tcMar>
              <w:top w:w="80" w:type="dxa"/>
              <w:start w:w="120" w:type="dxa"/>
              <w:bottom w:w="80" w:type="dxa"/>
              <w:end w:w="120" w:type="dxa"/>
            </w:tcMar>
          </w:tcPr>
          <w:p>
            <w:pPr>
              <w:spacing w:before="0" w:after="60" w:line="276" w:lineRule="auto"/>
            </w:pPr>
            <w:r>
              <w:rPr>
                <w:rFonts w:ascii="Calibri" w:hAnsi="Calibri"/>
                <w:b w:val="0"/>
                <w:color w:val="0B2545"/>
                <w:sz w:val="19"/>
              </w:rPr>
              <w:t>Commit / deployment: __________________</w:t>
            </w:r>
          </w:p>
        </w:tc>
      </w:tr>
      <w:tr>
        <w:trPr>
          <w:cantSplit/>
        </w:trPr>
        <w:tc>
          <w:tcPr>
            <w:tcW w:type="dxa" w:w="1250"/>
            <w:vAlign w:val="center"/>
            <w:tcMar>
              <w:top w:w="80" w:type="dxa"/>
              <w:start w:w="120" w:type="dxa"/>
              <w:bottom w:w="80" w:type="dxa"/>
              <w:end w:w="120" w:type="dxa"/>
            </w:tcMar>
          </w:tcPr>
          <w:p>
            <w:pPr>
              <w:spacing w:before="0" w:after="60" w:line="276" w:lineRule="auto"/>
            </w:pPr>
            <w:r>
              <w:rPr>
                <w:rFonts w:ascii="Calibri" w:hAnsi="Calibri"/>
                <w:b w:val="0"/>
                <w:color w:val="0B2545"/>
                <w:sz w:val="19"/>
              </w:rPr>
              <w:t>PASS / FAIL</w:t>
            </w:r>
          </w:p>
        </w:tc>
        <w:tc>
          <w:tcPr>
            <w:tcW w:type="dxa" w:w="5000"/>
            <w:vAlign w:val="center"/>
            <w:tcMar>
              <w:top w:w="80" w:type="dxa"/>
              <w:start w:w="120" w:type="dxa"/>
              <w:bottom w:w="80" w:type="dxa"/>
              <w:end w:w="120" w:type="dxa"/>
            </w:tcMar>
          </w:tcPr>
          <w:p>
            <w:pPr>
              <w:spacing w:before="0" w:after="60" w:line="276" w:lineRule="auto"/>
            </w:pPr>
            <w:r>
              <w:rPr>
                <w:rFonts w:ascii="Calibri" w:hAnsi="Calibri"/>
                <w:b w:val="0"/>
                <w:color w:val="0B2545"/>
                <w:sz w:val="19"/>
              </w:rPr>
              <w:t>Personalization tables from schema.prisma exist.</w:t>
            </w:r>
          </w:p>
        </w:tc>
        <w:tc>
          <w:tcPr>
            <w:tcW w:type="dxa" w:w="3110"/>
            <w:vAlign w:val="center"/>
            <w:tcMar>
              <w:top w:w="80" w:type="dxa"/>
              <w:start w:w="120" w:type="dxa"/>
              <w:bottom w:w="80" w:type="dxa"/>
              <w:end w:w="120" w:type="dxa"/>
            </w:tcMar>
          </w:tcPr>
          <w:p>
            <w:pPr>
              <w:spacing w:before="0" w:after="60" w:line="276" w:lineRule="auto"/>
            </w:pPr>
            <w:r>
              <w:rPr>
                <w:rFonts w:ascii="Calibri" w:hAnsi="Calibri"/>
                <w:b w:val="0"/>
                <w:color w:val="0B2545"/>
                <w:sz w:val="19"/>
              </w:rPr>
              <w:t>Database owner: __________________</w:t>
            </w:r>
          </w:p>
        </w:tc>
      </w:tr>
      <w:tr>
        <w:trPr>
          <w:cantSplit/>
        </w:trPr>
        <w:tc>
          <w:tcPr>
            <w:tcW w:type="dxa" w:w="1250"/>
            <w:vAlign w:val="center"/>
            <w:tcMar>
              <w:top w:w="80" w:type="dxa"/>
              <w:start w:w="120" w:type="dxa"/>
              <w:bottom w:w="80" w:type="dxa"/>
              <w:end w:w="120" w:type="dxa"/>
            </w:tcMar>
          </w:tcPr>
          <w:p>
            <w:pPr>
              <w:spacing w:before="0" w:after="60" w:line="276" w:lineRule="auto"/>
            </w:pPr>
            <w:r>
              <w:rPr>
                <w:rFonts w:ascii="Calibri" w:hAnsi="Calibri"/>
                <w:b w:val="0"/>
                <w:color w:val="0B2545"/>
                <w:sz w:val="19"/>
              </w:rPr>
              <w:t>PASS / FAIL</w:t>
            </w:r>
          </w:p>
        </w:tc>
        <w:tc>
          <w:tcPr>
            <w:tcW w:type="dxa" w:w="5000"/>
            <w:vAlign w:val="center"/>
            <w:tcMar>
              <w:top w:w="80" w:type="dxa"/>
              <w:start w:w="120" w:type="dxa"/>
              <w:bottom w:w="80" w:type="dxa"/>
              <w:end w:w="120" w:type="dxa"/>
            </w:tcMar>
          </w:tcPr>
          <w:p>
            <w:pPr>
              <w:spacing w:before="0" w:after="60" w:line="276" w:lineRule="auto"/>
            </w:pPr>
            <w:r>
              <w:rPr>
                <w:rFonts w:ascii="Calibri" w:hAnsi="Calibri"/>
                <w:b w:val="0"/>
                <w:color w:val="0B2545"/>
                <w:sz w:val="19"/>
              </w:rPr>
              <w:t>One active ADMIN user can complete MFA and review catalog activation.</w:t>
            </w:r>
          </w:p>
        </w:tc>
        <w:tc>
          <w:tcPr>
            <w:tcW w:type="dxa" w:w="3110"/>
            <w:vAlign w:val="center"/>
            <w:tcMar>
              <w:top w:w="80" w:type="dxa"/>
              <w:start w:w="120" w:type="dxa"/>
              <w:bottom w:w="80" w:type="dxa"/>
              <w:end w:w="120" w:type="dxa"/>
            </w:tcMar>
          </w:tcPr>
          <w:p>
            <w:pPr>
              <w:spacing w:before="0" w:after="60" w:line="276" w:lineRule="auto"/>
            </w:pPr>
            <w:r>
              <w:rPr>
                <w:rFonts w:ascii="Calibri" w:hAnsi="Calibri"/>
                <w:b w:val="0"/>
                <w:color w:val="0B2545"/>
                <w:sz w:val="19"/>
              </w:rPr>
              <w:t>Reviewer ID: __________________</w:t>
            </w:r>
          </w:p>
        </w:tc>
      </w:tr>
      <w:tr>
        <w:trPr>
          <w:cantSplit/>
        </w:trPr>
        <w:tc>
          <w:tcPr>
            <w:tcW w:type="dxa" w:w="1250"/>
            <w:vAlign w:val="center"/>
            <w:tcMar>
              <w:top w:w="80" w:type="dxa"/>
              <w:start w:w="120" w:type="dxa"/>
              <w:bottom w:w="80" w:type="dxa"/>
              <w:end w:w="120" w:type="dxa"/>
            </w:tcMar>
          </w:tcPr>
          <w:p>
            <w:pPr>
              <w:spacing w:before="0" w:after="60" w:line="276" w:lineRule="auto"/>
            </w:pPr>
            <w:r>
              <w:rPr>
                <w:rFonts w:ascii="Calibri" w:hAnsi="Calibri"/>
                <w:b w:val="0"/>
                <w:color w:val="0B2545"/>
                <w:sz w:val="19"/>
              </w:rPr>
              <w:t>PASS / FAIL</w:t>
            </w:r>
          </w:p>
        </w:tc>
        <w:tc>
          <w:tcPr>
            <w:tcW w:type="dxa" w:w="5000"/>
            <w:vAlign w:val="center"/>
            <w:tcMar>
              <w:top w:w="80" w:type="dxa"/>
              <w:start w:w="120" w:type="dxa"/>
              <w:bottom w:w="80" w:type="dxa"/>
              <w:end w:w="120" w:type="dxa"/>
            </w:tcMar>
          </w:tcPr>
          <w:p>
            <w:pPr>
              <w:spacing w:before="0" w:after="60" w:line="276" w:lineRule="auto"/>
            </w:pPr>
            <w:r>
              <w:rPr>
                <w:rFonts w:ascii="Calibri" w:hAnsi="Calibri"/>
                <w:b w:val="0"/>
                <w:color w:val="0B2545"/>
                <w:sz w:val="19"/>
              </w:rPr>
              <w:t>A disposable homeowner owns a disposable property with known test evidence.</w:t>
            </w:r>
          </w:p>
        </w:tc>
        <w:tc>
          <w:tcPr>
            <w:tcW w:type="dxa" w:w="3110"/>
            <w:vAlign w:val="center"/>
            <w:tcMar>
              <w:top w:w="80" w:type="dxa"/>
              <w:start w:w="120" w:type="dxa"/>
              <w:bottom w:w="80" w:type="dxa"/>
              <w:end w:w="120" w:type="dxa"/>
            </w:tcMar>
          </w:tcPr>
          <w:p>
            <w:pPr>
              <w:spacing w:before="0" w:after="60" w:line="276" w:lineRule="auto"/>
            </w:pPr>
            <w:r>
              <w:rPr>
                <w:rFonts w:ascii="Calibri" w:hAnsi="Calibri"/>
                <w:b w:val="0"/>
                <w:color w:val="0B2545"/>
                <w:sz w:val="19"/>
              </w:rPr>
              <w:t>User / property: __________________</w:t>
            </w:r>
          </w:p>
        </w:tc>
      </w:tr>
      <w:tr>
        <w:trPr>
          <w:cantSplit/>
        </w:trPr>
        <w:tc>
          <w:tcPr>
            <w:tcW w:type="dxa" w:w="1250"/>
            <w:vAlign w:val="center"/>
            <w:tcMar>
              <w:top w:w="80" w:type="dxa"/>
              <w:start w:w="120" w:type="dxa"/>
              <w:bottom w:w="80" w:type="dxa"/>
              <w:end w:w="120" w:type="dxa"/>
            </w:tcMar>
          </w:tcPr>
          <w:p>
            <w:pPr>
              <w:spacing w:before="0" w:after="60" w:line="276" w:lineRule="auto"/>
            </w:pPr>
            <w:r>
              <w:rPr>
                <w:rFonts w:ascii="Calibri" w:hAnsi="Calibri"/>
                <w:b w:val="0"/>
                <w:color w:val="0B2545"/>
                <w:sz w:val="19"/>
              </w:rPr>
              <w:t>PASS / FAIL</w:t>
            </w:r>
          </w:p>
        </w:tc>
        <w:tc>
          <w:tcPr>
            <w:tcW w:type="dxa" w:w="5000"/>
            <w:vAlign w:val="center"/>
            <w:tcMar>
              <w:top w:w="80" w:type="dxa"/>
              <w:start w:w="120" w:type="dxa"/>
              <w:bottom w:w="80" w:type="dxa"/>
              <w:end w:w="120" w:type="dxa"/>
            </w:tcMar>
          </w:tcPr>
          <w:p>
            <w:pPr>
              <w:spacing w:before="0" w:after="60" w:line="276" w:lineRule="auto"/>
            </w:pPr>
            <w:r>
              <w:rPr>
                <w:rFonts w:ascii="Calibri" w:hAnsi="Calibri"/>
                <w:b w:val="0"/>
                <w:color w:val="0B2545"/>
                <w:sz w:val="19"/>
              </w:rPr>
              <w:t>Global and per-definition stop controls are reachable.</w:t>
            </w:r>
          </w:p>
        </w:tc>
        <w:tc>
          <w:tcPr>
            <w:tcW w:type="dxa" w:w="3110"/>
            <w:vAlign w:val="center"/>
            <w:tcMar>
              <w:top w:w="80" w:type="dxa"/>
              <w:start w:w="120" w:type="dxa"/>
              <w:bottom w:w="80" w:type="dxa"/>
              <w:end w:w="120" w:type="dxa"/>
            </w:tcMar>
          </w:tcPr>
          <w:p>
            <w:pPr>
              <w:spacing w:before="0" w:after="60" w:line="276" w:lineRule="auto"/>
            </w:pPr>
            <w:r>
              <w:rPr>
                <w:rFonts w:ascii="Calibri" w:hAnsi="Calibri"/>
                <w:b w:val="0"/>
                <w:color w:val="0B2545"/>
                <w:sz w:val="19"/>
              </w:rPr>
              <w:t>Checked at: __________________</w:t>
            </w:r>
          </w:p>
        </w:tc>
      </w:tr>
    </w:tbl>
    <w:p>
      <w:pPr>
        <w:spacing w:after="0"/>
      </w:pPr>
    </w:p>
    <w:p>
      <w:pPr>
        <w:pStyle w:val="Heading1"/>
      </w:pPr>
      <w:r>
        <w:t>3. Schema application and catalog bootstrap</w:t>
      </w:r>
    </w:p>
    <w:p>
      <w:pPr>
        <w:spacing w:before="100" w:after="180"/>
        <w:ind w:left="173" w:right="173"/>
        <w:shd w:fill="FFF4CE"/>
        <w:pBdr>
          <w:left w:val="single" w:sz="18" w:space="8" w:color="C69214"/>
        </w:pBdr>
      </w:pPr>
      <w:r>
        <w:rPr>
          <w:rFonts w:ascii="Calibri" w:hAnsi="Calibri"/>
          <w:b/>
          <w:color w:val="0B2545"/>
          <w:sz w:val="22"/>
        </w:rPr>
        <w:t xml:space="preserve">Database ownership: </w:t>
      </w:r>
      <w:r>
        <w:rPr>
          <w:rFonts w:ascii="Calibri" w:hAnsi="Calibri"/>
          <w:color w:val="0B2545"/>
          <w:sz w:val="22"/>
        </w:rPr>
        <w:t>The user applies database changes. Engineering does not create migration scripts for this greenfield implementation.</w:t>
      </w:r>
    </w:p>
    <w:p>
      <w:pPr>
        <w:numPr>
          <w:ilvl w:val="0"/>
          <w:numId w:val="11"/>
        </w:numPr>
        <w:spacing w:after="80" w:line="300" w:lineRule="auto"/>
      </w:pPr>
      <w:r>
        <w:rPr>
          <w:rFonts w:ascii="Calibri" w:hAnsi="Calibri"/>
          <w:sz w:val="22"/>
        </w:rPr>
        <w:t>Confirm the intended database and that the desired apps/backend/prisma/schema.prisma structure is present.</w:t>
      </w:r>
    </w:p>
    <w:p>
      <w:pPr>
        <w:numPr>
          <w:ilvl w:val="0"/>
          <w:numId w:val="11"/>
        </w:numPr>
        <w:spacing w:after="80" w:line="300" w:lineRule="auto"/>
      </w:pPr>
      <w:r>
        <w:rPr>
          <w:rFonts w:ascii="Calibri" w:hAnsi="Calibri"/>
          <w:sz w:val="22"/>
        </w:rPr>
        <w:t>Open apps/backend/prisma/seedPersonalization.sql in pgAdmin.</w:t>
      </w:r>
    </w:p>
    <w:p>
      <w:pPr>
        <w:numPr>
          <w:ilvl w:val="0"/>
          <w:numId w:val="11"/>
        </w:numPr>
        <w:spacing w:after="80" w:line="300" w:lineRule="auto"/>
      </w:pPr>
      <w:r>
        <w:rPr>
          <w:rFonts w:ascii="Calibri" w:hAnsi="Calibri"/>
          <w:sz w:val="22"/>
        </w:rPr>
        <w:t>Execute the complete file. It runs inside BEGIN/COMMIT and ends with verification queries.</w:t>
      </w:r>
    </w:p>
    <w:p>
      <w:pPr>
        <w:numPr>
          <w:ilvl w:val="0"/>
          <w:numId w:val="11"/>
        </w:numPr>
        <w:spacing w:after="80" w:line="300" w:lineRule="auto"/>
      </w:pPr>
      <w:r>
        <w:rPr>
          <w:rFonts w:ascii="Calibri" w:hAnsi="Calibri"/>
          <w:sz w:val="22"/>
        </w:rPr>
        <w:t>Confirm five definitions/rules, five en-US content records, and five profile questions are present.</w:t>
      </w:r>
    </w:p>
    <w:p>
      <w:pPr>
        <w:numPr>
          <w:ilvl w:val="0"/>
          <w:numId w:val="11"/>
        </w:numPr>
        <w:spacing w:after="80" w:line="300" w:lineRule="auto"/>
      </w:pPr>
      <w:r>
        <w:rPr>
          <w:rFonts w:ascii="Calibri" w:hAnsi="Calibri"/>
          <w:sz w:val="22"/>
        </w:rPr>
        <w:t>Retain the result timestamp and screenshot with validation evidence.</w:t>
      </w:r>
    </w:p>
    <w:p>
      <w:r>
        <w:rPr>
          <w:rFonts w:ascii="Calibri" w:hAnsi="Calibri"/>
          <w:b/>
          <w:sz w:val="22"/>
        </w:rPr>
        <w:t xml:space="preserve">Safe rerun behavior: </w:t>
      </w:r>
      <w:r>
        <w:rPr>
          <w:rFonts w:ascii="Calibri" w:hAnsi="Calibri"/>
          <w:i w:val="0"/>
          <w:sz w:val="22"/>
        </w:rPr>
      </w:r>
    </w:p>
    <w:p>
      <w:r>
        <w:rPr>
          <w:rFonts w:ascii="Calibri" w:hAnsi="Calibri"/>
          <w:i w:val="0"/>
          <w:sz w:val="22"/>
        </w:rPr>
        <w:t>The SQL inserts only missing stable code/version rows. Existing reviewed rows are left unchanged, and new rows remain DRAFT. It creates no household, migration, backfill, or activation.</w:t>
      </w:r>
    </w:p>
    <w:p>
      <w:pPr>
        <w:pStyle w:val="Heading1"/>
      </w:pPr>
      <w:r>
        <w:t>4. Catalog review and activation</w:t>
      </w:r>
    </w:p>
    <w:p>
      <w:r>
        <w:rPr>
          <w:rFonts w:ascii="Calibri" w:hAnsi="Calibri"/>
          <w:i w:val="0"/>
          <w:sz w:val="22"/>
        </w:rPr>
        <w:t>Open /dashboard/admin/personalization as an authenticated ADMIN with completed MFA. The page reviews and activates existing seeded versions; it does not author new rules or migrations.</w:t>
      </w:r>
    </w:p>
    <w:p>
      <w:pPr>
        <w:pStyle w:val="Heading2"/>
      </w:pPr>
      <w:r>
        <w:t>Definition bundle checks</w:t>
      </w:r>
    </w:p>
    <w:p>
      <w:pPr>
        <w:numPr>
          <w:ilvl w:val="0"/>
          <w:numId w:val="10"/>
        </w:numPr>
        <w:spacing w:after="80" w:line="300" w:lineRule="auto"/>
      </w:pPr>
      <w:r>
        <w:rPr>
          <w:rFonts w:ascii="Calibri" w:hAnsi="Calibri"/>
          <w:sz w:val="22"/>
        </w:rPr>
        <w:t>Confirm the definition code, rule v1, en-US content v1, category, safety class, and rule AST match the intended behavior.</w:t>
      </w:r>
    </w:p>
    <w:p>
      <w:pPr>
        <w:numPr>
          <w:ilvl w:val="0"/>
          <w:numId w:val="10"/>
        </w:numPr>
        <w:spacing w:after="80" w:line="300" w:lineRule="auto"/>
      </w:pPr>
      <w:r>
        <w:rPr>
          <w:rFonts w:ascii="Calibri" w:hAnsi="Calibri"/>
          <w:sz w:val="22"/>
        </w:rPr>
        <w:t>Read the title and summary for accuracy, clarity, and safe wording.</w:t>
      </w:r>
    </w:p>
    <w:p>
      <w:pPr>
        <w:numPr>
          <w:ilvl w:val="0"/>
          <w:numId w:val="10"/>
        </w:numPr>
        <w:spacing w:after="80" w:line="300" w:lineRule="auto"/>
      </w:pPr>
      <w:r>
        <w:rPr>
          <w:rFonts w:ascii="Calibri" w:hAnsi="Calibri"/>
          <w:sz w:val="22"/>
        </w:rPr>
        <w:t>For SAFETY_SENSITIVE rules, read the stronger confirmation carefully and confirm that both the rule and content version were reviewed. No second admin identity is required.</w:t>
      </w:r>
    </w:p>
    <w:p>
      <w:pPr>
        <w:numPr>
          <w:ilvl w:val="0"/>
          <w:numId w:val="10"/>
        </w:numPr>
        <w:spacing w:after="80" w:line="300" w:lineRule="auto"/>
      </w:pPr>
      <w:r>
        <w:rPr>
          <w:rFonts w:ascii="Calibri" w:hAnsi="Calibri"/>
          <w:sz w:val="22"/>
        </w:rPr>
        <w:t>Activate the bundle and confirm definition, rule, and content show ACTIVE, reviewedBy identifies the signed-in MFA admin, authoredBy is empty for system-seeded content, and the definition is not paused.</w:t>
      </w:r>
    </w:p>
    <w:p>
      <w:pPr>
        <w:numPr>
          <w:ilvl w:val="0"/>
          <w:numId w:val="10"/>
        </w:numPr>
        <w:spacing w:after="80" w:line="300" w:lineRule="auto"/>
      </w:pPr>
      <w:r>
        <w:rPr>
          <w:rFonts w:ascii="Calibri" w:hAnsi="Calibri"/>
          <w:sz w:val="22"/>
        </w:rPr>
        <w:t>Repeat only for bundles that completed review. Leaving a bundle DRAFT is a valid safe state.</w:t>
      </w:r>
    </w:p>
    <w:p>
      <w:pPr>
        <w:pStyle w:val="Heading2"/>
      </w:pPr>
      <w:r>
        <w:t>Optional profile-question checks</w:t>
      </w:r>
    </w:p>
    <w:p>
      <w:pPr>
        <w:numPr>
          <w:ilvl w:val="0"/>
          <w:numId w:val="10"/>
        </w:numPr>
        <w:spacing w:after="80" w:line="300" w:lineRule="auto"/>
      </w:pPr>
      <w:r>
        <w:rPr>
          <w:rFonts w:ascii="Calibri" w:hAnsi="Calibri"/>
          <w:sz w:val="22"/>
        </w:rPr>
        <w:t>Review prompt, explanation, privacy note, answer schema, value score, effort score, and maximum impressions.</w:t>
      </w:r>
    </w:p>
    <w:p>
      <w:pPr>
        <w:numPr>
          <w:ilvl w:val="0"/>
          <w:numId w:val="10"/>
        </w:numPr>
        <w:spacing w:after="80" w:line="300" w:lineRule="auto"/>
      </w:pPr>
      <w:r>
        <w:rPr>
          <w:rFonts w:ascii="Calibri" w:hAnsi="Calibri"/>
          <w:sz w:val="22"/>
        </w:rPr>
        <w:t>Activate only questions approved for optional collection. The UI requests the ranked ACTIVE question catalog from its single profile surface.</w:t>
      </w:r>
    </w:p>
    <w:p>
      <w:pPr>
        <w:numPr>
          <w:ilvl w:val="0"/>
          <w:numId w:val="10"/>
        </w:numPr>
        <w:spacing w:after="80" w:line="300" w:lineRule="auto"/>
      </w:pPr>
      <w:r>
        <w:rPr>
          <w:rFonts w:ascii="Calibri" w:hAnsi="Calibri"/>
          <w:sz w:val="22"/>
        </w:rPr>
        <w:t>Question activation never enables the profile for a property; an owner must choose Improve my recommendations.</w:t>
      </w:r>
    </w:p>
    <w:p>
      <w:pPr>
        <w:pStyle w:val="Heading1"/>
      </w:pPr>
      <w:r>
        <w:t>5. Exposure and rollback controls</w:t>
      </w:r>
    </w:p>
    <w:tbl>
      <w:tblPr>
        <w:tblStyle w:val="TableGrid"/>
        <w:tblW w:type="dxa" w:w="9360"/>
        <w:tblLayout w:type="fixed"/>
        <w:tblLook w:firstColumn="1" w:firstRow="1" w:lastColumn="0" w:lastRow="0" w:noHBand="0" w:noVBand="1" w:val="04A0"/>
        <w:tblInd w:w="120" w:type="dxa"/>
      </w:tblPr>
      <w:tblGrid>
        <w:gridCol w:w="1900"/>
        <w:gridCol w:w="2620"/>
        <w:gridCol w:w="4840"/>
      </w:tblGrid>
      <w:tr>
        <w:trPr>
          <w:cantSplit/>
          <w:tblHeader w:val="true"/>
        </w:trPr>
        <w:tc>
          <w:tcPr>
            <w:tcW w:type="dxa" w:w="1900"/>
            <w:vAlign w:val="center"/>
            <w:tcMar>
              <w:top w:w="80" w:type="dxa"/>
              <w:start w:w="120" w:type="dxa"/>
              <w:bottom w:w="80" w:type="dxa"/>
              <w:end w:w="120" w:type="dxa"/>
            </w:tcMar>
            <w:shd w:fill="E8EEF5"/>
          </w:tcPr>
          <w:p>
            <w:pPr>
              <w:keepNext/>
              <w:spacing w:before="0" w:after="60" w:line="276" w:lineRule="auto"/>
            </w:pPr>
            <w:r>
              <w:rPr>
                <w:rFonts w:ascii="Calibri" w:hAnsi="Calibri"/>
                <w:b/>
                <w:color w:val="0B2545"/>
                <w:sz w:val="19"/>
              </w:rPr>
              <w:t>Control</w:t>
            </w:r>
          </w:p>
        </w:tc>
        <w:tc>
          <w:tcPr>
            <w:tcW w:type="dxa" w:w="2620"/>
            <w:vAlign w:val="center"/>
            <w:tcMar>
              <w:top w:w="80" w:type="dxa"/>
              <w:start w:w="120" w:type="dxa"/>
              <w:bottom w:w="80" w:type="dxa"/>
              <w:end w:w="120" w:type="dxa"/>
            </w:tcMar>
            <w:shd w:fill="E8EEF5"/>
          </w:tcPr>
          <w:p>
            <w:pPr>
              <w:keepNext/>
              <w:spacing w:before="0" w:after="60" w:line="276" w:lineRule="auto"/>
            </w:pPr>
            <w:r>
              <w:rPr>
                <w:rFonts w:ascii="Calibri" w:hAnsi="Calibri"/>
                <w:b/>
                <w:color w:val="0B2545"/>
                <w:sz w:val="19"/>
              </w:rPr>
              <w:t>Use</w:t>
            </w:r>
          </w:p>
        </w:tc>
        <w:tc>
          <w:tcPr>
            <w:tcW w:type="dxa" w:w="4840"/>
            <w:vAlign w:val="center"/>
            <w:tcMar>
              <w:top w:w="80" w:type="dxa"/>
              <w:start w:w="120" w:type="dxa"/>
              <w:bottom w:w="80" w:type="dxa"/>
              <w:end w:w="120" w:type="dxa"/>
            </w:tcMar>
            <w:shd w:fill="E8EEF5"/>
          </w:tcPr>
          <w:p>
            <w:pPr>
              <w:keepNext/>
              <w:spacing w:before="0" w:after="60" w:line="276" w:lineRule="auto"/>
            </w:pPr>
            <w:r>
              <w:rPr>
                <w:rFonts w:ascii="Calibri" w:hAnsi="Calibri"/>
                <w:b/>
                <w:color w:val="0B2545"/>
                <w:sz w:val="19"/>
              </w:rPr>
              <w:t>Expected behavior</w:t>
            </w:r>
          </w:p>
        </w:tc>
      </w:tr>
      <w:tr>
        <w:trPr>
          <w:cantSplit/>
        </w:trPr>
        <w:tc>
          <w:tcPr>
            <w:tcW w:type="dxa" w:w="1900"/>
            <w:vAlign w:val="center"/>
            <w:tcMar>
              <w:top w:w="80" w:type="dxa"/>
              <w:start w:w="120" w:type="dxa"/>
              <w:bottom w:w="80" w:type="dxa"/>
              <w:end w:w="120" w:type="dxa"/>
            </w:tcMar>
          </w:tcPr>
          <w:p>
            <w:pPr>
              <w:spacing w:before="0" w:after="60" w:line="276" w:lineRule="auto"/>
            </w:pPr>
            <w:r>
              <w:rPr>
                <w:rFonts w:ascii="Calibri" w:hAnsi="Calibri"/>
                <w:b w:val="0"/>
                <w:color w:val="0B2545"/>
                <w:sz w:val="19"/>
              </w:rPr>
              <w:t>Definition lifecycle</w:t>
            </w:r>
          </w:p>
        </w:tc>
        <w:tc>
          <w:tcPr>
            <w:tcW w:type="dxa" w:w="2620"/>
            <w:vAlign w:val="center"/>
            <w:tcMar>
              <w:top w:w="80" w:type="dxa"/>
              <w:start w:w="120" w:type="dxa"/>
              <w:bottom w:w="80" w:type="dxa"/>
              <w:end w:w="120" w:type="dxa"/>
            </w:tcMar>
          </w:tcPr>
          <w:p>
            <w:pPr>
              <w:spacing w:before="0" w:after="60" w:line="276" w:lineRule="auto"/>
            </w:pPr>
            <w:r>
              <w:rPr>
                <w:rFonts w:ascii="Calibri" w:hAnsi="Calibri"/>
                <w:b w:val="0"/>
                <w:color w:val="0B2545"/>
                <w:sz w:val="19"/>
              </w:rPr>
              <w:t>Keep DRAFT or RETIRED</w:t>
            </w:r>
          </w:p>
        </w:tc>
        <w:tc>
          <w:tcPr>
            <w:tcW w:type="dxa" w:w="4840"/>
            <w:vAlign w:val="center"/>
            <w:tcMar>
              <w:top w:w="80" w:type="dxa"/>
              <w:start w:w="120" w:type="dxa"/>
              <w:bottom w:w="80" w:type="dxa"/>
              <w:end w:w="120" w:type="dxa"/>
            </w:tcMar>
          </w:tcPr>
          <w:p>
            <w:pPr>
              <w:spacing w:before="0" w:after="60" w:line="276" w:lineRule="auto"/>
            </w:pPr>
            <w:r>
              <w:rPr>
                <w:rFonts w:ascii="Calibri" w:hAnsi="Calibri"/>
                <w:b w:val="0"/>
                <w:color w:val="0B2545"/>
                <w:sz w:val="19"/>
              </w:rPr>
              <w:t>Definition produces no guidance.</w:t>
            </w:r>
          </w:p>
        </w:tc>
      </w:tr>
      <w:tr>
        <w:trPr>
          <w:cantSplit/>
        </w:trPr>
        <w:tc>
          <w:tcPr>
            <w:tcW w:type="dxa" w:w="1900"/>
            <w:vAlign w:val="center"/>
            <w:tcMar>
              <w:top w:w="80" w:type="dxa"/>
              <w:start w:w="120" w:type="dxa"/>
              <w:bottom w:w="80" w:type="dxa"/>
              <w:end w:w="120" w:type="dxa"/>
            </w:tcMar>
          </w:tcPr>
          <w:p>
            <w:pPr>
              <w:spacing w:before="0" w:after="60" w:line="276" w:lineRule="auto"/>
            </w:pPr>
            <w:r>
              <w:rPr>
                <w:rFonts w:ascii="Calibri" w:hAnsi="Calibri"/>
                <w:b w:val="0"/>
                <w:color w:val="0B2545"/>
                <w:sz w:val="19"/>
              </w:rPr>
              <w:t>Per-definition pause</w:t>
            </w:r>
          </w:p>
        </w:tc>
        <w:tc>
          <w:tcPr>
            <w:tcW w:type="dxa" w:w="2620"/>
            <w:vAlign w:val="center"/>
            <w:tcMar>
              <w:top w:w="80" w:type="dxa"/>
              <w:start w:w="120" w:type="dxa"/>
              <w:bottom w:w="80" w:type="dxa"/>
              <w:end w:w="120" w:type="dxa"/>
            </w:tcMar>
          </w:tcPr>
          <w:p>
            <w:pPr>
              <w:spacing w:before="0" w:after="60" w:line="276" w:lineRule="auto"/>
            </w:pPr>
            <w:r>
              <w:rPr>
                <w:rFonts w:ascii="Calibri" w:hAnsi="Calibri"/>
                <w:b w:val="0"/>
                <w:color w:val="0B2545"/>
                <w:sz w:val="19"/>
              </w:rPr>
              <w:t>Pause one faulty bundle</w:t>
            </w:r>
          </w:p>
        </w:tc>
        <w:tc>
          <w:tcPr>
            <w:tcW w:type="dxa" w:w="4840"/>
            <w:vAlign w:val="center"/>
            <w:tcMar>
              <w:top w:w="80" w:type="dxa"/>
              <w:start w:w="120" w:type="dxa"/>
              <w:bottom w:w="80" w:type="dxa"/>
              <w:end w:w="120" w:type="dxa"/>
            </w:tcMar>
          </w:tcPr>
          <w:p>
            <w:pPr>
              <w:spacing w:before="0" w:after="60" w:line="276" w:lineRule="auto"/>
            </w:pPr>
            <w:r>
              <w:rPr>
                <w:rFonts w:ascii="Calibri" w:hAnsi="Calibri"/>
                <w:b w:val="0"/>
                <w:color w:val="0B2545"/>
                <w:sz w:val="19"/>
              </w:rPr>
              <w:t>Stored and new output for that definition is hidden.</w:t>
            </w:r>
          </w:p>
        </w:tc>
      </w:tr>
      <w:tr>
        <w:trPr>
          <w:cantSplit/>
        </w:trPr>
        <w:tc>
          <w:tcPr>
            <w:tcW w:type="dxa" w:w="1900"/>
            <w:vAlign w:val="center"/>
            <w:tcMar>
              <w:top w:w="80" w:type="dxa"/>
              <w:start w:w="120" w:type="dxa"/>
              <w:bottom w:w="80" w:type="dxa"/>
              <w:end w:w="120" w:type="dxa"/>
            </w:tcMar>
          </w:tcPr>
          <w:p>
            <w:pPr>
              <w:spacing w:before="0" w:after="60" w:line="276" w:lineRule="auto"/>
            </w:pPr>
            <w:r>
              <w:rPr>
                <w:rFonts w:ascii="Calibri" w:hAnsi="Calibri"/>
                <w:b w:val="0"/>
                <w:color w:val="0B2545"/>
                <w:sz w:val="19"/>
              </w:rPr>
              <w:t>Global kill switch</w:t>
            </w:r>
          </w:p>
        </w:tc>
        <w:tc>
          <w:tcPr>
            <w:tcW w:type="dxa" w:w="2620"/>
            <w:vAlign w:val="center"/>
            <w:tcMar>
              <w:top w:w="80" w:type="dxa"/>
              <w:start w:w="120" w:type="dxa"/>
              <w:bottom w:w="80" w:type="dxa"/>
              <w:end w:w="120" w:type="dxa"/>
            </w:tcMar>
          </w:tcPr>
          <w:p>
            <w:pPr>
              <w:spacing w:before="0" w:after="60" w:line="276" w:lineRule="auto"/>
            </w:pPr>
            <w:r>
              <w:rPr>
                <w:rFonts w:ascii="Calibri" w:hAnsi="Calibri"/>
                <w:b w:val="0"/>
                <w:color w:val="0B2545"/>
                <w:sz w:val="19"/>
              </w:rPr>
              <w:t>Stop all personalization</w:t>
            </w:r>
          </w:p>
        </w:tc>
        <w:tc>
          <w:tcPr>
            <w:tcW w:type="dxa" w:w="4840"/>
            <w:vAlign w:val="center"/>
            <w:tcMar>
              <w:top w:w="80" w:type="dxa"/>
              <w:start w:w="120" w:type="dxa"/>
              <w:bottom w:w="80" w:type="dxa"/>
              <w:end w:w="120" w:type="dxa"/>
            </w:tcMar>
          </w:tcPr>
          <w:p>
            <w:pPr>
              <w:spacing w:before="0" w:after="60" w:line="276" w:lineRule="auto"/>
            </w:pPr>
            <w:r>
              <w:rPr>
                <w:rFonts w:ascii="Calibri" w:hAnsi="Calibri"/>
                <w:b w:val="0"/>
                <w:color w:val="0B2545"/>
                <w:sz w:val="19"/>
              </w:rPr>
              <w:t>Reads return no guidance; writes are blocked except profile reset.</w:t>
            </w:r>
          </w:p>
        </w:tc>
      </w:tr>
      <w:tr>
        <w:trPr>
          <w:cantSplit/>
        </w:trPr>
        <w:tc>
          <w:tcPr>
            <w:tcW w:type="dxa" w:w="1900"/>
            <w:vAlign w:val="center"/>
            <w:tcMar>
              <w:top w:w="80" w:type="dxa"/>
              <w:start w:w="120" w:type="dxa"/>
              <w:bottom w:w="80" w:type="dxa"/>
              <w:end w:w="120" w:type="dxa"/>
            </w:tcMar>
          </w:tcPr>
          <w:p>
            <w:pPr>
              <w:spacing w:before="0" w:after="60" w:line="276" w:lineRule="auto"/>
            </w:pPr>
            <w:r>
              <w:rPr>
                <w:rFonts w:ascii="Calibri" w:hAnsi="Calibri"/>
                <w:b w:val="0"/>
                <w:color w:val="0B2545"/>
                <w:sz w:val="19"/>
              </w:rPr>
              <w:t>Profile reset</w:t>
            </w:r>
          </w:p>
        </w:tc>
        <w:tc>
          <w:tcPr>
            <w:tcW w:type="dxa" w:w="2620"/>
            <w:vAlign w:val="center"/>
            <w:tcMar>
              <w:top w:w="80" w:type="dxa"/>
              <w:start w:w="120" w:type="dxa"/>
              <w:bottom w:w="80" w:type="dxa"/>
              <w:end w:w="120" w:type="dxa"/>
            </w:tcMar>
          </w:tcPr>
          <w:p>
            <w:pPr>
              <w:spacing w:before="0" w:after="60" w:line="276" w:lineRule="auto"/>
            </w:pPr>
            <w:r>
              <w:rPr>
                <w:rFonts w:ascii="Calibri" w:hAnsi="Calibri"/>
                <w:b w:val="0"/>
                <w:color w:val="0B2545"/>
                <w:sz w:val="19"/>
              </w:rPr>
              <w:t>Delete optional household details</w:t>
            </w:r>
          </w:p>
        </w:tc>
        <w:tc>
          <w:tcPr>
            <w:tcW w:type="dxa" w:w="4840"/>
            <w:vAlign w:val="center"/>
            <w:tcMar>
              <w:top w:w="80" w:type="dxa"/>
              <w:start w:w="120" w:type="dxa"/>
              <w:bottom w:w="80" w:type="dxa"/>
              <w:end w:w="120" w:type="dxa"/>
            </w:tcMar>
          </w:tcPr>
          <w:p>
            <w:pPr>
              <w:spacing w:before="0" w:after="60" w:line="276" w:lineRule="auto"/>
            </w:pPr>
            <w:r>
              <w:rPr>
                <w:rFonts w:ascii="Calibri" w:hAnsi="Calibri"/>
                <w:b w:val="0"/>
                <w:color w:val="0B2545"/>
                <w:sz w:val="19"/>
              </w:rPr>
              <w:t>Profile rows are removed; property guidance remains available.</w:t>
            </w:r>
          </w:p>
        </w:tc>
      </w:tr>
    </w:tbl>
    <w:p>
      <w:pPr>
        <w:spacing w:after="0"/>
      </w:pPr>
    </w:p>
    <w:p>
      <w:pPr>
        <w:keepLines/>
        <w:spacing w:before="60" w:after="160" w:line="240" w:lineRule="auto"/>
        <w:ind w:left="259" w:right="115"/>
        <w:shd w:fill="F2F4F7"/>
      </w:pPr>
      <w:r>
        <w:rPr>
          <w:rFonts w:ascii="Consolas" w:hAnsi="Consolas"/>
          <w:color w:val="1F2937"/>
          <w:sz w:val="16"/>
        </w:rPr>
        <w:t>GET  /api/admin/personalization/kill-switch</w:t>
        <w:br/>
        <w:t>POST /api/admin/personalization/kill-switch/pause   { "reason": "&lt;incident reason&gt;" }</w:t>
        <w:br/>
        <w:t>POST /api/admin/personalization/kill-switch/resume  {}</w:t>
        <w:br/>
        <w:br/>
        <w:t>POST /api/admin/personalization/definitions/:code/pause   { "reason": "&lt;reason&gt;" }</w:t>
        <w:br/>
        <w:t>POST /api/admin/personalization/definitions/:code/resume  {}</w:t>
      </w:r>
    </w:p>
    <w:p>
      <w:r>
        <w:rPr>
          <w:rFonts w:ascii="Calibri" w:hAnsi="Calibri"/>
          <w:b/>
          <w:sz w:val="22"/>
        </w:rPr>
        <w:t xml:space="preserve">Authorization: </w:t>
      </w:r>
      <w:r>
        <w:rPr>
          <w:rFonts w:ascii="Calibri" w:hAnsi="Calibri"/>
          <w:i w:val="0"/>
          <w:sz w:val="22"/>
        </w:rPr>
      </w:r>
    </w:p>
    <w:p>
      <w:r>
        <w:rPr>
          <w:rFonts w:ascii="Calibri" w:hAnsi="Calibri"/>
          <w:i w:val="0"/>
          <w:sz w:val="22"/>
        </w:rPr>
        <w:t>Every control endpoint requires ADMIN plus MFA and records a personalization audit event.</w:t>
      </w:r>
    </w:p>
    <w:p>
      <w:pPr>
        <w:pStyle w:val="Heading1"/>
      </w:pPr>
      <w:r>
        <w:t>6. Internal-validation smoke test</w:t>
      </w:r>
    </w:p>
    <w:p>
      <w:pPr>
        <w:spacing w:before="100" w:after="180"/>
        <w:ind w:left="173" w:right="173"/>
        <w:shd w:fill="FFF4CE"/>
        <w:pBdr>
          <w:left w:val="single" w:sz="18" w:space="8" w:color="C69214"/>
        </w:pBdr>
      </w:pPr>
      <w:r>
        <w:rPr>
          <w:rFonts w:ascii="Calibri" w:hAnsi="Calibri"/>
          <w:b/>
          <w:color w:val="0B2545"/>
          <w:sz w:val="22"/>
        </w:rPr>
        <w:t xml:space="preserve">Test-data rule: </w:t>
      </w:r>
      <w:r>
        <w:rPr>
          <w:rFonts w:ascii="Calibri" w:hAnsi="Calibri"/>
          <w:color w:val="0B2545"/>
          <w:sz w:val="22"/>
        </w:rPr>
        <w:t>Use only disposable internal accounts and properties. Create known maintenance evidence through normal application workflows whenever possible.</w:t>
      </w:r>
    </w:p>
    <w:p>
      <w:pPr>
        <w:numPr>
          <w:ilvl w:val="0"/>
          <w:numId w:val="12"/>
        </w:numPr>
        <w:spacing w:after="80" w:line="300" w:lineRule="auto"/>
      </w:pPr>
      <w:r>
        <w:t>Make the disposable property the selected property and open Dashboard through normal homeowner navigation. Confirm Suggested for your home automatically shows property guidance without enabling a household profile; no direct personalization URL is required.</w:t>
      </w:r>
    </w:p>
    <w:p>
      <w:pPr>
        <w:numPr>
          <w:ilvl w:val="0"/>
          <w:numId w:val="12"/>
        </w:numPr>
        <w:spacing w:after="80" w:line="300" w:lineRule="auto"/>
      </w:pPr>
      <w:r>
        <w:t>Open Personalized Guidance from the desktop homeowner sidebar or More &gt; Personalized Guidance on mobile. Confirm the page is available even with zero recommendations, then verify the recommendation, explanation, and What personalization knows signal. Use Refresh only if facts changed while the page stayed open or for explicit QA recomputation.</w:t>
      </w:r>
    </w:p>
    <w:p>
      <w:pPr>
        <w:numPr>
          <w:ilvl w:val="0"/>
          <w:numId w:val="12"/>
        </w:numPr>
        <w:spacing w:after="80" w:line="300" w:lineRule="auto"/>
      </w:pPr>
      <w:r>
        <w:rPr>
          <w:rFonts w:ascii="Calibri" w:hAnsi="Calibri"/>
          <w:sz w:val="22"/>
        </w:rPr>
        <w:t>Choose Improve my recommendations, enable the optional profile, answer one approved question, and confirm the next eligible question advances.</w:t>
      </w:r>
    </w:p>
    <w:p>
      <w:pPr>
        <w:numPr>
          <w:ilvl w:val="0"/>
          <w:numId w:val="12"/>
        </w:numPr>
        <w:spacing w:after="80" w:line="300" w:lineRule="auto"/>
      </w:pPr>
      <w:r>
        <w:rPr>
          <w:rFonts w:ascii="Calibri" w:hAnsi="Calibri"/>
          <w:sz w:val="22"/>
        </w:rPr>
        <w:t>Open Dashboard, Maintenance, and Property Health. Confirm the same recommendation title and summary appear consistently.</w:t>
      </w:r>
    </w:p>
    <w:p>
      <w:pPr>
        <w:numPr>
          <w:ilvl w:val="0"/>
          <w:numId w:val="12"/>
        </w:numPr>
        <w:spacing w:after="80" w:line="300" w:lineRule="auto"/>
      </w:pPr>
      <w:r>
        <w:rPr>
          <w:rFonts w:ascii="Calibri" w:hAnsi="Calibri"/>
          <w:sz w:val="22"/>
        </w:rPr>
        <w:t>Convert a supported Maintenance recommendation. Repeat the action and confirm the existing task is returned instead of creating a duplicate.</w:t>
      </w:r>
    </w:p>
    <w:p>
      <w:pPr>
        <w:numPr>
          <w:ilvl w:val="0"/>
          <w:numId w:val="12"/>
        </w:numPr>
        <w:spacing w:after="80" w:line="300" w:lineRule="auto"/>
      </w:pPr>
      <w:r>
        <w:rPr>
          <w:rFonts w:ascii="Calibri" w:hAnsi="Calibri"/>
          <w:sz w:val="22"/>
        </w:rPr>
        <w:t>Record Accepted or Not relevant feedback and confirm the expected completion, dismissal, or suppression behavior.</w:t>
      </w:r>
    </w:p>
    <w:p>
      <w:pPr>
        <w:numPr>
          <w:ilvl w:val="0"/>
          <w:numId w:val="12"/>
        </w:numPr>
        <w:spacing w:after="80" w:line="300" w:lineRule="auto"/>
      </w:pPr>
      <w:r>
        <w:rPr>
          <w:rFonts w:ascii="Calibri" w:hAnsi="Calibri"/>
          <w:sz w:val="22"/>
        </w:rPr>
        <w:t>Open What personalization knows. Confirm property facts appear without profile consent and optional household facts appear only after enablement.</w:t>
      </w:r>
    </w:p>
    <w:p>
      <w:pPr>
        <w:numPr>
          <w:ilvl w:val="0"/>
          <w:numId w:val="12"/>
        </w:numPr>
        <w:spacing w:after="80" w:line="300" w:lineRule="auto"/>
      </w:pPr>
      <w:r>
        <w:rPr>
          <w:rFonts w:ascii="Calibri" w:hAnsi="Calibri"/>
          <w:sz w:val="22"/>
        </w:rPr>
        <w:t>Reset the optional profile. Confirm household details disappear while property guidance remains available.</w:t>
      </w:r>
    </w:p>
    <w:p>
      <w:pPr>
        <w:numPr>
          <w:ilvl w:val="0"/>
          <w:numId w:val="12"/>
        </w:numPr>
        <w:spacing w:after="80" w:line="300" w:lineRule="auto"/>
      </w:pPr>
      <w:r>
        <w:rPr>
          <w:rFonts w:ascii="Calibri" w:hAnsi="Calibri"/>
          <w:sz w:val="22"/>
        </w:rPr>
        <w:t>Verify a contributor/viewer cannot access the owner-only context map or mutate the optional profile.</w:t>
      </w:r>
    </w:p>
    <w:p>
      <w:pPr>
        <w:spacing w:before="100" w:after="180"/>
        <w:ind w:left="173" w:right="173"/>
        <w:shd w:fill="F4F6F9"/>
        <w:pBdr>
          <w:left w:val="single" w:sz="18" w:space="8" w:color="2E74B5"/>
        </w:pBdr>
      </w:pPr>
      <w:r>
        <w:rPr>
          <w:rFonts w:ascii="Calibri" w:hAnsi="Calibri"/>
          <w:b/>
          <w:color w:val="0B2545"/>
          <w:sz w:val="22"/>
        </w:rPr>
        <w:t xml:space="preserve">Unknown is safe: </w:t>
      </w:r>
      <w:r>
        <w:rPr>
          <w:rFonts w:ascii="Calibri" w:hAnsi="Calibri"/>
          <w:color w:val="0B2545"/>
          <w:sz w:val="22"/>
        </w:rPr>
        <w:t>Missing assets or service dates produce UNKNOWN, not an eligible recommendation. An empty state is correct when no reviewed rule matches.</w:t>
      </w:r>
    </w:p>
    <w:p>
      <w:pPr>
        <w:pStyle w:val="Heading1"/>
      </w:pPr>
      <w:r>
        <w:t>7. Phase 3 quality observation</w:t>
      </w:r>
    </w:p>
    <w:p>
      <w:r>
        <w:rPr>
          <w:rFonts w:ascii="Calibri" w:hAnsi="Calibri"/>
          <w:i w:val="0"/>
          <w:sz w:val="22"/>
        </w:rPr>
        <w:t>The ADMIN+MFA quality view provides a bounded 30-day aggregate snapshot. It reports default-guidance reach separately from optional-profile enablement, along with recommendation status, explicit feedback, bounded reason, and answer/skip/snooze counts.</w:t>
      </w:r>
    </w:p>
    <w:p>
      <w:pPr>
        <w:numPr>
          <w:ilvl w:val="0"/>
          <w:numId w:val="10"/>
        </w:numPr>
        <w:spacing w:after="80" w:line="300" w:lineRule="auto"/>
      </w:pPr>
      <w:r>
        <w:rPr>
          <w:rFonts w:ascii="Calibri" w:hAnsi="Calibri"/>
          <w:sz w:val="22"/>
        </w:rPr>
        <w:t>The response contains no household answers, comments, property/user identifiers, or recommendation evidence.</w:t>
      </w:r>
    </w:p>
    <w:p>
      <w:pPr>
        <w:numPr>
          <w:ilvl w:val="0"/>
          <w:numId w:val="10"/>
        </w:numPr>
        <w:spacing w:after="80" w:line="300" w:lineRule="auto"/>
      </w:pPr>
      <w:r>
        <w:rPr>
          <w:rFonts w:ascii="Calibri" w:hAnsi="Calibri"/>
          <w:sz w:val="22"/>
        </w:rPr>
        <w:t>Fewer than 20 accepted or explicit-negative decisions is insufficient for review.</w:t>
      </w:r>
    </w:p>
    <w:p>
      <w:pPr>
        <w:numPr>
          <w:ilvl w:val="0"/>
          <w:numId w:val="10"/>
        </w:numPr>
        <w:spacing w:after="80" w:line="300" w:lineRule="auto"/>
      </w:pPr>
      <w:r>
        <w:rPr>
          <w:rFonts w:ascii="Calibri" w:hAnsi="Calibri"/>
          <w:sz w:val="22"/>
        </w:rPr>
        <w:t>Reaching the threshold permits manual review only. It never changes rules, content, weights, thresholds, or online ranking.</w:t>
      </w:r>
    </w:p>
    <w:p>
      <w:pPr>
        <w:numPr>
          <w:ilvl w:val="0"/>
          <w:numId w:val="10"/>
        </w:numPr>
        <w:spacing w:after="80" w:line="300" w:lineRule="auto"/>
      </w:pPr>
      <w:r>
        <w:rPr>
          <w:rFonts w:ascii="Calibri" w:hAnsi="Calibri"/>
          <w:sz w:val="22"/>
        </w:rPr>
        <w:t>Automated learning remains disabled until real-user data, success metrics, safety floors, and privacy/ethics approval exist.</w:t>
      </w:r>
    </w:p>
    <w:p>
      <w:pPr>
        <w:pStyle w:val="Heading1"/>
      </w:pPr>
      <w:r>
        <w:t>8. Phase 4 context transparency</w:t>
      </w:r>
    </w:p>
    <w:p>
      <w:r>
        <w:rPr>
          <w:rFonts w:ascii="Calibri" w:hAnsi="Calibri"/>
          <w:i w:val="0"/>
          <w:sz w:val="22"/>
        </w:rPr>
        <w:t>The owner-only context map is a current-state relational view, not a household timeline, causal graph, or simulation engine.</w:t>
      </w:r>
    </w:p>
    <w:p>
      <w:pPr>
        <w:keepLines/>
        <w:spacing w:before="60" w:after="160" w:line="240" w:lineRule="auto"/>
        <w:ind w:left="259" w:right="115"/>
        <w:shd w:fill="F2F4F7"/>
      </w:pPr>
      <w:r>
        <w:rPr>
          <w:rFonts w:ascii="Consolas" w:hAnsi="Consolas"/>
          <w:color w:val="1F2937"/>
          <w:sz w:val="16"/>
        </w:rPr>
        <w:t>GET /api/properties/:propertyId/personalization/context-map</w:t>
        <w:br/>
        <w:t>/dashboard/personalization  →  What personalization knows</w:t>
      </w:r>
    </w:p>
    <w:p>
      <w:pPr>
        <w:numPr>
          <w:ilvl w:val="0"/>
          <w:numId w:val="10"/>
        </w:numPr>
        <w:spacing w:after="80" w:line="300" w:lineRule="auto"/>
      </w:pPr>
      <w:r>
        <w:rPr>
          <w:rFonts w:ascii="Calibri" w:hAnsi="Calibri"/>
          <w:sz w:val="22"/>
        </w:rPr>
        <w:t>Without profile consent, it returns semantic property signals and active reviewed recommendations.</w:t>
      </w:r>
    </w:p>
    <w:p>
      <w:pPr>
        <w:numPr>
          <w:ilvl w:val="0"/>
          <w:numId w:val="10"/>
        </w:numPr>
        <w:spacing w:after="80" w:line="300" w:lineRule="auto"/>
      </w:pPr>
      <w:r>
        <w:rPr>
          <w:rFonts w:ascii="Calibri" w:hAnsi="Calibri"/>
          <w:sz w:val="22"/>
        </w:rPr>
        <w:t>After profile enablement, it adds the active household/property link and bounded facts decoded from known ProfileAnswer shapes.</w:t>
      </w:r>
    </w:p>
    <w:p>
      <w:pPr>
        <w:numPr>
          <w:ilvl w:val="0"/>
          <w:numId w:val="10"/>
        </w:numPr>
        <w:spacing w:after="80" w:line="300" w:lineRule="auto"/>
      </w:pPr>
      <w:r>
        <w:rPr>
          <w:rFonts w:ascii="Calibri" w:hAnsi="Calibri"/>
          <w:sz w:val="22"/>
        </w:rPr>
        <w:t>It excludes database IDs, owner IDs, raw trait evidence, arbitrary nested JSON, and owner-only context from contributors/viewers.</w:t>
      </w:r>
    </w:p>
    <w:p>
      <w:pPr>
        <w:numPr>
          <w:ilvl w:val="0"/>
          <w:numId w:val="10"/>
        </w:numPr>
        <w:spacing w:after="80" w:line="300" w:lineRule="auto"/>
      </w:pPr>
      <w:r>
        <w:rPr>
          <w:rFonts w:ascii="Calibri" w:hAnsi="Calibri"/>
          <w:sz w:val="22"/>
        </w:rPr>
        <w:t>No graph table, retained event history, migration, backfill, or graph database is required.</w:t>
      </w:r>
    </w:p>
    <w:p>
      <w:pPr>
        <w:pStyle w:val="Heading1"/>
      </w:pPr>
      <w:r>
        <w:t>9. Go / no-go decision</w:t>
      </w:r>
    </w:p>
    <w:tbl>
      <w:tblPr>
        <w:tblStyle w:val="TableGrid"/>
        <w:tblW w:type="dxa" w:w="9360"/>
        <w:tblLayout w:type="fixed"/>
        <w:tblLook w:firstColumn="1" w:firstRow="1" w:lastColumn="0" w:lastRow="0" w:noHBand="0" w:noVBand="1" w:val="04A0"/>
        <w:tblInd w:w="120" w:type="dxa"/>
      </w:tblPr>
      <w:tblGrid>
        <w:gridCol w:w="1800"/>
        <w:gridCol w:w="6060"/>
        <w:gridCol w:w="1500"/>
      </w:tblGrid>
      <w:tr>
        <w:trPr>
          <w:cantSplit/>
          <w:tblHeader w:val="true"/>
        </w:trPr>
        <w:tc>
          <w:tcPr>
            <w:tcW w:type="dxa" w:w="1800"/>
            <w:vAlign w:val="center"/>
            <w:tcMar>
              <w:top w:w="80" w:type="dxa"/>
              <w:start w:w="120" w:type="dxa"/>
              <w:bottom w:w="80" w:type="dxa"/>
              <w:end w:w="120" w:type="dxa"/>
            </w:tcMar>
            <w:shd w:fill="E8EEF5"/>
          </w:tcPr>
          <w:p>
            <w:pPr>
              <w:keepNext/>
              <w:spacing w:before="0" w:after="60" w:line="276" w:lineRule="auto"/>
            </w:pPr>
            <w:r>
              <w:rPr>
                <w:rFonts w:ascii="Calibri" w:hAnsi="Calibri"/>
                <w:b/>
                <w:color w:val="0B2545"/>
                <w:sz w:val="19"/>
              </w:rPr>
              <w:t>Critical gate</w:t>
            </w:r>
          </w:p>
        </w:tc>
        <w:tc>
          <w:tcPr>
            <w:tcW w:type="dxa" w:w="6060"/>
            <w:vAlign w:val="center"/>
            <w:tcMar>
              <w:top w:w="80" w:type="dxa"/>
              <w:start w:w="120" w:type="dxa"/>
              <w:bottom w:w="80" w:type="dxa"/>
              <w:end w:w="120" w:type="dxa"/>
            </w:tcMar>
            <w:shd w:fill="E8EEF5"/>
          </w:tcPr>
          <w:p>
            <w:pPr>
              <w:keepNext/>
              <w:spacing w:before="0" w:after="60" w:line="276" w:lineRule="auto"/>
            </w:pPr>
            <w:r>
              <w:rPr>
                <w:rFonts w:ascii="Calibri" w:hAnsi="Calibri"/>
                <w:b/>
                <w:color w:val="0B2545"/>
                <w:sz w:val="19"/>
              </w:rPr>
              <w:t>Acceptance criterion</w:t>
            </w:r>
          </w:p>
        </w:tc>
        <w:tc>
          <w:tcPr>
            <w:tcW w:type="dxa" w:w="1500"/>
            <w:vAlign w:val="center"/>
            <w:tcMar>
              <w:top w:w="80" w:type="dxa"/>
              <w:start w:w="120" w:type="dxa"/>
              <w:bottom w:w="80" w:type="dxa"/>
              <w:end w:w="120" w:type="dxa"/>
            </w:tcMar>
            <w:shd w:fill="E8EEF5"/>
          </w:tcPr>
          <w:p>
            <w:pPr>
              <w:keepNext/>
              <w:spacing w:before="0" w:after="60" w:line="276" w:lineRule="auto"/>
            </w:pPr>
            <w:r>
              <w:rPr>
                <w:rFonts w:ascii="Calibri" w:hAnsi="Calibri"/>
                <w:b/>
                <w:color w:val="0B2545"/>
                <w:sz w:val="19"/>
              </w:rPr>
              <w:t>Result</w:t>
            </w:r>
          </w:p>
        </w:tc>
      </w:tr>
      <w:tr>
        <w:trPr>
          <w:cantSplit/>
        </w:trPr>
        <w:tc>
          <w:tcPr>
            <w:tcW w:type="dxa" w:w="1800"/>
            <w:vAlign w:val="center"/>
            <w:tcMar>
              <w:top w:w="80" w:type="dxa"/>
              <w:start w:w="120" w:type="dxa"/>
              <w:bottom w:w="80" w:type="dxa"/>
              <w:end w:w="120" w:type="dxa"/>
            </w:tcMar>
          </w:tcPr>
          <w:p>
            <w:pPr>
              <w:spacing w:before="0" w:after="60" w:line="276" w:lineRule="auto"/>
            </w:pPr>
            <w:r>
              <w:rPr>
                <w:rFonts w:ascii="Calibri" w:hAnsi="Calibri"/>
                <w:b w:val="0"/>
                <w:color w:val="0B2545"/>
                <w:sz w:val="19"/>
              </w:rPr>
              <w:t>Catalog</w:t>
            </w:r>
          </w:p>
        </w:tc>
        <w:tc>
          <w:tcPr>
            <w:tcW w:type="dxa" w:w="6060"/>
            <w:vAlign w:val="center"/>
            <w:tcMar>
              <w:top w:w="80" w:type="dxa"/>
              <w:start w:w="120" w:type="dxa"/>
              <w:bottom w:w="80" w:type="dxa"/>
              <w:end w:w="120" w:type="dxa"/>
            </w:tcMar>
          </w:tcPr>
          <w:p>
            <w:pPr>
              <w:spacing w:before="0" w:after="60" w:line="276" w:lineRule="auto"/>
            </w:pPr>
            <w:r>
              <w:rPr>
                <w:rFonts w:ascii="Calibri" w:hAnsi="Calibri"/>
                <w:b w:val="0"/>
                <w:color w:val="0B2545"/>
                <w:sz w:val="19"/>
              </w:rPr>
              <w:t>Seed inventory is correct; approved definition/rule/content bundles are ACTIVE.</w:t>
            </w:r>
          </w:p>
        </w:tc>
        <w:tc>
          <w:tcPr>
            <w:tcW w:type="dxa" w:w="1500"/>
            <w:vAlign w:val="center"/>
            <w:tcMar>
              <w:top w:w="80" w:type="dxa"/>
              <w:start w:w="120" w:type="dxa"/>
              <w:bottom w:w="80" w:type="dxa"/>
              <w:end w:w="120" w:type="dxa"/>
            </w:tcMar>
          </w:tcPr>
          <w:p>
            <w:pPr>
              <w:spacing w:before="0" w:after="60" w:line="276" w:lineRule="auto"/>
            </w:pPr>
            <w:r>
              <w:rPr>
                <w:rFonts w:ascii="Calibri" w:hAnsi="Calibri"/>
                <w:b w:val="0"/>
                <w:color w:val="0B2545"/>
                <w:sz w:val="19"/>
              </w:rPr>
              <w:t>PASS / FAIL</w:t>
            </w:r>
          </w:p>
        </w:tc>
      </w:tr>
      <w:tr>
        <w:trPr>
          <w:cantSplit/>
        </w:trPr>
        <w:tc>
          <w:tcPr>
            <w:tcW w:type="dxa" w:w="1800"/>
            <w:vAlign w:val="center"/>
            <w:tcMar>
              <w:top w:w="80" w:type="dxa"/>
              <w:start w:w="120" w:type="dxa"/>
              <w:bottom w:w="80" w:type="dxa"/>
              <w:end w:w="120" w:type="dxa"/>
            </w:tcMar>
          </w:tcPr>
          <w:p>
            <w:pPr>
              <w:spacing w:before="0" w:after="60" w:line="276" w:lineRule="auto"/>
            </w:pPr>
            <w:r>
              <w:rPr>
                <w:rFonts w:ascii="Calibri" w:hAnsi="Calibri"/>
                <w:b w:val="0"/>
                <w:color w:val="0B2545"/>
                <w:sz w:val="19"/>
              </w:rPr>
              <w:t>Safety review</w:t>
            </w:r>
          </w:p>
        </w:tc>
        <w:tc>
          <w:tcPr>
            <w:tcW w:type="dxa" w:w="6060"/>
            <w:vAlign w:val="center"/>
            <w:tcMar>
              <w:top w:w="80" w:type="dxa"/>
              <w:start w:w="120" w:type="dxa"/>
              <w:bottom w:w="80" w:type="dxa"/>
              <w:end w:w="120" w:type="dxa"/>
            </w:tcMar>
          </w:tcPr>
          <w:p>
            <w:pPr>
              <w:spacing w:before="0" w:after="60" w:line="276" w:lineRule="auto"/>
            </w:pPr>
            <w:r>
              <w:rPr>
                <w:rFonts w:ascii="Calibri" w:hAnsi="Calibri"/>
                <w:b w:val="0"/>
                <w:color w:val="0B2545"/>
                <w:sz w:val="19"/>
              </w:rPr>
              <w:t>MFA reviewer identity, explicit safety confirmation, and activation audit are verified.</w:t>
            </w:r>
          </w:p>
        </w:tc>
        <w:tc>
          <w:tcPr>
            <w:tcW w:type="dxa" w:w="1500"/>
            <w:vAlign w:val="center"/>
            <w:tcMar>
              <w:top w:w="80" w:type="dxa"/>
              <w:start w:w="120" w:type="dxa"/>
              <w:bottom w:w="80" w:type="dxa"/>
              <w:end w:w="120" w:type="dxa"/>
            </w:tcMar>
          </w:tcPr>
          <w:p>
            <w:pPr>
              <w:spacing w:before="0" w:after="60" w:line="276" w:lineRule="auto"/>
            </w:pPr>
            <w:r>
              <w:rPr>
                <w:rFonts w:ascii="Calibri" w:hAnsi="Calibri"/>
                <w:b w:val="0"/>
                <w:color w:val="0B2545"/>
                <w:sz w:val="19"/>
              </w:rPr>
              <w:t>PASS / FAIL</w:t>
            </w:r>
          </w:p>
        </w:tc>
      </w:tr>
      <w:tr>
        <w:trPr>
          <w:cantSplit/>
        </w:trPr>
        <w:tc>
          <w:tcPr>
            <w:tcW w:type="dxa" w:w="1800"/>
            <w:vAlign w:val="center"/>
            <w:tcMar>
              <w:top w:w="80" w:type="dxa"/>
              <w:start w:w="120" w:type="dxa"/>
              <w:bottom w:w="80" w:type="dxa"/>
              <w:end w:w="120" w:type="dxa"/>
            </w:tcMar>
          </w:tcPr>
          <w:p>
            <w:pPr>
              <w:spacing w:before="0" w:after="60" w:line="276" w:lineRule="auto"/>
            </w:pPr>
            <w:r>
              <w:rPr>
                <w:rFonts w:ascii="Calibri" w:hAnsi="Calibri"/>
                <w:b w:val="0"/>
                <w:color w:val="0B2545"/>
                <w:sz w:val="19"/>
              </w:rPr>
              <w:t>Default-on</w:t>
            </w:r>
          </w:p>
        </w:tc>
        <w:tc>
          <w:tcPr>
            <w:tcW w:type="dxa" w:w="6060"/>
            <w:vAlign w:val="center"/>
            <w:tcMar>
              <w:top w:w="80" w:type="dxa"/>
              <w:start w:w="120" w:type="dxa"/>
              <w:bottom w:w="80" w:type="dxa"/>
              <w:end w:w="120" w:type="dxa"/>
            </w:tcMar>
          </w:tcPr>
          <w:p>
            <w:pPr>
              <w:spacing w:before="0" w:after="60" w:line="276" w:lineRule="auto"/>
            </w:pPr>
            <w:r>
              <w:rPr>
                <w:rFonts w:ascii="Calibri" w:hAnsi="Calibri"/>
                <w:b w:val="0"/>
                <w:color w:val="0B2545"/>
                <w:sz w:val="19"/>
              </w:rPr>
              <w:t>Property guidance works without optional-profile consent.</w:t>
            </w:r>
          </w:p>
        </w:tc>
        <w:tc>
          <w:tcPr>
            <w:tcW w:type="dxa" w:w="1500"/>
            <w:vAlign w:val="center"/>
            <w:tcMar>
              <w:top w:w="80" w:type="dxa"/>
              <w:start w:w="120" w:type="dxa"/>
              <w:bottom w:w="80" w:type="dxa"/>
              <w:end w:w="120" w:type="dxa"/>
            </w:tcMar>
          </w:tcPr>
          <w:p>
            <w:pPr>
              <w:spacing w:before="0" w:after="60" w:line="276" w:lineRule="auto"/>
            </w:pPr>
            <w:r>
              <w:rPr>
                <w:rFonts w:ascii="Calibri" w:hAnsi="Calibri"/>
                <w:b w:val="0"/>
                <w:color w:val="0B2545"/>
                <w:sz w:val="19"/>
              </w:rPr>
              <w:t>PASS / FAIL</w:t>
            </w:r>
          </w:p>
        </w:tc>
      </w:tr>
      <w:tr>
        <w:trPr>
          <w:cantSplit/>
        </w:trPr>
        <w:tc>
          <w:tcPr>
            <w:tcW w:type="dxa" w:w="1800"/>
            <w:vAlign w:val="center"/>
            <w:tcMar>
              <w:top w:w="80" w:type="dxa"/>
              <w:start w:w="120" w:type="dxa"/>
              <w:bottom w:w="80" w:type="dxa"/>
              <w:end w:w="120" w:type="dxa"/>
            </w:tcMar>
          </w:tcPr>
          <w:p>
            <w:pPr>
              <w:spacing w:before="0" w:after="60" w:line="276" w:lineRule="auto"/>
            </w:pPr>
            <w:r>
              <w:rPr>
                <w:rFonts w:ascii="Calibri" w:hAnsi="Calibri"/>
                <w:b w:val="0"/>
                <w:color w:val="0B2545"/>
                <w:sz w:val="19"/>
              </w:rPr>
              <w:t>Optional profile</w:t>
            </w:r>
          </w:p>
        </w:tc>
        <w:tc>
          <w:tcPr>
            <w:tcW w:type="dxa" w:w="6060"/>
            <w:vAlign w:val="center"/>
            <w:tcMar>
              <w:top w:w="80" w:type="dxa"/>
              <w:start w:w="120" w:type="dxa"/>
              <w:bottom w:w="80" w:type="dxa"/>
              <w:end w:w="120" w:type="dxa"/>
            </w:tcMar>
          </w:tcPr>
          <w:p>
            <w:pPr>
              <w:spacing w:before="0" w:after="60" w:line="276" w:lineRule="auto"/>
            </w:pPr>
            <w:r>
              <w:rPr>
                <w:rFonts w:ascii="Calibri" w:hAnsi="Calibri"/>
                <w:b w:val="0"/>
                <w:color w:val="0B2545"/>
                <w:sz w:val="19"/>
              </w:rPr>
              <w:t>Owner can enable, answer, and reset; unauthorized users cannot access it.</w:t>
            </w:r>
          </w:p>
        </w:tc>
        <w:tc>
          <w:tcPr>
            <w:tcW w:type="dxa" w:w="1500"/>
            <w:vAlign w:val="center"/>
            <w:tcMar>
              <w:top w:w="80" w:type="dxa"/>
              <w:start w:w="120" w:type="dxa"/>
              <w:bottom w:w="80" w:type="dxa"/>
              <w:end w:w="120" w:type="dxa"/>
            </w:tcMar>
          </w:tcPr>
          <w:p>
            <w:pPr>
              <w:spacing w:before="0" w:after="60" w:line="276" w:lineRule="auto"/>
            </w:pPr>
            <w:r>
              <w:rPr>
                <w:rFonts w:ascii="Calibri" w:hAnsi="Calibri"/>
                <w:b w:val="0"/>
                <w:color w:val="0B2545"/>
                <w:sz w:val="19"/>
              </w:rPr>
              <w:t>PASS / FAIL</w:t>
            </w:r>
          </w:p>
        </w:tc>
      </w:tr>
      <w:tr>
        <w:trPr>
          <w:cantSplit/>
        </w:trPr>
        <w:tc>
          <w:tcPr>
            <w:tcW w:type="dxa" w:w="1800"/>
            <w:vAlign w:val="center"/>
            <w:tcMar>
              <w:top w:w="80" w:type="dxa"/>
              <w:start w:w="120" w:type="dxa"/>
              <w:bottom w:w="80" w:type="dxa"/>
              <w:end w:w="120" w:type="dxa"/>
            </w:tcMar>
          </w:tcPr>
          <w:p>
            <w:pPr>
              <w:spacing w:before="0" w:after="60" w:line="276" w:lineRule="auto"/>
            </w:pPr>
            <w:r>
              <w:rPr>
                <w:rFonts w:ascii="Calibri" w:hAnsi="Calibri"/>
                <w:b w:val="0"/>
                <w:color w:val="0B2545"/>
                <w:sz w:val="19"/>
              </w:rPr>
              <w:t>Shared placement</w:t>
            </w:r>
          </w:p>
        </w:tc>
        <w:tc>
          <w:tcPr>
            <w:tcW w:type="dxa" w:w="6060"/>
            <w:vAlign w:val="center"/>
            <w:tcMar>
              <w:top w:w="80" w:type="dxa"/>
              <w:start w:w="120" w:type="dxa"/>
              <w:bottom w:w="80" w:type="dxa"/>
              <w:end w:w="120" w:type="dxa"/>
            </w:tcMar>
          </w:tcPr>
          <w:p>
            <w:pPr>
              <w:spacing w:before="0" w:after="60" w:line="276" w:lineRule="auto"/>
            </w:pPr>
            <w:r>
              <w:rPr>
                <w:rFonts w:ascii="Calibri" w:hAnsi="Calibri"/>
                <w:b w:val="0"/>
                <w:color w:val="0B2545"/>
                <w:sz w:val="19"/>
              </w:rPr>
              <w:t>Dashboard, Maintenance, and Health show consistent reviewed guidance.</w:t>
            </w:r>
          </w:p>
        </w:tc>
        <w:tc>
          <w:tcPr>
            <w:tcW w:type="dxa" w:w="1500"/>
            <w:vAlign w:val="center"/>
            <w:tcMar>
              <w:top w:w="80" w:type="dxa"/>
              <w:start w:w="120" w:type="dxa"/>
              <w:bottom w:w="80" w:type="dxa"/>
              <w:end w:w="120" w:type="dxa"/>
            </w:tcMar>
          </w:tcPr>
          <w:p>
            <w:pPr>
              <w:spacing w:before="0" w:after="60" w:line="276" w:lineRule="auto"/>
            </w:pPr>
            <w:r>
              <w:rPr>
                <w:rFonts w:ascii="Calibri" w:hAnsi="Calibri"/>
                <w:b w:val="0"/>
                <w:color w:val="0B2545"/>
                <w:sz w:val="19"/>
              </w:rPr>
              <w:t>PASS / FAIL</w:t>
            </w:r>
          </w:p>
        </w:tc>
      </w:tr>
      <w:tr>
        <w:trPr>
          <w:cantSplit/>
        </w:trPr>
        <w:tc>
          <w:tcPr>
            <w:tcW w:type="dxa" w:w="1800"/>
            <w:vAlign w:val="center"/>
            <w:tcMar>
              <w:top w:w="80" w:type="dxa"/>
              <w:start w:w="120" w:type="dxa"/>
              <w:bottom w:w="80" w:type="dxa"/>
              <w:end w:w="120" w:type="dxa"/>
            </w:tcMar>
          </w:tcPr>
          <w:p>
            <w:pPr>
              <w:spacing w:before="0" w:after="60" w:line="276" w:lineRule="auto"/>
            </w:pPr>
            <w:r>
              <w:rPr>
                <w:rFonts w:ascii="Calibri" w:hAnsi="Calibri"/>
                <w:b w:val="0"/>
                <w:color w:val="0B2545"/>
                <w:sz w:val="19"/>
              </w:rPr>
              <w:t>Idempotency</w:t>
            </w:r>
          </w:p>
        </w:tc>
        <w:tc>
          <w:tcPr>
            <w:tcW w:type="dxa" w:w="6060"/>
            <w:vAlign w:val="center"/>
            <w:tcMar>
              <w:top w:w="80" w:type="dxa"/>
              <w:start w:w="120" w:type="dxa"/>
              <w:bottom w:w="80" w:type="dxa"/>
              <w:end w:w="120" w:type="dxa"/>
            </w:tcMar>
          </w:tcPr>
          <w:p>
            <w:pPr>
              <w:spacing w:before="0" w:after="60" w:line="276" w:lineRule="auto"/>
            </w:pPr>
            <w:r>
              <w:rPr>
                <w:rFonts w:ascii="Calibri" w:hAnsi="Calibri"/>
                <w:b w:val="0"/>
                <w:color w:val="0B2545"/>
                <w:sz w:val="19"/>
              </w:rPr>
              <w:t>Repeated task conversion returns the existing task.</w:t>
            </w:r>
          </w:p>
        </w:tc>
        <w:tc>
          <w:tcPr>
            <w:tcW w:type="dxa" w:w="1500"/>
            <w:vAlign w:val="center"/>
            <w:tcMar>
              <w:top w:w="80" w:type="dxa"/>
              <w:start w:w="120" w:type="dxa"/>
              <w:bottom w:w="80" w:type="dxa"/>
              <w:end w:w="120" w:type="dxa"/>
            </w:tcMar>
          </w:tcPr>
          <w:p>
            <w:pPr>
              <w:spacing w:before="0" w:after="60" w:line="276" w:lineRule="auto"/>
            </w:pPr>
            <w:r>
              <w:rPr>
                <w:rFonts w:ascii="Calibri" w:hAnsi="Calibri"/>
                <w:b w:val="0"/>
                <w:color w:val="0B2545"/>
                <w:sz w:val="19"/>
              </w:rPr>
              <w:t>PASS / FAIL</w:t>
            </w:r>
          </w:p>
        </w:tc>
      </w:tr>
      <w:tr>
        <w:trPr>
          <w:cantSplit/>
        </w:trPr>
        <w:tc>
          <w:tcPr>
            <w:tcW w:type="dxa" w:w="1800"/>
            <w:vAlign w:val="center"/>
            <w:tcMar>
              <w:top w:w="80" w:type="dxa"/>
              <w:start w:w="120" w:type="dxa"/>
              <w:bottom w:w="80" w:type="dxa"/>
              <w:end w:w="120" w:type="dxa"/>
            </w:tcMar>
          </w:tcPr>
          <w:p>
            <w:pPr>
              <w:spacing w:before="0" w:after="60" w:line="276" w:lineRule="auto"/>
            </w:pPr>
            <w:r>
              <w:rPr>
                <w:rFonts w:ascii="Calibri" w:hAnsi="Calibri"/>
                <w:b w:val="0"/>
                <w:color w:val="0B2545"/>
                <w:sz w:val="19"/>
              </w:rPr>
              <w:t>Rollback</w:t>
            </w:r>
          </w:p>
        </w:tc>
        <w:tc>
          <w:tcPr>
            <w:tcW w:type="dxa" w:w="6060"/>
            <w:vAlign w:val="center"/>
            <w:tcMar>
              <w:top w:w="80" w:type="dxa"/>
              <w:start w:w="120" w:type="dxa"/>
              <w:bottom w:w="80" w:type="dxa"/>
              <w:end w:w="120" w:type="dxa"/>
            </w:tcMar>
          </w:tcPr>
          <w:p>
            <w:pPr>
              <w:spacing w:before="0" w:after="60" w:line="276" w:lineRule="auto"/>
            </w:pPr>
            <w:r>
              <w:rPr>
                <w:rFonts w:ascii="Calibri" w:hAnsi="Calibri"/>
                <w:b w:val="0"/>
                <w:color w:val="0B2545"/>
                <w:sz w:val="19"/>
              </w:rPr>
              <w:t>Global kill switch and per-definition pause are verified.</w:t>
            </w:r>
          </w:p>
        </w:tc>
        <w:tc>
          <w:tcPr>
            <w:tcW w:type="dxa" w:w="1500"/>
            <w:vAlign w:val="center"/>
            <w:tcMar>
              <w:top w:w="80" w:type="dxa"/>
              <w:start w:w="120" w:type="dxa"/>
              <w:bottom w:w="80" w:type="dxa"/>
              <w:end w:w="120" w:type="dxa"/>
            </w:tcMar>
          </w:tcPr>
          <w:p>
            <w:pPr>
              <w:spacing w:before="0" w:after="60" w:line="276" w:lineRule="auto"/>
            </w:pPr>
            <w:r>
              <w:rPr>
                <w:rFonts w:ascii="Calibri" w:hAnsi="Calibri"/>
                <w:b w:val="0"/>
                <w:color w:val="0B2545"/>
                <w:sz w:val="19"/>
              </w:rPr>
              <w:t>PASS / FAIL</w:t>
            </w:r>
          </w:p>
        </w:tc>
      </w:tr>
      <w:tr>
        <w:trPr>
          <w:cantSplit/>
        </w:trPr>
        <w:tc>
          <w:tcPr>
            <w:tcW w:type="dxa" w:w="1800"/>
            <w:vAlign w:val="center"/>
            <w:tcMar>
              <w:top w:w="80" w:type="dxa"/>
              <w:start w:w="120" w:type="dxa"/>
              <w:bottom w:w="80" w:type="dxa"/>
              <w:end w:w="120" w:type="dxa"/>
            </w:tcMar>
          </w:tcPr>
          <w:p>
            <w:pPr>
              <w:spacing w:before="0" w:after="60" w:line="276" w:lineRule="auto"/>
            </w:pPr>
            <w:r>
              <w:rPr>
                <w:rFonts w:ascii="Calibri" w:hAnsi="Calibri"/>
                <w:b w:val="0"/>
                <w:color w:val="0B2545"/>
                <w:sz w:val="19"/>
              </w:rPr>
              <w:t>Transparency</w:t>
            </w:r>
          </w:p>
        </w:tc>
        <w:tc>
          <w:tcPr>
            <w:tcW w:type="dxa" w:w="6060"/>
            <w:vAlign w:val="center"/>
            <w:tcMar>
              <w:top w:w="80" w:type="dxa"/>
              <w:start w:w="120" w:type="dxa"/>
              <w:bottom w:w="80" w:type="dxa"/>
              <w:end w:w="120" w:type="dxa"/>
            </w:tcMar>
          </w:tcPr>
          <w:p>
            <w:pPr>
              <w:spacing w:before="0" w:after="60" w:line="276" w:lineRule="auto"/>
            </w:pPr>
            <w:r>
              <w:rPr>
                <w:rFonts w:ascii="Calibri" w:hAnsi="Calibri"/>
                <w:b w:val="0"/>
                <w:color w:val="0B2545"/>
                <w:sz w:val="19"/>
              </w:rPr>
              <w:t>Context map respects property-default and optional-profile boundaries.</w:t>
            </w:r>
          </w:p>
        </w:tc>
        <w:tc>
          <w:tcPr>
            <w:tcW w:type="dxa" w:w="1500"/>
            <w:vAlign w:val="center"/>
            <w:tcMar>
              <w:top w:w="80" w:type="dxa"/>
              <w:start w:w="120" w:type="dxa"/>
              <w:bottom w:w="80" w:type="dxa"/>
              <w:end w:w="120" w:type="dxa"/>
            </w:tcMar>
          </w:tcPr>
          <w:p>
            <w:pPr>
              <w:spacing w:before="0" w:after="60" w:line="276" w:lineRule="auto"/>
            </w:pPr>
            <w:r>
              <w:rPr>
                <w:rFonts w:ascii="Calibri" w:hAnsi="Calibri"/>
                <w:b w:val="0"/>
                <w:color w:val="0B2545"/>
                <w:sz w:val="19"/>
              </w:rPr>
              <w:t>PASS / FAIL</w:t>
            </w:r>
          </w:p>
        </w:tc>
      </w:tr>
    </w:tbl>
    <w:p>
      <w:pPr>
        <w:spacing w:after="0"/>
      </w:pPr>
    </w:p>
    <w:tbl>
      <w:tblPr>
        <w:tblStyle w:val="TableGrid"/>
        <w:tblW w:type="dxa" w:w="9360"/>
        <w:tblLayout w:type="fixed"/>
        <w:tblLook w:firstColumn="1" w:firstRow="1" w:lastColumn="0" w:lastRow="0" w:noHBand="0" w:noVBand="1" w:val="04A0"/>
        <w:tblInd w:w="120" w:type="dxa"/>
      </w:tblPr>
      <w:tblGrid>
        <w:gridCol w:w="1800"/>
        <w:gridCol w:w="2200"/>
        <w:gridCol w:w="2200"/>
        <w:gridCol w:w="3160"/>
      </w:tblGrid>
      <w:tr>
        <w:trPr>
          <w:cantSplit/>
          <w:tblHeader w:val="true"/>
        </w:trPr>
        <w:tc>
          <w:tcPr>
            <w:tcW w:type="dxa" w:w="1800"/>
            <w:vAlign w:val="center"/>
            <w:tcMar>
              <w:top w:w="80" w:type="dxa"/>
              <w:start w:w="120" w:type="dxa"/>
              <w:bottom w:w="80" w:type="dxa"/>
              <w:end w:w="120" w:type="dxa"/>
            </w:tcMar>
            <w:shd w:fill="E8EEF5"/>
          </w:tcPr>
          <w:p>
            <w:pPr>
              <w:keepNext/>
              <w:spacing w:before="0" w:after="60" w:line="276" w:lineRule="auto"/>
            </w:pPr>
            <w:r>
              <w:rPr>
                <w:rFonts w:ascii="Calibri" w:hAnsi="Calibri"/>
                <w:b/>
                <w:color w:val="0B2545"/>
                <w:sz w:val="19"/>
              </w:rPr>
              <w:t>Decision</w:t>
            </w:r>
          </w:p>
        </w:tc>
        <w:tc>
          <w:tcPr>
            <w:tcW w:type="dxa" w:w="2200"/>
            <w:vAlign w:val="center"/>
            <w:tcMar>
              <w:top w:w="80" w:type="dxa"/>
              <w:start w:w="120" w:type="dxa"/>
              <w:bottom w:w="80" w:type="dxa"/>
              <w:end w:w="120" w:type="dxa"/>
            </w:tcMar>
            <w:shd w:fill="E8EEF5"/>
          </w:tcPr>
          <w:p>
            <w:pPr>
              <w:keepNext/>
              <w:spacing w:before="0" w:after="60" w:line="276" w:lineRule="auto"/>
            </w:pPr>
            <w:r>
              <w:rPr>
                <w:rFonts w:ascii="Calibri" w:hAnsi="Calibri"/>
                <w:b/>
                <w:color w:val="0B2545"/>
                <w:sz w:val="19"/>
              </w:rPr>
              <w:t>Name</w:t>
            </w:r>
          </w:p>
        </w:tc>
        <w:tc>
          <w:tcPr>
            <w:tcW w:type="dxa" w:w="2200"/>
            <w:vAlign w:val="center"/>
            <w:tcMar>
              <w:top w:w="80" w:type="dxa"/>
              <w:start w:w="120" w:type="dxa"/>
              <w:bottom w:w="80" w:type="dxa"/>
              <w:end w:w="120" w:type="dxa"/>
            </w:tcMar>
            <w:shd w:fill="E8EEF5"/>
          </w:tcPr>
          <w:p>
            <w:pPr>
              <w:keepNext/>
              <w:spacing w:before="0" w:after="60" w:line="276" w:lineRule="auto"/>
            </w:pPr>
            <w:r>
              <w:rPr>
                <w:rFonts w:ascii="Calibri" w:hAnsi="Calibri"/>
                <w:b/>
                <w:color w:val="0B2545"/>
                <w:sz w:val="19"/>
              </w:rPr>
              <w:t>Date/time</w:t>
            </w:r>
          </w:p>
        </w:tc>
        <w:tc>
          <w:tcPr>
            <w:tcW w:type="dxa" w:w="3160"/>
            <w:vAlign w:val="center"/>
            <w:tcMar>
              <w:top w:w="80" w:type="dxa"/>
              <w:start w:w="120" w:type="dxa"/>
              <w:bottom w:w="80" w:type="dxa"/>
              <w:end w:w="120" w:type="dxa"/>
            </w:tcMar>
            <w:shd w:fill="E8EEF5"/>
          </w:tcPr>
          <w:p>
            <w:pPr>
              <w:keepNext/>
              <w:spacing w:before="0" w:after="60" w:line="276" w:lineRule="auto"/>
            </w:pPr>
            <w:r>
              <w:rPr>
                <w:rFonts w:ascii="Calibri" w:hAnsi="Calibri"/>
                <w:b/>
                <w:color w:val="0B2545"/>
                <w:sz w:val="19"/>
              </w:rPr>
              <w:t>Release reference</w:t>
            </w:r>
          </w:p>
        </w:tc>
      </w:tr>
      <w:tr>
        <w:trPr>
          <w:cantSplit/>
        </w:trPr>
        <w:tc>
          <w:tcPr>
            <w:tcW w:type="dxa" w:w="1800"/>
            <w:vAlign w:val="center"/>
            <w:tcMar>
              <w:top w:w="80" w:type="dxa"/>
              <w:start w:w="120" w:type="dxa"/>
              <w:bottom w:w="80" w:type="dxa"/>
              <w:end w:w="120" w:type="dxa"/>
            </w:tcMar>
          </w:tcPr>
          <w:p>
            <w:pPr>
              <w:spacing w:before="0" w:after="60" w:line="276" w:lineRule="auto"/>
            </w:pPr>
            <w:r>
              <w:rPr>
                <w:rFonts w:ascii="Calibri" w:hAnsi="Calibri"/>
                <w:b w:val="0"/>
                <w:color w:val="0B2545"/>
                <w:sz w:val="19"/>
              </w:rPr>
              <w:t>GO / NO-GO</w:t>
            </w:r>
          </w:p>
        </w:tc>
        <w:tc>
          <w:tcPr>
            <w:tcW w:type="dxa" w:w="2200"/>
            <w:vAlign w:val="center"/>
            <w:tcMar>
              <w:top w:w="80" w:type="dxa"/>
              <w:start w:w="120" w:type="dxa"/>
              <w:bottom w:w="80" w:type="dxa"/>
              <w:end w:w="120" w:type="dxa"/>
            </w:tcMar>
          </w:tcPr>
          <w:p>
            <w:pPr>
              <w:spacing w:before="0" w:after="60" w:line="276" w:lineRule="auto"/>
            </w:pPr>
            <w:r>
              <w:rPr>
                <w:rFonts w:ascii="Calibri" w:hAnsi="Calibri"/>
                <w:b w:val="0"/>
                <w:color w:val="0B2545"/>
                <w:sz w:val="19"/>
              </w:rPr>
              <w:t>__________________</w:t>
            </w:r>
          </w:p>
        </w:tc>
        <w:tc>
          <w:tcPr>
            <w:tcW w:type="dxa" w:w="2200"/>
            <w:vAlign w:val="center"/>
            <w:tcMar>
              <w:top w:w="80" w:type="dxa"/>
              <w:start w:w="120" w:type="dxa"/>
              <w:bottom w:w="80" w:type="dxa"/>
              <w:end w:w="120" w:type="dxa"/>
            </w:tcMar>
          </w:tcPr>
          <w:p>
            <w:pPr>
              <w:spacing w:before="0" w:after="60" w:line="276" w:lineRule="auto"/>
            </w:pPr>
            <w:r>
              <w:rPr>
                <w:rFonts w:ascii="Calibri" w:hAnsi="Calibri"/>
                <w:b w:val="0"/>
                <w:color w:val="0B2545"/>
                <w:sz w:val="19"/>
              </w:rPr>
              <w:t>__________________</w:t>
            </w:r>
          </w:p>
        </w:tc>
        <w:tc>
          <w:tcPr>
            <w:tcW w:type="dxa" w:w="3160"/>
            <w:vAlign w:val="center"/>
            <w:tcMar>
              <w:top w:w="80" w:type="dxa"/>
              <w:start w:w="120" w:type="dxa"/>
              <w:bottom w:w="80" w:type="dxa"/>
              <w:end w:w="120" w:type="dxa"/>
            </w:tcMar>
          </w:tcPr>
          <w:p>
            <w:pPr>
              <w:spacing w:before="0" w:after="60" w:line="276" w:lineRule="auto"/>
            </w:pPr>
            <w:r>
              <w:rPr>
                <w:rFonts w:ascii="Calibri" w:hAnsi="Calibri"/>
                <w:b w:val="0"/>
                <w:color w:val="0B2545"/>
                <w:sz w:val="19"/>
              </w:rPr>
              <w:t>________________________</w:t>
            </w:r>
          </w:p>
        </w:tc>
      </w:tr>
    </w:tbl>
    <w:p>
      <w:pPr>
        <w:spacing w:after="0"/>
      </w:pPr>
    </w:p>
    <w:p>
      <w:pPr>
        <w:pStyle w:val="Heading1"/>
      </w:pPr>
      <w:r>
        <w:t>10. Incident response</w:t>
      </w:r>
    </w:p>
    <w:tbl>
      <w:tblPr>
        <w:tblStyle w:val="TableGrid"/>
        <w:tblW w:type="dxa" w:w="9360"/>
        <w:tblLayout w:type="fixed"/>
        <w:tblLook w:firstColumn="1" w:firstRow="1" w:lastColumn="0" w:lastRow="0" w:noHBand="0" w:noVBand="1" w:val="04A0"/>
        <w:tblInd w:w="120" w:type="dxa"/>
      </w:tblPr>
      <w:tblGrid>
        <w:gridCol w:w="2300"/>
        <w:gridCol w:w="3180"/>
        <w:gridCol w:w="3880"/>
      </w:tblGrid>
      <w:tr>
        <w:trPr>
          <w:cantSplit/>
          <w:tblHeader w:val="true"/>
        </w:trPr>
        <w:tc>
          <w:tcPr>
            <w:tcW w:type="dxa" w:w="2300"/>
            <w:vAlign w:val="center"/>
            <w:tcMar>
              <w:top w:w="80" w:type="dxa"/>
              <w:start w:w="120" w:type="dxa"/>
              <w:bottom w:w="80" w:type="dxa"/>
              <w:end w:w="120" w:type="dxa"/>
            </w:tcMar>
            <w:shd w:fill="E8EEF5"/>
          </w:tcPr>
          <w:p>
            <w:pPr>
              <w:keepNext/>
              <w:spacing w:before="0" w:after="60" w:line="276" w:lineRule="auto"/>
            </w:pPr>
            <w:r>
              <w:rPr>
                <w:rFonts w:ascii="Calibri" w:hAnsi="Calibri"/>
                <w:b/>
                <w:color w:val="0B2545"/>
                <w:sz w:val="19"/>
              </w:rPr>
              <w:t>Incident</w:t>
            </w:r>
          </w:p>
        </w:tc>
        <w:tc>
          <w:tcPr>
            <w:tcW w:type="dxa" w:w="3180"/>
            <w:vAlign w:val="center"/>
            <w:tcMar>
              <w:top w:w="80" w:type="dxa"/>
              <w:start w:w="120" w:type="dxa"/>
              <w:bottom w:w="80" w:type="dxa"/>
              <w:end w:w="120" w:type="dxa"/>
            </w:tcMar>
            <w:shd w:fill="E8EEF5"/>
          </w:tcPr>
          <w:p>
            <w:pPr>
              <w:keepNext/>
              <w:spacing w:before="0" w:after="60" w:line="276" w:lineRule="auto"/>
            </w:pPr>
            <w:r>
              <w:rPr>
                <w:rFonts w:ascii="Calibri" w:hAnsi="Calibri"/>
                <w:b/>
                <w:color w:val="0B2545"/>
                <w:sz w:val="19"/>
              </w:rPr>
              <w:t>Immediate action</w:t>
            </w:r>
          </w:p>
        </w:tc>
        <w:tc>
          <w:tcPr>
            <w:tcW w:type="dxa" w:w="3880"/>
            <w:vAlign w:val="center"/>
            <w:tcMar>
              <w:top w:w="80" w:type="dxa"/>
              <w:start w:w="120" w:type="dxa"/>
              <w:bottom w:w="80" w:type="dxa"/>
              <w:end w:w="120" w:type="dxa"/>
            </w:tcMar>
            <w:shd w:fill="E8EEF5"/>
          </w:tcPr>
          <w:p>
            <w:pPr>
              <w:keepNext/>
              <w:spacing w:before="0" w:after="60" w:line="276" w:lineRule="auto"/>
            </w:pPr>
            <w:r>
              <w:rPr>
                <w:rFonts w:ascii="Calibri" w:hAnsi="Calibri"/>
                <w:b/>
                <w:color w:val="0B2545"/>
                <w:sz w:val="19"/>
              </w:rPr>
              <w:t>Recovery</w:t>
            </w:r>
          </w:p>
        </w:tc>
      </w:tr>
      <w:tr>
        <w:trPr>
          <w:cantSplit/>
        </w:trPr>
        <w:tc>
          <w:tcPr>
            <w:tcW w:type="dxa" w:w="2300"/>
            <w:vAlign w:val="center"/>
            <w:tcMar>
              <w:top w:w="80" w:type="dxa"/>
              <w:start w:w="120" w:type="dxa"/>
              <w:bottom w:w="80" w:type="dxa"/>
              <w:end w:w="120" w:type="dxa"/>
            </w:tcMar>
          </w:tcPr>
          <w:p>
            <w:pPr>
              <w:spacing w:before="0" w:after="60" w:line="276" w:lineRule="auto"/>
            </w:pPr>
            <w:r>
              <w:rPr>
                <w:rFonts w:ascii="Calibri" w:hAnsi="Calibri"/>
                <w:b w:val="0"/>
                <w:color w:val="0B2545"/>
                <w:sz w:val="19"/>
              </w:rPr>
              <w:t>One definition has bad copy or eligibility</w:t>
            </w:r>
          </w:p>
        </w:tc>
        <w:tc>
          <w:tcPr>
            <w:tcW w:type="dxa" w:w="3180"/>
            <w:vAlign w:val="center"/>
            <w:tcMar>
              <w:top w:w="80" w:type="dxa"/>
              <w:start w:w="120" w:type="dxa"/>
              <w:bottom w:w="80" w:type="dxa"/>
              <w:end w:w="120" w:type="dxa"/>
            </w:tcMar>
          </w:tcPr>
          <w:p>
            <w:pPr>
              <w:spacing w:before="0" w:after="60" w:line="276" w:lineRule="auto"/>
            </w:pPr>
            <w:r>
              <w:rPr>
                <w:rFonts w:ascii="Calibri" w:hAnsi="Calibri"/>
                <w:b w:val="0"/>
                <w:color w:val="0B2545"/>
                <w:sz w:val="19"/>
              </w:rPr>
              <w:t>Pause that definition and record the reason.</w:t>
            </w:r>
          </w:p>
        </w:tc>
        <w:tc>
          <w:tcPr>
            <w:tcW w:type="dxa" w:w="3880"/>
            <w:vAlign w:val="center"/>
            <w:tcMar>
              <w:top w:w="80" w:type="dxa"/>
              <w:start w:w="120" w:type="dxa"/>
              <w:bottom w:w="80" w:type="dxa"/>
              <w:end w:w="120" w:type="dxa"/>
            </w:tcMar>
          </w:tcPr>
          <w:p>
            <w:pPr>
              <w:spacing w:before="0" w:after="60" w:line="276" w:lineRule="auto"/>
            </w:pPr>
            <w:r>
              <w:rPr>
                <w:rFonts w:ascii="Calibri" w:hAnsi="Calibri"/>
                <w:b w:val="0"/>
                <w:color w:val="0B2545"/>
                <w:sz w:val="19"/>
              </w:rPr>
              <w:t>Correct, review through the MFA admin workflow, activate the intended version, then resume.</w:t>
            </w:r>
          </w:p>
        </w:tc>
      </w:tr>
      <w:tr>
        <w:trPr>
          <w:cantSplit/>
        </w:trPr>
        <w:tc>
          <w:tcPr>
            <w:tcW w:type="dxa" w:w="2300"/>
            <w:vAlign w:val="center"/>
            <w:tcMar>
              <w:top w:w="80" w:type="dxa"/>
              <w:start w:w="120" w:type="dxa"/>
              <w:bottom w:w="80" w:type="dxa"/>
              <w:end w:w="120" w:type="dxa"/>
            </w:tcMar>
          </w:tcPr>
          <w:p>
            <w:pPr>
              <w:spacing w:before="0" w:after="60" w:line="276" w:lineRule="auto"/>
            </w:pPr>
            <w:r>
              <w:rPr>
                <w:rFonts w:ascii="Calibri" w:hAnsi="Calibri"/>
                <w:b w:val="0"/>
                <w:color w:val="0B2545"/>
                <w:sz w:val="19"/>
              </w:rPr>
              <w:t>Systemic personalization issue</w:t>
            </w:r>
          </w:p>
        </w:tc>
        <w:tc>
          <w:tcPr>
            <w:tcW w:type="dxa" w:w="3180"/>
            <w:vAlign w:val="center"/>
            <w:tcMar>
              <w:top w:w="80" w:type="dxa"/>
              <w:start w:w="120" w:type="dxa"/>
              <w:bottom w:w="80" w:type="dxa"/>
              <w:end w:w="120" w:type="dxa"/>
            </w:tcMar>
          </w:tcPr>
          <w:p>
            <w:pPr>
              <w:spacing w:before="0" w:after="60" w:line="276" w:lineRule="auto"/>
            </w:pPr>
            <w:r>
              <w:rPr>
                <w:rFonts w:ascii="Calibri" w:hAnsi="Calibri"/>
                <w:b w:val="0"/>
                <w:color w:val="0B2545"/>
                <w:sz w:val="19"/>
              </w:rPr>
              <w:t>Pause the global kill switch with a reason.</w:t>
            </w:r>
          </w:p>
        </w:tc>
        <w:tc>
          <w:tcPr>
            <w:tcW w:type="dxa" w:w="3880"/>
            <w:vAlign w:val="center"/>
            <w:tcMar>
              <w:top w:w="80" w:type="dxa"/>
              <w:start w:w="120" w:type="dxa"/>
              <w:bottom w:w="80" w:type="dxa"/>
              <w:end w:w="120" w:type="dxa"/>
            </w:tcMar>
          </w:tcPr>
          <w:p>
            <w:pPr>
              <w:spacing w:before="0" w:after="60" w:line="276" w:lineRule="auto"/>
            </w:pPr>
            <w:r>
              <w:rPr>
                <w:rFonts w:ascii="Calibri" w:hAnsi="Calibri"/>
                <w:b w:val="0"/>
                <w:color w:val="0B2545"/>
                <w:sz w:val="19"/>
              </w:rPr>
              <w:t>Investigate and resume only after approval and validation.</w:t>
            </w:r>
          </w:p>
        </w:tc>
      </w:tr>
      <w:tr>
        <w:trPr>
          <w:cantSplit/>
        </w:trPr>
        <w:tc>
          <w:tcPr>
            <w:tcW w:type="dxa" w:w="2300"/>
            <w:vAlign w:val="center"/>
            <w:tcMar>
              <w:top w:w="80" w:type="dxa"/>
              <w:start w:w="120" w:type="dxa"/>
              <w:bottom w:w="80" w:type="dxa"/>
              <w:end w:w="120" w:type="dxa"/>
            </w:tcMar>
          </w:tcPr>
          <w:p>
            <w:pPr>
              <w:spacing w:before="0" w:after="60" w:line="276" w:lineRule="auto"/>
            </w:pPr>
            <w:r>
              <w:rPr>
                <w:rFonts w:ascii="Calibri" w:hAnsi="Calibri"/>
                <w:b w:val="0"/>
                <w:color w:val="0B2545"/>
                <w:sz w:val="19"/>
              </w:rPr>
              <w:t>Duplicate Maintenance task</w:t>
            </w:r>
          </w:p>
        </w:tc>
        <w:tc>
          <w:tcPr>
            <w:tcW w:type="dxa" w:w="3180"/>
            <w:vAlign w:val="center"/>
            <w:tcMar>
              <w:top w:w="80" w:type="dxa"/>
              <w:start w:w="120" w:type="dxa"/>
              <w:bottom w:w="80" w:type="dxa"/>
              <w:end w:w="120" w:type="dxa"/>
            </w:tcMar>
          </w:tcPr>
          <w:p>
            <w:pPr>
              <w:spacing w:before="0" w:after="60" w:line="276" w:lineRule="auto"/>
            </w:pPr>
            <w:r>
              <w:rPr>
                <w:rFonts w:ascii="Calibri" w:hAnsi="Calibri"/>
                <w:b w:val="0"/>
                <w:color w:val="0B2545"/>
                <w:sz w:val="19"/>
              </w:rPr>
              <w:t>Treat as NO-GO and pause the affected definition.</w:t>
            </w:r>
          </w:p>
        </w:tc>
        <w:tc>
          <w:tcPr>
            <w:tcW w:type="dxa" w:w="3880"/>
            <w:vAlign w:val="center"/>
            <w:tcMar>
              <w:top w:w="80" w:type="dxa"/>
              <w:start w:w="120" w:type="dxa"/>
              <w:bottom w:w="80" w:type="dxa"/>
              <w:end w:w="120" w:type="dxa"/>
            </w:tcMar>
          </w:tcPr>
          <w:p>
            <w:pPr>
              <w:spacing w:before="0" w:after="60" w:line="276" w:lineRule="auto"/>
            </w:pPr>
            <w:r>
              <w:rPr>
                <w:rFonts w:ascii="Calibri" w:hAnsi="Calibri"/>
                <w:b w:val="0"/>
                <w:color w:val="0B2545"/>
                <w:sz w:val="19"/>
              </w:rPr>
              <w:t>Fix idempotency/action-key behavior and rerun smoke validation.</w:t>
            </w:r>
          </w:p>
        </w:tc>
      </w:tr>
      <w:tr>
        <w:trPr>
          <w:cantSplit/>
        </w:trPr>
        <w:tc>
          <w:tcPr>
            <w:tcW w:type="dxa" w:w="2300"/>
            <w:vAlign w:val="center"/>
            <w:tcMar>
              <w:top w:w="80" w:type="dxa"/>
              <w:start w:w="120" w:type="dxa"/>
              <w:bottom w:w="80" w:type="dxa"/>
              <w:end w:w="120" w:type="dxa"/>
            </w:tcMar>
          </w:tcPr>
          <w:p>
            <w:pPr>
              <w:spacing w:before="0" w:after="60" w:line="276" w:lineRule="auto"/>
            </w:pPr>
            <w:r>
              <w:rPr>
                <w:rFonts w:ascii="Calibri" w:hAnsi="Calibri"/>
                <w:b w:val="0"/>
                <w:color w:val="0B2545"/>
                <w:sz w:val="19"/>
              </w:rPr>
              <w:t>Optional-profile privacy issue</w:t>
            </w:r>
          </w:p>
        </w:tc>
        <w:tc>
          <w:tcPr>
            <w:tcW w:type="dxa" w:w="3180"/>
            <w:vAlign w:val="center"/>
            <w:tcMar>
              <w:top w:w="80" w:type="dxa"/>
              <w:start w:w="120" w:type="dxa"/>
              <w:bottom w:w="80" w:type="dxa"/>
              <w:end w:w="120" w:type="dxa"/>
            </w:tcMar>
          </w:tcPr>
          <w:p>
            <w:pPr>
              <w:spacing w:before="0" w:after="60" w:line="276" w:lineRule="auto"/>
            </w:pPr>
            <w:r>
              <w:rPr>
                <w:rFonts w:ascii="Calibri" w:hAnsi="Calibri"/>
                <w:b w:val="0"/>
                <w:color w:val="0B2545"/>
                <w:sz w:val="19"/>
              </w:rPr>
              <w:t>Use the global pause if writes or exposure are unsafe.</w:t>
            </w:r>
          </w:p>
        </w:tc>
        <w:tc>
          <w:tcPr>
            <w:tcW w:type="dxa" w:w="3880"/>
            <w:vAlign w:val="center"/>
            <w:tcMar>
              <w:top w:w="80" w:type="dxa"/>
              <w:start w:w="120" w:type="dxa"/>
              <w:bottom w:w="80" w:type="dxa"/>
              <w:end w:w="120" w:type="dxa"/>
            </w:tcMar>
          </w:tcPr>
          <w:p>
            <w:pPr>
              <w:spacing w:before="0" w:after="60" w:line="276" w:lineRule="auto"/>
            </w:pPr>
            <w:r>
              <w:rPr>
                <w:rFonts w:ascii="Calibri" w:hAnsi="Calibri"/>
                <w:b w:val="0"/>
                <w:color w:val="0B2545"/>
                <w:sz w:val="19"/>
              </w:rPr>
              <w:t>Correct authorization/deletion behavior; verify reset before resuming.</w:t>
            </w:r>
          </w:p>
        </w:tc>
      </w:tr>
    </w:tbl>
    <w:p>
      <w:pPr>
        <w:spacing w:after="0"/>
      </w:pPr>
    </w:p>
    <w:p>
      <w:pPr>
        <w:pStyle w:val="Heading1"/>
      </w:pPr>
      <w:r>
        <w:t>11. Verification queries</w:t>
      </w:r>
    </w:p>
    <w:p>
      <w:pPr>
        <w:keepLines/>
        <w:spacing w:before="60" w:after="160" w:line="240" w:lineRule="auto"/>
        <w:ind w:left="259" w:right="115"/>
        <w:shd w:fill="F2F4F7"/>
      </w:pPr>
      <w:r>
        <w:rPr>
          <w:rFonts w:ascii="Consolas" w:hAnsi="Consolas"/>
          <w:color w:val="1F2937"/>
          <w:sz w:val="16"/>
        </w:rPr>
        <w:t>SELECT d.code, d.status AS definition_status, d."pausedAt",</w:t>
        <w:br/>
        <w:t xml:space="preserve">       r.version AS rule_version, r.status AS rule_status,</w:t>
        <w:br/>
        <w:t xml:space="preserve">       r."reviewedBy",</w:t>
        <w:br/>
        <w:t xml:space="preserve">       c.locale, c.version AS content_version, c.status AS content_status</w:t>
        <w:br/>
        <w:t>FROM personalization_recommendation_definitions d</w:t>
        <w:br/>
        <w:t>JOIN personalization_recommendation_rules r ON r."definitionId" = d.id</w:t>
        <w:br/>
        <w:t>JOIN personalization_recommendation_content_versions c ON c."definitionId" = d.id</w:t>
        <w:br/>
        <w:t>WHERE d.code IN (</w:t>
        <w:br/>
        <w:t xml:space="preserve">  'hvac_filter_replacement_check_proof',</w:t>
        <w:br/>
        <w:t xml:space="preserve">  'smoke_co_detector_battery_check',</w:t>
        <w:br/>
        <w:t xml:space="preserve">  'dryer_vent_cleaning_reminder',</w:t>
        <w:br/>
        <w:t xml:space="preserve">  'smoke_detector_installation_review',</w:t>
        <w:br/>
        <w:t xml:space="preserve">  'aging_roof_condition_review'</w:t>
        <w:br/>
        <w:t>)</w:t>
        <w:br/>
        <w:t>ORDER BY d.code, r.version, c.locale, c.version;</w:t>
      </w:r>
    </w:p>
    <w:p>
      <w:pPr>
        <w:keepLines/>
        <w:spacing w:before="60" w:after="160" w:line="240" w:lineRule="auto"/>
        <w:ind w:left="259" w:right="115"/>
        <w:shd w:fill="F2F4F7"/>
      </w:pPr>
      <w:r>
        <w:rPr>
          <w:rFonts w:ascii="Consolas" w:hAnsi="Consolas"/>
          <w:color w:val="1F2937"/>
          <w:sz w:val="16"/>
        </w:rPr>
        <w:t>SELECT code, version, status, prompt</w:t>
        <w:br/>
        <w:t>FROM personalization_profile_questions</w:t>
        <w:br/>
        <w:t>WHERE code IN (</w:t>
        <w:br/>
        <w:t xml:space="preserve">  'household_composition_safety', 'household_pets',</w:t>
        <w:br/>
        <w:t xml:space="preserve">  'goal_aging_in_place', 'preference_budget_posture',</w:t>
        <w:br/>
        <w:t xml:space="preserve">  'lifestyle_travel_frequency'</w:t>
        <w:br/>
        <w:t>)</w:t>
        <w:br/>
        <w:t>ORDER BY code, version;</w:t>
      </w:r>
    </w:p>
    <w:p>
      <w:pPr>
        <w:pStyle w:val="Heading1"/>
      </w:pPr>
      <w:r>
        <w:t>12. Troubleshooting</w:t>
      </w:r>
    </w:p>
    <w:tbl>
      <w:tblPr>
        <w:tblStyle w:val="TableGrid"/>
        <w:tblW w:type="dxa" w:w="9360"/>
        <w:tblLayout w:type="fixed"/>
        <w:tblLook w:firstColumn="1" w:firstRow="1" w:lastColumn="0" w:lastRow="0" w:noHBand="0" w:noVBand="1" w:val="04A0"/>
        <w:tblInd w:w="120" w:type="dxa"/>
      </w:tblPr>
      <w:tblGrid>
        <w:gridCol w:w="2600"/>
        <w:gridCol w:w="3000"/>
        <w:gridCol w:w="3760"/>
      </w:tblGrid>
      <w:tr>
        <w:trPr>
          <w:cantSplit/>
          <w:tblHeader w:val="true"/>
        </w:trPr>
        <w:tc>
          <w:tcPr>
            <w:tcW w:type="dxa" w:w="2600"/>
            <w:vAlign w:val="center"/>
            <w:tcMar>
              <w:top w:w="80" w:type="dxa"/>
              <w:start w:w="120" w:type="dxa"/>
              <w:bottom w:w="80" w:type="dxa"/>
              <w:end w:w="120" w:type="dxa"/>
            </w:tcMar>
            <w:shd w:fill="E8EEF5"/>
          </w:tcPr>
          <w:p>
            <w:pPr>
              <w:keepNext/>
              <w:spacing w:before="0" w:after="60" w:line="276" w:lineRule="auto"/>
            </w:pPr>
            <w:r>
              <w:rPr>
                <w:rFonts w:ascii="Calibri" w:hAnsi="Calibri"/>
                <w:b/>
                <w:color w:val="0B2545"/>
                <w:sz w:val="19"/>
              </w:rPr>
              <w:t>Symptom</w:t>
            </w:r>
          </w:p>
        </w:tc>
        <w:tc>
          <w:tcPr>
            <w:tcW w:type="dxa" w:w="3000"/>
            <w:vAlign w:val="center"/>
            <w:tcMar>
              <w:top w:w="80" w:type="dxa"/>
              <w:start w:w="120" w:type="dxa"/>
              <w:bottom w:w="80" w:type="dxa"/>
              <w:end w:w="120" w:type="dxa"/>
            </w:tcMar>
            <w:shd w:fill="E8EEF5"/>
          </w:tcPr>
          <w:p>
            <w:pPr>
              <w:keepNext/>
              <w:spacing w:before="0" w:after="60" w:line="276" w:lineRule="auto"/>
            </w:pPr>
            <w:r>
              <w:rPr>
                <w:rFonts w:ascii="Calibri" w:hAnsi="Calibri"/>
                <w:b/>
                <w:color w:val="0B2545"/>
                <w:sz w:val="19"/>
              </w:rPr>
              <w:t>Likely cause</w:t>
            </w:r>
          </w:p>
        </w:tc>
        <w:tc>
          <w:tcPr>
            <w:tcW w:type="dxa" w:w="3760"/>
            <w:vAlign w:val="center"/>
            <w:tcMar>
              <w:top w:w="80" w:type="dxa"/>
              <w:start w:w="120" w:type="dxa"/>
              <w:bottom w:w="80" w:type="dxa"/>
              <w:end w:w="120" w:type="dxa"/>
            </w:tcMar>
            <w:shd w:fill="E8EEF5"/>
          </w:tcPr>
          <w:p>
            <w:pPr>
              <w:keepNext/>
              <w:spacing w:before="0" w:after="60" w:line="276" w:lineRule="auto"/>
            </w:pPr>
            <w:r>
              <w:rPr>
                <w:rFonts w:ascii="Calibri" w:hAnsi="Calibri"/>
                <w:b/>
                <w:color w:val="0B2545"/>
                <w:sz w:val="19"/>
              </w:rPr>
              <w:t>Action</w:t>
            </w:r>
          </w:p>
        </w:tc>
      </w:tr>
      <w:tr>
        <w:trPr>
          <w:cantSplit/>
        </w:trPr>
        <w:tc>
          <w:tcPr>
            <w:tcW w:type="dxa" w:w="2600"/>
            <w:vAlign w:val="center"/>
            <w:tcMar>
              <w:top w:w="80" w:type="dxa"/>
              <w:start w:w="120" w:type="dxa"/>
              <w:bottom w:w="80" w:type="dxa"/>
              <w:end w:w="120" w:type="dxa"/>
            </w:tcMar>
          </w:tcPr>
          <w:p>
            <w:pPr>
              <w:spacing w:before="0" w:after="60" w:line="276" w:lineRule="auto"/>
            </w:pPr>
            <w:r>
              <w:rPr>
                <w:rFonts w:ascii="Calibri" w:hAnsi="Calibri"/>
                <w:b w:val="0"/>
                <w:color w:val="0B2545"/>
                <w:sz w:val="19"/>
              </w:rPr>
              <w:t>Admin page returns 403 or MFA_REQUIRED</w:t>
            </w:r>
          </w:p>
        </w:tc>
        <w:tc>
          <w:tcPr>
            <w:tcW w:type="dxa" w:w="3000"/>
            <w:vAlign w:val="center"/>
            <w:tcMar>
              <w:top w:w="80" w:type="dxa"/>
              <w:start w:w="120" w:type="dxa"/>
              <w:bottom w:w="80" w:type="dxa"/>
              <w:end w:w="120" w:type="dxa"/>
            </w:tcMar>
          </w:tcPr>
          <w:p>
            <w:pPr>
              <w:spacing w:before="0" w:after="60" w:line="276" w:lineRule="auto"/>
            </w:pPr>
            <w:r>
              <w:rPr>
                <w:rFonts w:ascii="Calibri" w:hAnsi="Calibri"/>
                <w:b w:val="0"/>
                <w:color w:val="0B2545"/>
                <w:sz w:val="19"/>
              </w:rPr>
              <w:t>Reviewer lacks ADMIN or completed MFA.</w:t>
            </w:r>
          </w:p>
        </w:tc>
        <w:tc>
          <w:tcPr>
            <w:tcW w:type="dxa" w:w="3760"/>
            <w:vAlign w:val="center"/>
            <w:tcMar>
              <w:top w:w="80" w:type="dxa"/>
              <w:start w:w="120" w:type="dxa"/>
              <w:bottom w:w="80" w:type="dxa"/>
              <w:end w:w="120" w:type="dxa"/>
            </w:tcMar>
          </w:tcPr>
          <w:p>
            <w:pPr>
              <w:spacing w:before="0" w:after="60" w:line="276" w:lineRule="auto"/>
            </w:pPr>
            <w:r>
              <w:rPr>
                <w:rFonts w:ascii="Calibri" w:hAnsi="Calibri"/>
                <w:b w:val="0"/>
                <w:color w:val="0B2545"/>
                <w:sz w:val="19"/>
              </w:rPr>
              <w:t>Sign in with the intended ADMIN and complete MFA.</w:t>
            </w:r>
          </w:p>
        </w:tc>
      </w:tr>
      <w:tr>
        <w:trPr>
          <w:cantSplit/>
        </w:trPr>
        <w:tc>
          <w:tcPr>
            <w:tcW w:type="dxa" w:w="2600"/>
            <w:vAlign w:val="center"/>
            <w:tcMar>
              <w:top w:w="80" w:type="dxa"/>
              <w:start w:w="120" w:type="dxa"/>
              <w:bottom w:w="80" w:type="dxa"/>
              <w:end w:w="120" w:type="dxa"/>
            </w:tcMar>
          </w:tcPr>
          <w:p>
            <w:pPr>
              <w:spacing w:before="0" w:after="60" w:line="276" w:lineRule="auto"/>
            </w:pPr>
            <w:r>
              <w:rPr>
                <w:rFonts w:ascii="Calibri" w:hAnsi="Calibri"/>
                <w:b w:val="0"/>
                <w:color w:val="0B2545"/>
                <w:sz w:val="19"/>
              </w:rPr>
              <w:t>Review and activate is disabled</w:t>
            </w:r>
          </w:p>
        </w:tc>
        <w:tc>
          <w:tcPr>
            <w:tcW w:type="dxa" w:w="3000"/>
            <w:vAlign w:val="center"/>
            <w:tcMar>
              <w:top w:w="80" w:type="dxa"/>
              <w:start w:w="120" w:type="dxa"/>
              <w:bottom w:w="80" w:type="dxa"/>
              <w:end w:w="120" w:type="dxa"/>
            </w:tcMar>
          </w:tcPr>
          <w:p>
            <w:pPr>
              <w:spacing w:before="0" w:after="60" w:line="276" w:lineRule="auto"/>
            </w:pPr>
            <w:r>
              <w:rPr>
                <w:rFonts w:ascii="Calibri" w:hAnsi="Calibri"/>
                <w:b w:val="0"/>
                <w:color w:val="0B2545"/>
                <w:sz w:val="19"/>
              </w:rPr>
              <w:t>Rule or en-US content is missing, or the bundle is already active.</w:t>
            </w:r>
          </w:p>
        </w:tc>
        <w:tc>
          <w:tcPr>
            <w:tcW w:type="dxa" w:w="3760"/>
            <w:vAlign w:val="center"/>
            <w:tcMar>
              <w:top w:w="80" w:type="dxa"/>
              <w:start w:w="120" w:type="dxa"/>
              <w:bottom w:w="80" w:type="dxa"/>
              <w:end w:w="120" w:type="dxa"/>
            </w:tcMar>
          </w:tcPr>
          <w:p>
            <w:pPr>
              <w:spacing w:before="0" w:after="60" w:line="276" w:lineRule="auto"/>
            </w:pPr>
            <w:r>
              <w:rPr>
                <w:rFonts w:ascii="Calibri" w:hAnsi="Calibri"/>
                <w:b w:val="0"/>
                <w:color w:val="0B2545"/>
                <w:sz w:val="19"/>
              </w:rPr>
              <w:t>Run the canonical bootstrap if incomplete; otherwise inspect the displayed lifecycle state.</w:t>
            </w:r>
          </w:p>
        </w:tc>
      </w:tr>
      <w:tr>
        <w:trPr>
          <w:cantSplit/>
        </w:trPr>
        <w:tc>
          <w:tcPr>
            <w:tcW w:type="dxa" w:w="2600"/>
            <w:vAlign w:val="center"/>
            <w:tcMar>
              <w:top w:w="80" w:type="dxa"/>
              <w:start w:w="120" w:type="dxa"/>
              <w:bottom w:w="80" w:type="dxa"/>
              <w:end w:w="120" w:type="dxa"/>
            </w:tcMar>
          </w:tcPr>
          <w:p>
            <w:pPr>
              <w:spacing w:before="0" w:after="60" w:line="276" w:lineRule="auto"/>
            </w:pPr>
            <w:r>
              <w:rPr>
                <w:rFonts w:ascii="Calibri" w:hAnsi="Calibri"/>
                <w:b w:val="0"/>
                <w:color w:val="0B2545"/>
                <w:sz w:val="19"/>
              </w:rPr>
              <w:t>Safety activation was canceled</w:t>
            </w:r>
          </w:p>
        </w:tc>
        <w:tc>
          <w:tcPr>
            <w:tcW w:type="dxa" w:w="3000"/>
            <w:vAlign w:val="center"/>
            <w:tcMar>
              <w:top w:w="80" w:type="dxa"/>
              <w:start w:w="120" w:type="dxa"/>
              <w:bottom w:w="80" w:type="dxa"/>
              <w:end w:w="120" w:type="dxa"/>
            </w:tcMar>
          </w:tcPr>
          <w:p>
            <w:pPr>
              <w:spacing w:before="0" w:after="60" w:line="276" w:lineRule="auto"/>
            </w:pPr>
            <w:r>
              <w:rPr>
                <w:rFonts w:ascii="Calibri" w:hAnsi="Calibri"/>
                <w:b w:val="0"/>
                <w:color w:val="0B2545"/>
                <w:sz w:val="19"/>
              </w:rPr>
              <w:t>The signed-in admin did not confirm review of both displayed versions.</w:t>
            </w:r>
          </w:p>
        </w:tc>
        <w:tc>
          <w:tcPr>
            <w:tcW w:type="dxa" w:w="3760"/>
            <w:vAlign w:val="center"/>
            <w:tcMar>
              <w:top w:w="80" w:type="dxa"/>
              <w:start w:w="120" w:type="dxa"/>
              <w:bottom w:w="80" w:type="dxa"/>
              <w:end w:w="120" w:type="dxa"/>
            </w:tcMar>
          </w:tcPr>
          <w:p>
            <w:pPr>
              <w:spacing w:before="0" w:after="60" w:line="276" w:lineRule="auto"/>
            </w:pPr>
            <w:r>
              <w:rPr>
                <w:rFonts w:ascii="Calibri" w:hAnsi="Calibri"/>
                <w:b w:val="0"/>
                <w:color w:val="0B2545"/>
                <w:sz w:val="19"/>
              </w:rPr>
              <w:t>Re-read the rule and content, then accept the safety confirmation when ready.</w:t>
            </w:r>
          </w:p>
        </w:tc>
      </w:tr>
      <w:tr>
        <w:trPr>
          <w:cantSplit/>
        </w:trPr>
        <w:tc>
          <w:tcPr>
            <w:tcW w:type="dxa" w:w="2600"/>
            <w:vAlign w:val="center"/>
            <w:tcMar>
              <w:top w:w="80" w:type="dxa"/>
              <w:start w:w="120" w:type="dxa"/>
              <w:bottom w:w="80" w:type="dxa"/>
              <w:end w:w="120" w:type="dxa"/>
            </w:tcMar>
          </w:tcPr>
          <w:p>
            <w:pPr>
              <w:spacing w:before="0" w:after="60" w:line="276" w:lineRule="auto"/>
            </w:pPr>
            <w:r>
              <w:rPr>
                <w:rFonts w:ascii="Calibri" w:hAnsi="Calibri"/>
                <w:b w:val="0"/>
                <w:color w:val="0B2545"/>
                <w:sz w:val="19"/>
              </w:rPr>
              <w:t>No optional question appears</w:t>
            </w:r>
          </w:p>
        </w:tc>
        <w:tc>
          <w:tcPr>
            <w:tcW w:type="dxa" w:w="3000"/>
            <w:vAlign w:val="center"/>
            <w:tcMar>
              <w:top w:w="80" w:type="dxa"/>
              <w:start w:w="120" w:type="dxa"/>
              <w:bottom w:w="80" w:type="dxa"/>
              <w:end w:w="120" w:type="dxa"/>
            </w:tcMar>
          </w:tcPr>
          <w:p>
            <w:pPr>
              <w:spacing w:before="0" w:after="60" w:line="276" w:lineRule="auto"/>
            </w:pPr>
            <w:r>
              <w:rPr>
                <w:rFonts w:ascii="Calibri" w:hAnsi="Calibri"/>
                <w:b w:val="0"/>
                <w:color w:val="0B2545"/>
                <w:sz w:val="19"/>
              </w:rPr>
              <w:t>Questions are DRAFT or prior answer cooldown applies.</w:t>
            </w:r>
          </w:p>
        </w:tc>
        <w:tc>
          <w:tcPr>
            <w:tcW w:type="dxa" w:w="3760"/>
            <w:vAlign w:val="center"/>
            <w:tcMar>
              <w:top w:w="80" w:type="dxa"/>
              <w:start w:w="120" w:type="dxa"/>
              <w:bottom w:w="80" w:type="dxa"/>
              <w:end w:w="120" w:type="dxa"/>
            </w:tcMar>
          </w:tcPr>
          <w:p>
            <w:pPr>
              <w:spacing w:before="0" w:after="60" w:line="276" w:lineRule="auto"/>
            </w:pPr>
            <w:r>
              <w:rPr>
                <w:rFonts w:ascii="Calibri" w:hAnsi="Calibri"/>
                <w:b w:val="0"/>
                <w:color w:val="0B2545"/>
                <w:sz w:val="19"/>
              </w:rPr>
              <w:t>Verify approved question status and answer/snooze history.</w:t>
            </w:r>
          </w:p>
        </w:tc>
      </w:tr>
      <w:tr>
        <w:trPr>
          <w:cantSplit/>
        </w:trPr>
        <w:tc>
          <w:tcPr>
            <w:tcW w:type="dxa" w:w="2600"/>
            <w:vAlign w:val="center"/>
            <w:tcMar>
              <w:top w:w="80" w:type="dxa"/>
              <w:start w:w="120" w:type="dxa"/>
              <w:bottom w:w="80" w:type="dxa"/>
              <w:end w:w="120" w:type="dxa"/>
            </w:tcMar>
          </w:tcPr>
          <w:p>
            <w:pPr>
              <w:spacing w:before="0" w:after="60" w:line="276" w:lineRule="auto"/>
            </w:pPr>
            <w:r>
              <w:rPr>
                <w:rFonts w:ascii="Calibri" w:hAnsi="Calibri"/>
                <w:b w:val="0"/>
                <w:color w:val="0B2545"/>
                <w:sz w:val="19"/>
              </w:rPr>
              <w:t>No recommendation appears</w:t>
            </w:r>
          </w:p>
        </w:tc>
        <w:tc>
          <w:tcPr>
            <w:tcW w:type="dxa" w:w="3000"/>
            <w:vAlign w:val="center"/>
            <w:tcMar>
              <w:top w:w="80" w:type="dxa"/>
              <w:start w:w="120" w:type="dxa"/>
              <w:bottom w:w="80" w:type="dxa"/>
              <w:end w:w="120" w:type="dxa"/>
            </w:tcMar>
          </w:tcPr>
          <w:p>
            <w:pPr>
              <w:spacing w:before="0" w:after="60" w:line="276" w:lineRule="auto"/>
            </w:pPr>
            <w:r>
              <w:rPr>
                <w:rFonts w:ascii="Calibri" w:hAnsi="Calibri"/>
                <w:b w:val="0"/>
                <w:color w:val="0B2545"/>
                <w:sz w:val="19"/>
              </w:rPr>
              <w:t>Rule/content inactive, pause active, kill switch active, or signal UNKNOWN/FALSE.</w:t>
            </w:r>
          </w:p>
        </w:tc>
        <w:tc>
          <w:tcPr>
            <w:tcW w:type="dxa" w:w="3760"/>
            <w:vAlign w:val="center"/>
            <w:tcMar>
              <w:top w:w="80" w:type="dxa"/>
              <w:start w:w="120" w:type="dxa"/>
              <w:bottom w:w="80" w:type="dxa"/>
              <w:end w:w="120" w:type="dxa"/>
            </w:tcMar>
          </w:tcPr>
          <w:p>
            <w:pPr>
              <w:spacing w:before="0" w:after="60" w:line="276" w:lineRule="auto"/>
            </w:pPr>
            <w:r>
              <w:rPr>
                <w:rFonts w:ascii="Calibri" w:hAnsi="Calibri"/>
                <w:b w:val="0"/>
                <w:color w:val="0B2545"/>
                <w:sz w:val="19"/>
              </w:rPr>
              <w:t>Check each gate and create known test evidence.</w:t>
            </w:r>
          </w:p>
        </w:tc>
      </w:tr>
      <w:tr>
        <w:trPr>
          <w:cantSplit/>
        </w:trPr>
        <w:tc>
          <w:tcPr>
            <w:tcW w:type="dxa" w:w="2600"/>
            <w:vAlign w:val="center"/>
            <w:tcMar>
              <w:top w:w="80" w:type="dxa"/>
              <w:start w:w="120" w:type="dxa"/>
              <w:bottom w:w="80" w:type="dxa"/>
              <w:end w:w="120" w:type="dxa"/>
            </w:tcMar>
          </w:tcPr>
          <w:p>
            <w:pPr>
              <w:spacing w:before="0" w:after="60" w:line="276" w:lineRule="auto"/>
            </w:pPr>
            <w:r>
              <w:rPr>
                <w:rFonts w:ascii="Calibri" w:hAnsi="Calibri"/>
                <w:b w:val="0"/>
                <w:color w:val="0B2545"/>
                <w:sz w:val="19"/>
              </w:rPr>
              <w:t>Recommendation appears in one module only</w:t>
            </w:r>
          </w:p>
        </w:tc>
        <w:tc>
          <w:tcPr>
            <w:tcW w:type="dxa" w:w="3000"/>
            <w:vAlign w:val="center"/>
            <w:tcMar>
              <w:top w:w="80" w:type="dxa"/>
              <w:start w:w="120" w:type="dxa"/>
              <w:bottom w:w="80" w:type="dxa"/>
              <w:end w:w="120" w:type="dxa"/>
            </w:tcMar>
          </w:tcPr>
          <w:p>
            <w:pPr>
              <w:spacing w:before="0" w:after="60" w:line="276" w:lineRule="auto"/>
            </w:pPr>
            <w:r>
              <w:rPr>
                <w:rFonts w:ascii="Calibri" w:hAnsi="Calibri"/>
                <w:b w:val="0"/>
                <w:color w:val="0B2545"/>
                <w:sz w:val="19"/>
              </w:rPr>
              <w:t>Stale frontend cache or module request failure.</w:t>
            </w:r>
          </w:p>
        </w:tc>
        <w:tc>
          <w:tcPr>
            <w:tcW w:type="dxa" w:w="3760"/>
            <w:vAlign w:val="center"/>
            <w:tcMar>
              <w:top w:w="80" w:type="dxa"/>
              <w:start w:w="120" w:type="dxa"/>
              <w:bottom w:w="80" w:type="dxa"/>
              <w:end w:w="120" w:type="dxa"/>
            </w:tcMar>
          </w:tcPr>
          <w:p>
            <w:pPr>
              <w:spacing w:before="0" w:after="60" w:line="276" w:lineRule="auto"/>
            </w:pPr>
            <w:r>
              <w:rPr>
                <w:rFonts w:ascii="Calibri" w:hAnsi="Calibri"/>
                <w:b w:val="0"/>
                <w:color w:val="0B2545"/>
                <w:sz w:val="19"/>
              </w:rPr>
              <w:t>Refresh and inspect dashboard, maintenance, and health module responses.</w:t>
            </w:r>
          </w:p>
        </w:tc>
      </w:tr>
      <w:tr>
        <w:trPr>
          <w:cantSplit/>
        </w:trPr>
        <w:tc>
          <w:tcPr>
            <w:tcW w:type="dxa" w:w="2600"/>
            <w:vAlign w:val="center"/>
            <w:tcMar>
              <w:top w:w="80" w:type="dxa"/>
              <w:start w:w="120" w:type="dxa"/>
              <w:bottom w:w="80" w:type="dxa"/>
              <w:end w:w="120" w:type="dxa"/>
            </w:tcMar>
          </w:tcPr>
          <w:p>
            <w:pPr>
              <w:spacing w:before="0" w:after="60" w:line="276" w:lineRule="auto"/>
            </w:pPr>
            <w:r>
              <w:rPr>
                <w:rFonts w:ascii="Calibri" w:hAnsi="Calibri"/>
                <w:b w:val="0"/>
                <w:color w:val="0B2545"/>
                <w:sz w:val="19"/>
              </w:rPr>
              <w:t>Property guidance requires profile enablement</w:t>
            </w:r>
          </w:p>
        </w:tc>
        <w:tc>
          <w:tcPr>
            <w:tcW w:type="dxa" w:w="3000"/>
            <w:vAlign w:val="center"/>
            <w:tcMar>
              <w:top w:w="80" w:type="dxa"/>
              <w:start w:w="120" w:type="dxa"/>
              <w:bottom w:w="80" w:type="dxa"/>
              <w:end w:w="120" w:type="dxa"/>
            </w:tcMar>
          </w:tcPr>
          <w:p>
            <w:pPr>
              <w:spacing w:before="0" w:after="60" w:line="276" w:lineRule="auto"/>
            </w:pPr>
            <w:r>
              <w:rPr>
                <w:rFonts w:ascii="Calibri" w:hAnsi="Calibri"/>
                <w:b w:val="0"/>
                <w:color w:val="0B2545"/>
                <w:sz w:val="19"/>
              </w:rPr>
              <w:t>Regression to obsolete gating behavior.</w:t>
            </w:r>
          </w:p>
        </w:tc>
        <w:tc>
          <w:tcPr>
            <w:tcW w:type="dxa" w:w="3760"/>
            <w:vAlign w:val="center"/>
            <w:tcMar>
              <w:top w:w="80" w:type="dxa"/>
              <w:start w:w="120" w:type="dxa"/>
              <w:bottom w:w="80" w:type="dxa"/>
              <w:end w:w="120" w:type="dxa"/>
            </w:tcMar>
          </w:tcPr>
          <w:p>
            <w:pPr>
              <w:spacing w:before="0" w:after="60" w:line="276" w:lineRule="auto"/>
            </w:pPr>
            <w:r>
              <w:rPr>
                <w:rFonts w:ascii="Calibri" w:hAnsi="Calibri"/>
                <w:b w:val="0"/>
                <w:color w:val="0B2545"/>
                <w:sz w:val="19"/>
              </w:rPr>
              <w:t>NO-GO; restore default property access before activation.</w:t>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Pr>
        <w:rFonts w:ascii="Calibri" w:hAnsi="Calibri"/>
        <w:color w:val="5B6573"/>
        <w:sz w:val="17"/>
      </w:rPr>
      <w:t>Internal reference  •  Updated July 15, 2026</w:t>
      <w:tab/>
      <w:t xml:space="preserve">Page </w:t>
    </w:r>
    <w:r>
      <w:rPr>
        <w:rFonts w:ascii="Calibri" w:hAnsi="Calibri"/>
        <w:color w:val="5B6573"/>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5B6573"/>
        <w:sz w:val="17"/>
      </w:rPr>
      <w:t>CONTRACTTOCOZY  /  PERSONALIZATION OPERATIONS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pPr>
        <w:tabs>
          <w:tab w:val="num" w:pos="540"/>
        </w:tabs>
        <w:ind w:left="540" w:hanging="270"/>
        <w:spacing w:after="80" w:line="300" w:lineRule="auto"/>
      </w:pPr>
      <w:rPr>
        <w:rFonts w:ascii="Calibri" w:hAnsi="Calibri"/>
      </w:rPr>
    </w:lvl>
  </w:abstractNum>
  <w:num w:numId="10">
    <w:abstractNumId w:val="9"/>
  </w:num>
  <w:abstractNum w:abstractNumId="10">
    <w:multiLevelType w:val="singleLevel"/>
    <w:lvl w:ilvl="0">
      <w:start w:val="1"/>
      <w:numFmt w:val="decimal"/>
      <w:lvlText w:val="%1."/>
      <w:suff w:val="tab"/>
      <w:pPr>
        <w:tabs>
          <w:tab w:val="num" w:pos="540"/>
        </w:tabs>
        <w:ind w:left="540" w:hanging="270"/>
        <w:spacing w:after="80" w:line="300" w:lineRule="auto"/>
      </w:pPr>
      <w:rPr>
        <w:rFonts w:ascii="Calibri" w:hAnsi="Calibri"/>
      </w:rPr>
    </w:lvl>
  </w:abstractNum>
  <w:num w:numId="11">
    <w:abstractNumId w:val="10"/>
  </w:num>
  <w:abstractNum w:abstractNumId="11">
    <w:multiLevelType w:val="singleLevel"/>
    <w:lvl w:ilvl="0">
      <w:start w:val="1"/>
      <w:numFmt w:val="decimal"/>
      <w:lvlText w:val="%1."/>
      <w:suff w:val="tab"/>
      <w:pPr>
        <w:tabs>
          <w:tab w:val="num" w:pos="540"/>
        </w:tabs>
        <w:ind w:left="540" w:hanging="270"/>
        <w:spacing w:after="80" w:line="300" w:lineRule="auto"/>
      </w:pPr>
      <w:rPr>
        <w:rFonts w:ascii="Calibri" w:hAnsi="Calibri"/>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b w:val="0"/>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ContractToCozy Personalization Operations Runbook</dc:title>
  <dc:subject>Default-on property personalization operations and internal validation</dc:subject>
  <dc:creator>ContractToCozy</dc:creator>
  <cp:keywords>personalization, operations, internal validation, rollback</cp:keywords>
  <dc:description>generated by python-docx</dc:description>
  <cp:lastModifiedBy/>
  <cp:revision>1</cp:revision>
  <dcterms:created xsi:type="dcterms:W3CDTF">2013-12-23T23:15:00Z</dcterms:created>
  <dcterms:modified xsi:type="dcterms:W3CDTF">2013-12-23T23:15:00Z</dcterms:modified>
  <cp:category/>
</cp:coreProperties>
</file>