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Integrated Graph(IG):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452688" cy="18355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83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Contextual Tree(CTree):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1033463" cy="7663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76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1153523" cy="890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523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1252538" cy="934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93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1433942" cy="10810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942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Summary Graph(SGraph):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3052963" cy="2328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963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