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Calibri" w:cs="Calibri" w:eastAsia="Calibri" w:hAnsi="Calibri"/>
          <w:b/>
          <w:bCs/>
          <w:color w:val="0093A8"/>
          <w:sz w:val="32"/>
          <w:szCs w:val="32"/>
        </w:rPr>
        <w:t xml:space="preserve">PRINT TO FRAME ERP SYSTEM</w:t>
      </w:r>
    </w:p>
    <w:p>
      <w:pPr>
        <w:spacing w:after="200"/>
        <w:jc w:val="center"/>
      </w:pPr>
      <w:r>
        <w:rPr>
          <w:rFonts w:ascii="Calibri" w:cs="Calibri" w:eastAsia="Calibri" w:hAnsi="Calibri"/>
          <w:b/>
          <w:bCs/>
          <w:color w:val="0F172A"/>
          <w:sz w:val="26"/>
          <w:szCs w:val="26"/>
        </w:rPr>
        <w:t xml:space="preserve">Frontend UI/UX Standardization &amp; Universal Data Synchronization Comprehensive Audit Plan</w:t>
      </w:r>
    </w:p>
    <w:p>
      <w:pPr>
        <w:spacing w:after="300"/>
        <w:jc w:val="center"/>
      </w:pPr>
      <w:r>
        <w:rPr>
          <w:rFonts w:ascii="Calibri" w:cs="Calibri" w:eastAsia="Calibri" w:hAnsi="Calibri"/>
          <w:i/>
          <w:iCs/>
          <w:color w:val="64748B"/>
          <w:sz w:val="20"/>
          <w:szCs w:val="20"/>
        </w:rPr>
        <w:t xml:space="preserve">Audit Specification, Inspection Matrix, Codebase Deep-Dive &amp; Remediation Methodology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Document ID</w:t>
            </w:r>
          </w:p>
        </w:tc>
        <w:tc>
          <w:tcPr>
            <w:tcW w:type="pct" w:w="25%"/>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9"/>
                <w:szCs w:val="19"/>
              </w:rPr>
              <w:t xml:space="preserve">PTF-AUDIT-PLAN-2026-09-09</w:t>
            </w:r>
          </w:p>
        </w:tc>
        <w:tc>
          <w:tcPr>
            <w:tcW w:type="pct" w:w="25%"/>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System Target</w:t>
            </w:r>
          </w:p>
        </w:tc>
        <w:tc>
          <w:tcPr>
            <w:tcW w:type="pct" w:w="25%"/>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9"/>
                <w:szCs w:val="19"/>
              </w:rPr>
              <w:t xml:space="preserve">Print To Frame ERP (React + Vite + Firebase)</w:t>
            </w:r>
          </w:p>
        </w:tc>
      </w:tr>
      <w:tr>
        <w:tc>
          <w:tcPr>
            <w:tcW w:type="pct" w:w="25%"/>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Target Date</w:t>
            </w:r>
          </w:p>
        </w:tc>
        <w:tc>
          <w:tcPr>
            <w:tcW w:type="pct" w:w="25%"/>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9"/>
                <w:szCs w:val="19"/>
              </w:rPr>
              <w:t xml:space="preserve">2026-09-09</w:t>
            </w:r>
          </w:p>
        </w:tc>
        <w:tc>
          <w:tcPr>
            <w:tcW w:type="pct" w:w="25%"/>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Audit Scope</w:t>
            </w:r>
          </w:p>
        </w:tc>
        <w:tc>
          <w:tcPr>
            <w:tcW w:type="pct" w:w="25%"/>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9"/>
                <w:szCs w:val="19"/>
              </w:rPr>
              <w:t xml:space="preserve">Frontend UI/UX &amp; Universal Sync Architecture</w:t>
            </w:r>
          </w:p>
        </w:tc>
      </w:tr>
      <w:tr>
        <w:tc>
          <w:tcPr>
            <w:tcW w:type="pct" w:w="25%"/>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Current Environment</w:t>
            </w:r>
          </w:p>
        </w:tc>
        <w:tc>
          <w:tcPr>
            <w:tcW w:type="pct" w:w="25%"/>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9"/>
                <w:szCs w:val="19"/>
              </w:rPr>
              <w:t xml:space="preserve">Production / Staging Parity</w:t>
            </w:r>
          </w:p>
        </w:tc>
        <w:tc>
          <w:tcPr>
            <w:tcW w:type="pct" w:w="25%"/>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Review Mode</w:t>
            </w:r>
          </w:p>
        </w:tc>
        <w:tc>
          <w:tcPr>
            <w:tcW w:type="pct" w:w="25%"/>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9"/>
                <w:szCs w:val="19"/>
              </w:rPr>
              <w:t xml:space="preserve">Deep Source Code &amp; Component Static Audit</w:t>
            </w:r>
          </w:p>
        </w:tc>
      </w:tr>
    </w:tbl>
    <w:p>
      <w:pPr>
        <w:spacing w:after="240"/>
      </w:pPr>
    </w:p>
    <w:p>
      <w:pPr>
        <w:pStyle w:val="Heading1"/>
        <w:spacing w:after="140" w:before="280"/>
      </w:pPr>
      <w:r>
        <w:t xml:space="preserve">1. Executive Summary &amp; Objective</w:t>
      </w:r>
    </w:p>
    <w:p>
      <w:pPr>
        <w:spacing w:after="120" w:line="276"/>
      </w:pPr>
      <w:r>
        <w:rPr>
          <w:rFonts w:ascii="Calibri" w:cs="Calibri" w:eastAsia="Calibri" w:hAnsi="Calibri"/>
          <w:b w:val="false"/>
          <w:bCs w:val="false"/>
          <w:color w:val="1E293B"/>
          <w:sz w:val="22"/>
          <w:szCs w:val="22"/>
        </w:rPr>
        <w:t xml:space="preserve">Print To Frame ERP is a centralized Single-Page Application (SPA) orchestrating the complete custom-framing lifecycle from lead generation and quoting through factory fabrication, logistics dispatch, invoicing, and agency partner management. Over rapid feature expansions, the application has accumulated diverse UI component variations and asynchronous data management patterns.</w:t>
      </w:r>
    </w:p>
    <w:p>
      <w:pPr>
        <w:spacing w:after="120" w:line="276"/>
      </w:pPr>
      <w:r>
        <w:rPr>
          <w:rFonts w:ascii="Calibri" w:cs="Calibri" w:eastAsia="Calibri" w:hAnsi="Calibri"/>
          <w:b w:val="false"/>
          <w:bCs w:val="false"/>
          <w:color w:val="1E293B"/>
          <w:sz w:val="22"/>
          <w:szCs w:val="22"/>
        </w:rPr>
        <w:t xml:space="preserve">The objective of this System Review Plan is to perform a deep-dive static and architectural audit of the entire frontend codebase. The review focuses on two vital pillars: (1) UI/UX Standardization (enforcing design tokens, standard common primitives, responsive adaptations, and WCAG accessibility) and (2) Universal Synchronization (ensuring real-time Firestore listeners, optimistic UI updates, cross-module relational IDs, and user profile/messaging states operate seamlessly without data drift or visual flickers).</w:t>
      </w:r>
    </w:p>
    <w:p>
      <w:pPr>
        <w:pStyle w:val="Heading1"/>
        <w:spacing w:after="140" w:before="280"/>
      </w:pPr>
      <w:r>
        <w:t xml:space="preserve">2. Codebase Surface &amp; Audit Scope</w:t>
      </w:r>
    </w:p>
    <w:p>
      <w:pPr>
        <w:spacing w:after="120" w:line="276"/>
      </w:pPr>
      <w:r>
        <w:rPr>
          <w:rFonts w:ascii="Calibri" w:cs="Calibri" w:eastAsia="Calibri" w:hAnsi="Calibri"/>
          <w:b w:val="false"/>
          <w:bCs w:val="false"/>
          <w:color w:val="1E293B"/>
          <w:sz w:val="22"/>
          <w:szCs w:val="22"/>
        </w:rPr>
        <w:t xml:space="preserve">The review encompasses all 8 feature modules, context providers, core services, and common primitives:</w:t>
      </w:r>
    </w:p>
    <w:p>
      <w:pPr>
        <w:pStyle w:val="ListParagraph"/>
        <w:numPr>
          <w:ilvl w:val="0"/>
          <w:numId w:val="1"/>
        </w:numPr>
        <w:spacing w:after="80" w:line="260"/>
      </w:pPr>
      <w:r>
        <w:rPr>
          <w:rFonts w:ascii="Calibri" w:cs="Calibri" w:eastAsia="Calibri" w:hAnsi="Calibri"/>
          <w:b/>
          <w:bCs/>
          <w:color w:val="1E293B"/>
          <w:sz w:val="21"/>
          <w:szCs w:val="21"/>
        </w:rPr>
        <w:t xml:space="preserve">CRM &amp; Sales Engine:</w:t>
      </w:r>
      <w:r>
        <w:rPr>
          <w:rFonts w:ascii="Calibri" w:cs="Calibri" w:eastAsia="Calibri" w:hAnsi="Calibri"/>
          <w:color w:val="1E293B"/>
          <w:sz w:val="21"/>
          <w:szCs w:val="21"/>
        </w:rPr>
        <w:t xml:space="preserve"> Leads (Leads.jsx, LeadCardDetails.jsx), Deals (Deals.jsx), Invoices (Invoices.jsx), Customers (Customers.jsx), Partners (Partners.jsx), Quotation Builder (QuotationBuilder.jsx), and Google Contact Sync.</w:t>
      </w:r>
    </w:p>
    <w:p>
      <w:pPr>
        <w:pStyle w:val="ListParagraph"/>
        <w:numPr>
          <w:ilvl w:val="0"/>
          <w:numId w:val="1"/>
        </w:numPr>
        <w:spacing w:after="80" w:line="260"/>
      </w:pPr>
      <w:r>
        <w:rPr>
          <w:rFonts w:ascii="Calibri" w:cs="Calibri" w:eastAsia="Calibri" w:hAnsi="Calibri"/>
          <w:b/>
          <w:bCs/>
          <w:color w:val="1E293B"/>
          <w:sz w:val="21"/>
          <w:szCs w:val="21"/>
        </w:rPr>
        <w:t xml:space="preserve">Production &amp; Logistics:</w:t>
      </w:r>
      <w:r>
        <w:rPr>
          <w:rFonts w:ascii="Calibri" w:cs="Calibri" w:eastAsia="Calibri" w:hAnsi="Calibri"/>
          <w:color w:val="1E293B"/>
          <w:sz w:val="21"/>
          <w:szCs w:val="21"/>
        </w:rPr>
        <w:t xml:space="preserve"> Factory fabrication work orders (FabricationWorks.jsx, FabricationCardDetails.jsx), Logistics &amp; Dispatch (Logistics.jsx, LogisticsCardDetails.jsx), and Frame Blueprint visualizer.</w:t>
      </w:r>
    </w:p>
    <w:p>
      <w:pPr>
        <w:pStyle w:val="ListParagraph"/>
        <w:numPr>
          <w:ilvl w:val="0"/>
          <w:numId w:val="1"/>
        </w:numPr>
        <w:spacing w:after="80" w:line="260"/>
      </w:pPr>
      <w:r>
        <w:rPr>
          <w:rFonts w:ascii="Calibri" w:cs="Calibri" w:eastAsia="Calibri" w:hAnsi="Calibri"/>
          <w:b/>
          <w:bCs/>
          <w:color w:val="1E293B"/>
          <w:sz w:val="21"/>
          <w:szCs w:val="21"/>
        </w:rPr>
        <w:t xml:space="preserve">Executive Dashboard:</w:t>
      </w:r>
      <w:r>
        <w:rPr>
          <w:rFonts w:ascii="Calibri" w:cs="Calibri" w:eastAsia="Calibri" w:hAnsi="Calibri"/>
          <w:color w:val="1E293B"/>
          <w:sz w:val="21"/>
          <w:szCs w:val="21"/>
        </w:rPr>
        <w:t xml:space="preserve"> Executive KPIs, domain filter cards, operational queues, and notification activity feed (Dashboard.jsx, NotificationsView.jsx).</w:t>
      </w:r>
    </w:p>
    <w:p>
      <w:pPr>
        <w:pStyle w:val="ListParagraph"/>
        <w:numPr>
          <w:ilvl w:val="0"/>
          <w:numId w:val="1"/>
        </w:numPr>
        <w:spacing w:after="80" w:line="260"/>
      </w:pPr>
      <w:r>
        <w:rPr>
          <w:rFonts w:ascii="Calibri" w:cs="Calibri" w:eastAsia="Calibri" w:hAnsi="Calibri"/>
          <w:b/>
          <w:bCs/>
          <w:color w:val="1E293B"/>
          <w:sz w:val="21"/>
          <w:szCs w:val="21"/>
        </w:rPr>
        <w:t xml:space="preserve">Administration &amp; Security:</w:t>
      </w:r>
      <w:r>
        <w:rPr>
          <w:rFonts w:ascii="Calibri" w:cs="Calibri" w:eastAsia="Calibri" w:hAnsi="Calibri"/>
          <w:color w:val="1E293B"/>
          <w:sz w:val="21"/>
          <w:szCs w:val="21"/>
        </w:rPr>
        <w:t xml:space="preserve"> Dynamic RBAC security permissions matrix (PermissionsManager.jsx), system telemetry &amp; database export (AdminPanel.jsx), and staff/user approval database (AgentDatabase.jsx).</w:t>
      </w:r>
    </w:p>
    <w:p>
      <w:pPr>
        <w:pStyle w:val="ListParagraph"/>
        <w:numPr>
          <w:ilvl w:val="0"/>
          <w:numId w:val="1"/>
        </w:numPr>
        <w:spacing w:after="80" w:line="260"/>
      </w:pPr>
      <w:r>
        <w:rPr>
          <w:rFonts w:ascii="Calibri" w:cs="Calibri" w:eastAsia="Calibri" w:hAnsi="Calibri"/>
          <w:b/>
          <w:bCs/>
          <w:color w:val="1E293B"/>
          <w:sz w:val="21"/>
          <w:szCs w:val="21"/>
        </w:rPr>
        <w:t xml:space="preserve">Tools &amp; Real-time Messaging:</w:t>
      </w:r>
      <w:r>
        <w:rPr>
          <w:rFonts w:ascii="Calibri" w:cs="Calibri" w:eastAsia="Calibri" w:hAnsi="Calibri"/>
          <w:color w:val="1E293B"/>
          <w:sz w:val="21"/>
          <w:szCs w:val="21"/>
        </w:rPr>
        <w:t xml:space="preserve"> Algorithmic steel framing cost calculator (CostCalculator.jsx), full-screen chat workspace (Messages.jsx), and mini floating messenger (MiniChatDrawer.jsx).</w:t>
      </w:r>
    </w:p>
    <w:p>
      <w:pPr>
        <w:pStyle w:val="ListParagraph"/>
        <w:numPr>
          <w:ilvl w:val="0"/>
          <w:numId w:val="1"/>
        </w:numPr>
        <w:spacing w:after="80" w:line="260"/>
      </w:pPr>
      <w:r>
        <w:rPr>
          <w:rFonts w:ascii="Calibri" w:cs="Calibri" w:eastAsia="Calibri" w:hAnsi="Calibri"/>
          <w:b/>
          <w:bCs/>
          <w:color w:val="1E293B"/>
          <w:sz w:val="21"/>
          <w:szCs w:val="21"/>
        </w:rPr>
        <w:t xml:space="preserve">Common Shared Primitives:</w:t>
      </w:r>
      <w:r>
        <w:rPr>
          <w:rFonts w:ascii="Calibri" w:cs="Calibri" w:eastAsia="Calibri" w:hAnsi="Calibri"/>
          <w:color w:val="1E293B"/>
          <w:sz w:val="21"/>
          <w:szCs w:val="21"/>
        </w:rPr>
        <w:t xml:space="preserve"> Standard PageHeader, FilterBar, StatusBadge, SortableTable, UserAvatar, TwoToneIcon, ActivityTimeline, and the DetailModal compound component suite.</w:t>
      </w:r>
    </w:p>
    <w:p>
      <w:pPr>
        <w:pStyle w:val="ListParagraph"/>
        <w:numPr>
          <w:ilvl w:val="0"/>
          <w:numId w:val="1"/>
        </w:numPr>
        <w:spacing w:after="80" w:line="260"/>
      </w:pPr>
      <w:r>
        <w:rPr>
          <w:rFonts w:ascii="Calibri" w:cs="Calibri" w:eastAsia="Calibri" w:hAnsi="Calibri"/>
          <w:b/>
          <w:bCs/>
          <w:color w:val="1E293B"/>
          <w:sz w:val="21"/>
          <w:szCs w:val="21"/>
        </w:rPr>
        <w:t xml:space="preserve">State &amp; Data Services:</w:t>
      </w:r>
      <w:r>
        <w:rPr>
          <w:rFonts w:ascii="Calibri" w:cs="Calibri" w:eastAsia="Calibri" w:hAnsi="Calibri"/>
          <w:color w:val="1E293B"/>
          <w:sz w:val="21"/>
          <w:szCs w:val="21"/>
        </w:rPr>
        <w:t xml:space="preserve"> Firebase configuration (firebase.js), real-time Firestore CRUD &amp; subscriptions (firestoreSync.js), audit logging (auditLog.js), and messaging state (MessagingContext.jsx).</w:t>
      </w:r>
    </w:p>
    <w:p>
      <w:pPr>
        <w:pStyle w:val="Heading1"/>
        <w:spacing w:after="140" w:before="280"/>
      </w:pPr>
      <w:r>
        <w:t xml:space="preserve">3. Six Core Review Pillars</w:t>
      </w:r>
    </w:p>
    <w:p>
      <w:pPr>
        <w:spacing w:after="120" w:line="276"/>
      </w:pPr>
      <w:r>
        <w:rPr>
          <w:rFonts w:ascii="Calibri" w:cs="Calibri" w:eastAsia="Calibri" w:hAnsi="Calibri"/>
          <w:b w:val="false"/>
          <w:bCs w:val="false"/>
          <w:color w:val="1E293B"/>
          <w:sz w:val="22"/>
          <w:szCs w:val="22"/>
        </w:rPr>
        <w:t xml:space="preserve">The deep-code evaluation is structured across six systematic inspection vectors:</w:t>
      </w:r>
    </w:p>
    <w:p>
      <w:pPr>
        <w:pStyle w:val="Heading2"/>
        <w:spacing w:after="140" w:before="280"/>
      </w:pPr>
      <w:r>
        <w:t xml:space="preserve">Pillar 1: Design Tokens, Theming &amp; Visual Hierarchy</w:t>
      </w:r>
    </w:p>
    <w:p>
      <w:pPr>
        <w:pStyle w:val="ListParagraph"/>
        <w:numPr>
          <w:ilvl w:val="0"/>
          <w:numId w:val="1"/>
        </w:numPr>
        <w:spacing w:after="80" w:line="260"/>
      </w:pPr>
      <w:r>
        <w:rPr>
          <w:rFonts w:ascii="Calibri" w:cs="Calibri" w:eastAsia="Calibri" w:hAnsi="Calibri"/>
          <w:b/>
          <w:bCs/>
          <w:color w:val="1E293B"/>
          <w:sz w:val="21"/>
          <w:szCs w:val="21"/>
        </w:rPr>
        <w:t xml:space="preserve">Token Adherence:</w:t>
      </w:r>
      <w:r>
        <w:rPr>
          <w:rFonts w:ascii="Calibri" w:cs="Calibri" w:eastAsia="Calibri" w:hAnsi="Calibri"/>
          <w:color w:val="1E293B"/>
          <w:sz w:val="21"/>
          <w:szCs w:val="21"/>
        </w:rPr>
        <w:t xml:space="preserve"> Verify consistent usage of semantic CSS variables (--color-surface, --color-primary, --color-outline, --color-status-*) against hardcoded Tailwind palette classes (e.g. raw slate, blue, emerald).</w:t>
      </w:r>
    </w:p>
    <w:p>
      <w:pPr>
        <w:pStyle w:val="ListParagraph"/>
        <w:numPr>
          <w:ilvl w:val="0"/>
          <w:numId w:val="1"/>
        </w:numPr>
        <w:spacing w:after="80" w:line="260"/>
      </w:pPr>
      <w:r>
        <w:rPr>
          <w:rFonts w:ascii="Calibri" w:cs="Calibri" w:eastAsia="Calibri" w:hAnsi="Calibri"/>
          <w:b/>
          <w:bCs/>
          <w:color w:val="1E293B"/>
          <w:sz w:val="21"/>
          <w:szCs w:val="21"/>
        </w:rPr>
        <w:t xml:space="preserve">Light/Dark Parity:</w:t>
      </w:r>
      <w:r>
        <w:rPr>
          <w:rFonts w:ascii="Calibri" w:cs="Calibri" w:eastAsia="Calibri" w:hAnsi="Calibri"/>
          <w:color w:val="1E293B"/>
          <w:sz w:val="21"/>
          <w:szCs w:val="21"/>
        </w:rPr>
        <w:t xml:space="preserve"> Evaluate contrast compliance between dark mode and [data-theme='light'] modes, specifically ensuring status badge text switches to WCAG AA-compliant dark tints (-on variants).</w:t>
      </w:r>
    </w:p>
    <w:p>
      <w:pPr>
        <w:pStyle w:val="ListParagraph"/>
        <w:numPr>
          <w:ilvl w:val="0"/>
          <w:numId w:val="1"/>
        </w:numPr>
        <w:spacing w:after="80" w:line="260"/>
      </w:pPr>
      <w:r>
        <w:rPr>
          <w:rFonts w:ascii="Calibri" w:cs="Calibri" w:eastAsia="Calibri" w:hAnsi="Calibri"/>
          <w:b/>
          <w:bCs/>
          <w:color w:val="1E293B"/>
          <w:sz w:val="21"/>
          <w:szCs w:val="21"/>
        </w:rPr>
        <w:t xml:space="preserve">Typography Scale:</w:t>
      </w:r>
      <w:r>
        <w:rPr>
          <w:rFonts w:ascii="Calibri" w:cs="Calibri" w:eastAsia="Calibri" w:hAnsi="Calibri"/>
          <w:color w:val="1E293B"/>
          <w:sz w:val="21"/>
          <w:szCs w:val="21"/>
        </w:rPr>
        <w:t xml:space="preserve"> Enforce consistent typography pairing: Poppins/Inter (UI sans), Hanken Grotesk (display titles), and JetBrains Mono (financial sums, IDs, and timestamps).</w:t>
      </w:r>
    </w:p>
    <w:p>
      <w:pPr>
        <w:pStyle w:val="ListParagraph"/>
        <w:numPr>
          <w:ilvl w:val="0"/>
          <w:numId w:val="1"/>
        </w:numPr>
        <w:spacing w:after="80" w:line="260"/>
      </w:pPr>
      <w:r>
        <w:rPr>
          <w:rFonts w:ascii="Calibri" w:cs="Calibri" w:eastAsia="Calibri" w:hAnsi="Calibri"/>
          <w:b/>
          <w:bCs/>
          <w:color w:val="1E293B"/>
          <w:sz w:val="21"/>
          <w:szCs w:val="21"/>
        </w:rPr>
        <w:t xml:space="preserve">Surface Elevation:</w:t>
      </w:r>
      <w:r>
        <w:rPr>
          <w:rFonts w:ascii="Calibri" w:cs="Calibri" w:eastAsia="Calibri" w:hAnsi="Calibri"/>
          <w:color w:val="1E293B"/>
          <w:sz w:val="21"/>
          <w:szCs w:val="21"/>
        </w:rPr>
        <w:t xml:space="preserve"> Standardize card elevations (bg-surface-container/60), subtle cyan glows, border radii (rounded-2xl), and glassmorphism backdrops.</w:t>
      </w:r>
    </w:p>
    <w:p>
      <w:pPr>
        <w:pStyle w:val="Heading2"/>
        <w:spacing w:after="140" w:before="280"/>
      </w:pPr>
      <w:r>
        <w:t xml:space="preserve">Pillar 2: UI Component Reuse &amp; Common Primitive Adoption</w:t>
      </w:r>
    </w:p>
    <w:p>
      <w:pPr>
        <w:pStyle w:val="ListParagraph"/>
        <w:numPr>
          <w:ilvl w:val="0"/>
          <w:numId w:val="1"/>
        </w:numPr>
        <w:spacing w:after="80" w:line="260"/>
      </w:pPr>
      <w:r>
        <w:rPr>
          <w:rFonts w:ascii="Calibri" w:cs="Calibri" w:eastAsia="Calibri" w:hAnsi="Calibri"/>
          <w:b/>
          <w:bCs/>
          <w:color w:val="1E293B"/>
          <w:sz w:val="21"/>
          <w:szCs w:val="21"/>
        </w:rPr>
        <w:t xml:space="preserve">PageHeader Consistency:</w:t>
      </w:r>
      <w:r>
        <w:rPr>
          <w:rFonts w:ascii="Calibri" w:cs="Calibri" w:eastAsia="Calibri" w:hAnsi="Calibri"/>
          <w:color w:val="1E293B"/>
          <w:sz w:val="21"/>
          <w:szCs w:val="21"/>
        </w:rPr>
        <w:t xml:space="preserve"> Identify views with raw &lt;h1&gt; or custom headers (e.g., CostCalculator.jsx, QuotationBuilder.jsx) and replace them with standard &lt;PageHeader&gt; and metric pills.</w:t>
      </w:r>
    </w:p>
    <w:p>
      <w:pPr>
        <w:pStyle w:val="ListParagraph"/>
        <w:numPr>
          <w:ilvl w:val="0"/>
          <w:numId w:val="1"/>
        </w:numPr>
        <w:spacing w:after="80" w:line="260"/>
      </w:pPr>
      <w:r>
        <w:rPr>
          <w:rFonts w:ascii="Calibri" w:cs="Calibri" w:eastAsia="Calibri" w:hAnsi="Calibri"/>
          <w:b/>
          <w:bCs/>
          <w:color w:val="1E293B"/>
          <w:sz w:val="21"/>
          <w:szCs w:val="21"/>
        </w:rPr>
        <w:t xml:space="preserve">FilterBar Adoption:</w:t>
      </w:r>
      <w:r>
        <w:rPr>
          <w:rFonts w:ascii="Calibri" w:cs="Calibri" w:eastAsia="Calibri" w:hAnsi="Calibri"/>
          <w:color w:val="1E293B"/>
          <w:sz w:val="21"/>
          <w:szCs w:val="21"/>
        </w:rPr>
        <w:t xml:space="preserve"> Ensure all views with tab or search filtering use &lt;FilterBar&gt; with standard counts and pill highlights.</w:t>
      </w:r>
    </w:p>
    <w:p>
      <w:pPr>
        <w:pStyle w:val="ListParagraph"/>
        <w:numPr>
          <w:ilvl w:val="0"/>
          <w:numId w:val="1"/>
        </w:numPr>
        <w:spacing w:after="80" w:line="260"/>
      </w:pPr>
      <w:r>
        <w:rPr>
          <w:rFonts w:ascii="Calibri" w:cs="Calibri" w:eastAsia="Calibri" w:hAnsi="Calibri"/>
          <w:b/>
          <w:bCs/>
          <w:color w:val="1E293B"/>
          <w:sz w:val="21"/>
          <w:szCs w:val="21"/>
        </w:rPr>
        <w:t xml:space="preserve">StatusBadge Primitives:</w:t>
      </w:r>
      <w:r>
        <w:rPr>
          <w:rFonts w:ascii="Calibri" w:cs="Calibri" w:eastAsia="Calibri" w:hAnsi="Calibri"/>
          <w:color w:val="1E293B"/>
          <w:sz w:val="21"/>
          <w:szCs w:val="21"/>
        </w:rPr>
        <w:t xml:space="preserve"> Enforce &lt;StatusBadge&gt; with uniform pulse/dot indicators over ad-hoc status pills.</w:t>
      </w:r>
    </w:p>
    <w:p>
      <w:pPr>
        <w:pStyle w:val="ListParagraph"/>
        <w:numPr>
          <w:ilvl w:val="0"/>
          <w:numId w:val="1"/>
        </w:numPr>
        <w:spacing w:after="80" w:line="260"/>
      </w:pPr>
      <w:r>
        <w:rPr>
          <w:rFonts w:ascii="Calibri" w:cs="Calibri" w:eastAsia="Calibri" w:hAnsi="Calibri"/>
          <w:b/>
          <w:bCs/>
          <w:color w:val="1E293B"/>
          <w:sz w:val="21"/>
          <w:szCs w:val="21"/>
        </w:rPr>
        <w:t xml:space="preserve">UserAvatar Standardization:</w:t>
      </w:r>
      <w:r>
        <w:rPr>
          <w:rFonts w:ascii="Calibri" w:cs="Calibri" w:eastAsia="Calibri" w:hAnsi="Calibri"/>
          <w:color w:val="1E293B"/>
          <w:sz w:val="21"/>
          <w:szCs w:val="21"/>
        </w:rPr>
        <w:t xml:space="preserve"> Validate all user representations against &lt;UserAvatar&gt;, utilizing role-based preset icons and image fallback handling.</w:t>
      </w:r>
    </w:p>
    <w:p>
      <w:pPr>
        <w:pStyle w:val="ListParagraph"/>
        <w:numPr>
          <w:ilvl w:val="0"/>
          <w:numId w:val="1"/>
        </w:numPr>
        <w:spacing w:after="80" w:line="260"/>
      </w:pPr>
      <w:r>
        <w:rPr>
          <w:rFonts w:ascii="Calibri" w:cs="Calibri" w:eastAsia="Calibri" w:hAnsi="Calibri"/>
          <w:b/>
          <w:bCs/>
          <w:color w:val="1E293B"/>
          <w:sz w:val="21"/>
          <w:szCs w:val="21"/>
        </w:rPr>
        <w:t xml:space="preserve">Modal Standardization:</w:t>
      </w:r>
      <w:r>
        <w:rPr>
          <w:rFonts w:ascii="Calibri" w:cs="Calibri" w:eastAsia="Calibri" w:hAnsi="Calibri"/>
          <w:color w:val="1E293B"/>
          <w:sz w:val="21"/>
          <w:szCs w:val="21"/>
        </w:rPr>
        <w:t xml:space="preserve"> Harmonize modal implementations with the &lt;DetailModalLayout&gt; compound component architecture, addressing 84KB monolithic files like LeadCardDetails.jsx.</w:t>
      </w:r>
    </w:p>
    <w:p>
      <w:pPr>
        <w:pStyle w:val="Heading2"/>
        <w:spacing w:after="140" w:before="280"/>
      </w:pPr>
      <w:r>
        <w:t xml:space="preserve">Pillar 3: Universal Real-Time Data Sync Architecture</w:t>
      </w:r>
    </w:p>
    <w:p>
      <w:pPr>
        <w:pStyle w:val="ListParagraph"/>
        <w:numPr>
          <w:ilvl w:val="0"/>
          <w:numId w:val="1"/>
        </w:numPr>
        <w:spacing w:after="80" w:line="260"/>
      </w:pPr>
      <w:r>
        <w:rPr>
          <w:rFonts w:ascii="Calibri" w:cs="Calibri" w:eastAsia="Calibri" w:hAnsi="Calibri"/>
          <w:b/>
          <w:bCs/>
          <w:color w:val="1E293B"/>
          <w:sz w:val="21"/>
          <w:szCs w:val="21"/>
        </w:rPr>
        <w:t xml:space="preserve">Firestore Subscriptions:</w:t>
      </w:r>
      <w:r>
        <w:rPr>
          <w:rFonts w:ascii="Calibri" w:cs="Calibri" w:eastAsia="Calibri" w:hAnsi="Calibri"/>
          <w:color w:val="1E293B"/>
          <w:sz w:val="21"/>
          <w:szCs w:val="21"/>
        </w:rPr>
        <w:t xml:space="preserve"> Audit all subscribeToCollection and onSnapshot listeners in App.jsx and feature views for proper lifecycle teardown and single-source-of-truth subscriptions.</w:t>
      </w:r>
    </w:p>
    <w:p>
      <w:pPr>
        <w:pStyle w:val="ListParagraph"/>
        <w:numPr>
          <w:ilvl w:val="0"/>
          <w:numId w:val="1"/>
        </w:numPr>
        <w:spacing w:after="80" w:line="260"/>
      </w:pPr>
      <w:r>
        <w:rPr>
          <w:rFonts w:ascii="Calibri" w:cs="Calibri" w:eastAsia="Calibri" w:hAnsi="Calibri"/>
          <w:b/>
          <w:bCs/>
          <w:color w:val="1E293B"/>
          <w:sz w:val="21"/>
          <w:szCs w:val="21"/>
        </w:rPr>
        <w:t xml:space="preserve">Optimistic Update Safety:</w:t>
      </w:r>
      <w:r>
        <w:rPr>
          <w:rFonts w:ascii="Calibri" w:cs="Calibri" w:eastAsia="Calibri" w:hAnsi="Calibri"/>
          <w:color w:val="1E293B"/>
          <w:sz w:val="21"/>
          <w:szCs w:val="21"/>
        </w:rPr>
        <w:t xml:space="preserve"> Verify that local optimistic state updates (setInvoices, setLeads, etc.) correctly merge with Firestore snapshot events without UI flickers or rollbacks.</w:t>
      </w:r>
    </w:p>
    <w:p>
      <w:pPr>
        <w:pStyle w:val="ListParagraph"/>
        <w:numPr>
          <w:ilvl w:val="0"/>
          <w:numId w:val="1"/>
        </w:numPr>
        <w:spacing w:after="80" w:line="260"/>
      </w:pPr>
      <w:r>
        <w:rPr>
          <w:rFonts w:ascii="Calibri" w:cs="Calibri" w:eastAsia="Calibri" w:hAnsi="Calibri"/>
          <w:b/>
          <w:bCs/>
          <w:color w:val="1E293B"/>
          <w:sz w:val="21"/>
          <w:szCs w:val="21"/>
        </w:rPr>
        <w:t xml:space="preserve">Batch &amp; Transaction Integrity:</w:t>
      </w:r>
      <w:r>
        <w:rPr>
          <w:rFonts w:ascii="Calibri" w:cs="Calibri" w:eastAsia="Calibri" w:hAnsi="Calibri"/>
          <w:color w:val="1E293B"/>
          <w:sz w:val="21"/>
          <w:szCs w:val="21"/>
        </w:rPr>
        <w:t xml:space="preserve"> Ensure multi-document operations (e.g., invoice settlement, lead conversion) use batchWrite or transactions to prevent partial writes.</w:t>
      </w:r>
    </w:p>
    <w:p>
      <w:pPr>
        <w:pStyle w:val="ListParagraph"/>
        <w:numPr>
          <w:ilvl w:val="0"/>
          <w:numId w:val="1"/>
        </w:numPr>
        <w:spacing w:after="80" w:line="260"/>
      </w:pPr>
      <w:r>
        <w:rPr>
          <w:rFonts w:ascii="Calibri" w:cs="Calibri" w:eastAsia="Calibri" w:hAnsi="Calibri"/>
          <w:b/>
          <w:bCs/>
          <w:color w:val="1E293B"/>
          <w:sz w:val="21"/>
          <w:szCs w:val="21"/>
        </w:rPr>
        <w:t xml:space="preserve">Offline &amp; Stale Data Resilience:</w:t>
      </w:r>
      <w:r>
        <w:rPr>
          <w:rFonts w:ascii="Calibri" w:cs="Calibri" w:eastAsia="Calibri" w:hAnsi="Calibri"/>
          <w:color w:val="1E293B"/>
          <w:sz w:val="21"/>
          <w:szCs w:val="21"/>
        </w:rPr>
        <w:t xml:space="preserve"> Validate network disconnect behavior, offline caching, and error toast feedback via handleFirestoreError.</w:t>
      </w:r>
    </w:p>
    <w:p>
      <w:pPr>
        <w:pStyle w:val="Heading2"/>
        <w:spacing w:after="140" w:before="280"/>
      </w:pPr>
      <w:r>
        <w:t xml:space="preserve">Pillar 4: Cross-Module Relational Data Synchronization</w:t>
      </w:r>
    </w:p>
    <w:p>
      <w:pPr>
        <w:pStyle w:val="ListParagraph"/>
        <w:numPr>
          <w:ilvl w:val="0"/>
          <w:numId w:val="1"/>
        </w:numPr>
        <w:spacing w:after="80" w:line="260"/>
      </w:pPr>
      <w:r>
        <w:rPr>
          <w:rFonts w:ascii="Calibri" w:cs="Calibri" w:eastAsia="Calibri" w:hAnsi="Calibri"/>
          <w:b/>
          <w:bCs/>
          <w:color w:val="1E293B"/>
          <w:sz w:val="21"/>
          <w:szCs w:val="21"/>
        </w:rPr>
        <w:t xml:space="preserve">Entity Traceability:</w:t>
      </w:r>
      <w:r>
        <w:rPr>
          <w:rFonts w:ascii="Calibri" w:cs="Calibri" w:eastAsia="Calibri" w:hAnsi="Calibri"/>
          <w:color w:val="1E293B"/>
          <w:sz w:val="21"/>
          <w:szCs w:val="21"/>
        </w:rPr>
        <w:t xml:space="preserve"> Trace entity handoffs from Lead -&gt; Deal -&gt; Fabrication Project -&gt; Logistics Delivery -&gt; Invoice -&gt; Customer -&gt; Partner commission to ensure identity keys remain linked.</w:t>
      </w:r>
    </w:p>
    <w:p>
      <w:pPr>
        <w:pStyle w:val="ListParagraph"/>
        <w:numPr>
          <w:ilvl w:val="0"/>
          <w:numId w:val="1"/>
        </w:numPr>
        <w:spacing w:after="80" w:line="260"/>
      </w:pPr>
      <w:r>
        <w:rPr>
          <w:rFonts w:ascii="Calibri" w:cs="Calibri" w:eastAsia="Calibri" w:hAnsi="Calibri"/>
          <w:b/>
          <w:bCs/>
          <w:color w:val="1E293B"/>
          <w:sz w:val="21"/>
          <w:szCs w:val="21"/>
        </w:rPr>
        <w:t xml:space="preserve">Identifier Normalization:</w:t>
      </w:r>
      <w:r>
        <w:rPr>
          <w:rFonts w:ascii="Calibri" w:cs="Calibri" w:eastAsia="Calibri" w:hAnsi="Calibri"/>
          <w:color w:val="1E293B"/>
          <w:sz w:val="21"/>
          <w:szCs w:val="21"/>
        </w:rPr>
        <w:t xml:space="preserve"> Eliminate loose coupling (e.g., matching customers purely by string name/phone) in favor of immutable canonical IDs (NIC, customerId, leadId).</w:t>
      </w:r>
    </w:p>
    <w:p>
      <w:pPr>
        <w:pStyle w:val="ListParagraph"/>
        <w:numPr>
          <w:ilvl w:val="0"/>
          <w:numId w:val="1"/>
        </w:numPr>
        <w:spacing w:after="80" w:line="260"/>
      </w:pPr>
      <w:r>
        <w:rPr>
          <w:rFonts w:ascii="Calibri" w:cs="Calibri" w:eastAsia="Calibri" w:hAnsi="Calibri"/>
          <w:b/>
          <w:bCs/>
          <w:color w:val="1E293B"/>
          <w:sz w:val="21"/>
          <w:szCs w:val="21"/>
        </w:rPr>
        <w:t xml:space="preserve">Automated State Progression:</w:t>
      </w:r>
      <w:r>
        <w:rPr>
          <w:rFonts w:ascii="Calibri" w:cs="Calibri" w:eastAsia="Calibri" w:hAnsi="Calibri"/>
          <w:color w:val="1E293B"/>
          <w:sz w:val="21"/>
          <w:szCs w:val="21"/>
        </w:rPr>
        <w:t xml:space="preserve"> Ensure status advancements automatically propagate (e.g., Advance invoice payment triggering fabrication assembly authorization).</w:t>
      </w:r>
    </w:p>
    <w:p>
      <w:pPr>
        <w:pStyle w:val="Heading2"/>
        <w:spacing w:after="140" w:before="280"/>
      </w:pPr>
      <w:r>
        <w:t xml:space="preserve">Pillar 5: User Session, Profile &amp; Messaging Sync</w:t>
      </w:r>
    </w:p>
    <w:p>
      <w:pPr>
        <w:pStyle w:val="ListParagraph"/>
        <w:numPr>
          <w:ilvl w:val="0"/>
          <w:numId w:val="1"/>
        </w:numPr>
        <w:spacing w:after="80" w:line="260"/>
      </w:pPr>
      <w:r>
        <w:rPr>
          <w:rFonts w:ascii="Calibri" w:cs="Calibri" w:eastAsia="Calibri" w:hAnsi="Calibri"/>
          <w:b/>
          <w:bCs/>
          <w:color w:val="1E293B"/>
          <w:sz w:val="21"/>
          <w:szCs w:val="21"/>
        </w:rPr>
        <w:t xml:space="preserve">Session &amp; Profile Sync:</w:t>
      </w:r>
      <w:r>
        <w:rPr>
          <w:rFonts w:ascii="Calibri" w:cs="Calibri" w:eastAsia="Calibri" w:hAnsi="Calibri"/>
          <w:color w:val="1E293B"/>
          <w:sz w:val="21"/>
          <w:szCs w:val="21"/>
        </w:rPr>
        <w:t xml:space="preserve"> Verify that currentUser updates (name, role, avatar) instantly update header, sidebar, profile, and all active chat cards without page reloads.</w:t>
      </w:r>
    </w:p>
    <w:p>
      <w:pPr>
        <w:pStyle w:val="ListParagraph"/>
        <w:numPr>
          <w:ilvl w:val="0"/>
          <w:numId w:val="1"/>
        </w:numPr>
        <w:spacing w:after="80" w:line="260"/>
      </w:pPr>
      <w:r>
        <w:rPr>
          <w:rFonts w:ascii="Calibri" w:cs="Calibri" w:eastAsia="Calibri" w:hAnsi="Calibri"/>
          <w:b/>
          <w:bCs/>
          <w:color w:val="1E293B"/>
          <w:sz w:val="21"/>
          <w:szCs w:val="21"/>
        </w:rPr>
        <w:t xml:space="preserve">Messaging Unread Synchronization:</w:t>
      </w:r>
      <w:r>
        <w:rPr>
          <w:rFonts w:ascii="Calibri" w:cs="Calibri" w:eastAsia="Calibri" w:hAnsi="Calibri"/>
          <w:color w:val="1E293B"/>
          <w:sz w:val="21"/>
          <w:szCs w:val="21"/>
        </w:rPr>
        <w:t xml:space="preserve"> Verify real-time synchronization between MessagingContext unread badges, sidebar notification counters, and floating toast banners.</w:t>
      </w:r>
    </w:p>
    <w:p>
      <w:pPr>
        <w:pStyle w:val="ListParagraph"/>
        <w:numPr>
          <w:ilvl w:val="0"/>
          <w:numId w:val="1"/>
        </w:numPr>
        <w:spacing w:after="80" w:line="260"/>
      </w:pPr>
      <w:r>
        <w:rPr>
          <w:rFonts w:ascii="Calibri" w:cs="Calibri" w:eastAsia="Calibri" w:hAnsi="Calibri"/>
          <w:b/>
          <w:bCs/>
          <w:color w:val="1E293B"/>
          <w:sz w:val="21"/>
          <w:szCs w:val="21"/>
        </w:rPr>
        <w:t xml:space="preserve">Audit Trail Consistency:</w:t>
      </w:r>
      <w:r>
        <w:rPr>
          <w:rFonts w:ascii="Calibri" w:cs="Calibri" w:eastAsia="Calibri" w:hAnsi="Calibri"/>
          <w:color w:val="1E293B"/>
          <w:sz w:val="21"/>
          <w:szCs w:val="21"/>
        </w:rPr>
        <w:t xml:space="preserve"> Ensure every state-mutating operation invokes logActivity() to maintain an unbroken audit trail in the auditLog collection.</w:t>
      </w:r>
    </w:p>
    <w:p>
      <w:pPr>
        <w:pStyle w:val="Heading2"/>
        <w:spacing w:after="140" w:before="280"/>
      </w:pPr>
      <w:r>
        <w:t xml:space="preserve">Pillar 6: Responsive UX &amp; Accessibility (a11y)</w:t>
      </w:r>
    </w:p>
    <w:p>
      <w:pPr>
        <w:pStyle w:val="ListParagraph"/>
        <w:numPr>
          <w:ilvl w:val="0"/>
          <w:numId w:val="1"/>
        </w:numPr>
        <w:spacing w:after="80" w:line="260"/>
      </w:pPr>
      <w:r>
        <w:rPr>
          <w:rFonts w:ascii="Calibri" w:cs="Calibri" w:eastAsia="Calibri" w:hAnsi="Calibri"/>
          <w:b/>
          <w:bCs/>
          <w:color w:val="1E293B"/>
          <w:sz w:val="21"/>
          <w:szCs w:val="21"/>
        </w:rPr>
        <w:t xml:space="preserve">Mobile UX &amp; Touch Targets:</w:t>
      </w:r>
      <w:r>
        <w:rPr>
          <w:rFonts w:ascii="Calibri" w:cs="Calibri" w:eastAsia="Calibri" w:hAnsi="Calibri"/>
          <w:color w:val="1E293B"/>
          <w:sz w:val="21"/>
          <w:szCs w:val="21"/>
        </w:rPr>
        <w:t xml:space="preserve"> Validate touch target compliance (min 44x44px), safe area padding (pb-safe), and overlay sidebar closing on viewport resize.</w:t>
      </w:r>
    </w:p>
    <w:p>
      <w:pPr>
        <w:pStyle w:val="ListParagraph"/>
        <w:numPr>
          <w:ilvl w:val="0"/>
          <w:numId w:val="1"/>
        </w:numPr>
        <w:spacing w:after="80" w:line="260"/>
      </w:pPr>
      <w:r>
        <w:rPr>
          <w:rFonts w:ascii="Calibri" w:cs="Calibri" w:eastAsia="Calibri" w:hAnsi="Calibri"/>
          <w:b/>
          <w:bCs/>
          <w:color w:val="1E293B"/>
          <w:sz w:val="21"/>
          <w:szCs w:val="21"/>
        </w:rPr>
        <w:t xml:space="preserve">Kanban Mobile Responsiveness:</w:t>
      </w:r>
      <w:r>
        <w:rPr>
          <w:rFonts w:ascii="Calibri" w:cs="Calibri" w:eastAsia="Calibri" w:hAnsi="Calibri"/>
          <w:color w:val="1E293B"/>
          <w:sz w:val="21"/>
          <w:szCs w:val="21"/>
        </w:rPr>
        <w:t xml:space="preserve"> Inspect horizontal Kanban snap-scrolling on mobile devices (snap-x-mandatory).</w:t>
      </w:r>
    </w:p>
    <w:p>
      <w:pPr>
        <w:pStyle w:val="ListParagraph"/>
        <w:numPr>
          <w:ilvl w:val="0"/>
          <w:numId w:val="1"/>
        </w:numPr>
        <w:spacing w:after="80" w:line="260"/>
      </w:pPr>
      <w:r>
        <w:rPr>
          <w:rFonts w:ascii="Calibri" w:cs="Calibri" w:eastAsia="Calibri" w:hAnsi="Calibri"/>
          <w:b/>
          <w:bCs/>
          <w:color w:val="1E293B"/>
          <w:sz w:val="21"/>
          <w:szCs w:val="21"/>
        </w:rPr>
        <w:t xml:space="preserve">Accessibility Standards:</w:t>
      </w:r>
      <w:r>
        <w:rPr>
          <w:rFonts w:ascii="Calibri" w:cs="Calibri" w:eastAsia="Calibri" w:hAnsi="Calibri"/>
          <w:color w:val="1E293B"/>
          <w:sz w:val="21"/>
          <w:szCs w:val="21"/>
        </w:rPr>
        <w:t xml:space="preserve"> Audit keyboard accessibility, focus visible rings (:focus-visible), and ARIA labels on icon-only action triggers.</w:t>
      </w:r>
    </w:p>
    <w:p>
      <w:pPr>
        <w:pStyle w:val="Heading1"/>
        <w:spacing w:after="140" w:before="280"/>
      </w:pPr>
      <w:r>
        <w:t xml:space="preserve">4. Review Execution Phases &amp; 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Phase</w:t>
            </w:r>
          </w:p>
        </w:tc>
        <w:tc>
          <w:tcPr>
            <w:tcW w:type="pct" w:w="35%"/>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Task Focus</w:t>
            </w:r>
          </w:p>
        </w:tc>
        <w:tc>
          <w:tcPr>
            <w:tcW w:type="pct" w:w="35%"/>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Methodology &amp; Inspection Action</w:t>
            </w:r>
          </w:p>
        </w:tc>
        <w:tc>
          <w:tcPr>
            <w:tcW w:type="pct" w:w="15%"/>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Deliverable</w:t>
            </w:r>
          </w:p>
        </w:tc>
      </w:tr>
      <w:tr>
        <w:tc>
          <w:tcPr>
            <w:tcW w:type="pct" w:w="15%"/>
            <w:shd w:fill="F8FAFC" w:val="clear"/>
            <w:tcMar>
              <w:top w:type="dxa" w:w="120"/>
              <w:left w:type="dxa" w:w="140"/>
              <w:bottom w:type="dxa" w:w="120"/>
              <w:right w:type="dxa" w:w="140"/>
            </w:tcMar>
          </w:tcPr>
          <w:p>
            <w:pPr>
              <w:jc w:val="left"/>
            </w:pPr>
            <w:r>
              <w:rPr>
                <w:rFonts w:ascii="Calibri" w:cs="Calibri" w:eastAsia="Calibri" w:hAnsi="Calibri"/>
                <w:b/>
                <w:bCs/>
                <w:color w:val="1E293B"/>
                <w:sz w:val="19"/>
                <w:szCs w:val="19"/>
              </w:rPr>
              <w:t xml:space="preserve">Phase 1</w:t>
            </w:r>
          </w:p>
        </w:tc>
        <w:tc>
          <w:tcPr>
            <w:tcW w:type="pct" w:w="35%"/>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9"/>
                <w:szCs w:val="19"/>
              </w:rPr>
              <w:t xml:space="preserve">Static Code &amp; Component Inventory</w:t>
            </w:r>
          </w:p>
        </w:tc>
        <w:tc>
          <w:tcPr>
            <w:tcW w:type="pct" w:w="35%"/>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9"/>
                <w:szCs w:val="19"/>
              </w:rPr>
              <w:t xml:space="preserve">Parse all 23 JSX files in src/components for ad-hoc styles, custom headers, and direct palette classes.</w:t>
            </w:r>
          </w:p>
        </w:tc>
        <w:tc>
          <w:tcPr>
            <w:tcW w:type="pct" w:w="15%"/>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9"/>
                <w:szCs w:val="19"/>
              </w:rPr>
              <w:t xml:space="preserve">Component Matrix</w:t>
            </w:r>
          </w:p>
        </w:tc>
      </w:tr>
      <w:tr>
        <w:tc>
          <w:tcPr>
            <w:tcW w:type="pct" w:w="15%"/>
            <w:shd w:fill="F8FAFC" w:val="clear"/>
            <w:tcMar>
              <w:top w:type="dxa" w:w="120"/>
              <w:left w:type="dxa" w:w="140"/>
              <w:bottom w:type="dxa" w:w="120"/>
              <w:right w:type="dxa" w:w="140"/>
            </w:tcMar>
          </w:tcPr>
          <w:p>
            <w:pPr>
              <w:jc w:val="left"/>
            </w:pPr>
            <w:r>
              <w:rPr>
                <w:rFonts w:ascii="Calibri" w:cs="Calibri" w:eastAsia="Calibri" w:hAnsi="Calibri"/>
                <w:b/>
                <w:bCs/>
                <w:color w:val="1E293B"/>
                <w:sz w:val="19"/>
                <w:szCs w:val="19"/>
              </w:rPr>
              <w:t xml:space="preserve">Phase 2</w:t>
            </w:r>
          </w:p>
        </w:tc>
        <w:tc>
          <w:tcPr>
            <w:tcW w:type="pct" w:w="35%"/>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9"/>
                <w:szCs w:val="19"/>
              </w:rPr>
              <w:t xml:space="preserve">Data Sync &amp; Prop Flow Tracing</w:t>
            </w:r>
          </w:p>
        </w:tc>
        <w:tc>
          <w:tcPr>
            <w:tcW w:type="pct" w:w="35%"/>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9"/>
                <w:szCs w:val="19"/>
              </w:rPr>
              <w:t xml:space="preserve">Map state propagation from App.jsx through CRM, Operations, Tools, and Context providers to detect desync points.</w:t>
            </w:r>
          </w:p>
        </w:tc>
        <w:tc>
          <w:tcPr>
            <w:tcW w:type="pct" w:w="15%"/>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9"/>
                <w:szCs w:val="19"/>
              </w:rPr>
              <w:t xml:space="preserve">Sync Flow Map</w:t>
            </w:r>
          </w:p>
        </w:tc>
      </w:tr>
      <w:tr>
        <w:tc>
          <w:tcPr>
            <w:tcW w:type="pct" w:w="15%"/>
            <w:shd w:fill="F8FAFC" w:val="clear"/>
            <w:tcMar>
              <w:top w:type="dxa" w:w="120"/>
              <w:left w:type="dxa" w:w="140"/>
              <w:bottom w:type="dxa" w:w="120"/>
              <w:right w:type="dxa" w:w="140"/>
            </w:tcMar>
          </w:tcPr>
          <w:p>
            <w:pPr>
              <w:jc w:val="left"/>
            </w:pPr>
            <w:r>
              <w:rPr>
                <w:rFonts w:ascii="Calibri" w:cs="Calibri" w:eastAsia="Calibri" w:hAnsi="Calibri"/>
                <w:b/>
                <w:bCs/>
                <w:color w:val="1E293B"/>
                <w:sz w:val="19"/>
                <w:szCs w:val="19"/>
              </w:rPr>
              <w:t xml:space="preserve">Phase 3</w:t>
            </w:r>
          </w:p>
        </w:tc>
        <w:tc>
          <w:tcPr>
            <w:tcW w:type="pct" w:w="35%"/>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9"/>
                <w:szCs w:val="19"/>
              </w:rPr>
              <w:t xml:space="preserve">Responsive &amp; Theme Audit</w:t>
            </w:r>
          </w:p>
        </w:tc>
        <w:tc>
          <w:tcPr>
            <w:tcW w:type="pct" w:w="35%"/>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9"/>
                <w:szCs w:val="19"/>
              </w:rPr>
              <w:t xml:space="preserve">Verify mobile viewports (360px - 768px), touch targets, and light/dark theme contrast compliance.</w:t>
            </w:r>
          </w:p>
        </w:tc>
        <w:tc>
          <w:tcPr>
            <w:tcW w:type="pct" w:w="15%"/>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9"/>
                <w:szCs w:val="19"/>
              </w:rPr>
              <w:t xml:space="preserve">A11y/Theme Log</w:t>
            </w:r>
          </w:p>
        </w:tc>
      </w:tr>
      <w:tr>
        <w:tc>
          <w:tcPr>
            <w:tcW w:type="pct" w:w="15%"/>
            <w:shd w:fill="F8FAFC" w:val="clear"/>
            <w:tcMar>
              <w:top w:type="dxa" w:w="120"/>
              <w:left w:type="dxa" w:w="140"/>
              <w:bottom w:type="dxa" w:w="120"/>
              <w:right w:type="dxa" w:w="140"/>
            </w:tcMar>
          </w:tcPr>
          <w:p>
            <w:pPr>
              <w:jc w:val="left"/>
            </w:pPr>
            <w:r>
              <w:rPr>
                <w:rFonts w:ascii="Calibri" w:cs="Calibri" w:eastAsia="Calibri" w:hAnsi="Calibri"/>
                <w:b/>
                <w:bCs/>
                <w:color w:val="1E293B"/>
                <w:sz w:val="19"/>
                <w:szCs w:val="19"/>
              </w:rPr>
              <w:t xml:space="preserve">Phase 4</w:t>
            </w:r>
          </w:p>
        </w:tc>
        <w:tc>
          <w:tcPr>
            <w:tcW w:type="pct" w:w="35%"/>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9"/>
                <w:szCs w:val="19"/>
              </w:rPr>
              <w:t xml:space="preserve">Findings Synthesis &amp; Report Generation</w:t>
            </w:r>
          </w:p>
        </w:tc>
        <w:tc>
          <w:tcPr>
            <w:tcW w:type="pct" w:w="35%"/>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9"/>
                <w:szCs w:val="19"/>
              </w:rPr>
              <w:t xml:space="preserve">Compile prioritized issues (P1-P4), code refactor proposals, and generate final Markdown + DOCX audit reports.</w:t>
            </w:r>
          </w:p>
        </w:tc>
        <w:tc>
          <w:tcPr>
            <w:tcW w:type="pct" w:w="15%"/>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9"/>
                <w:szCs w:val="19"/>
              </w:rPr>
              <w:t xml:space="preserve">Audit Reports</w:t>
            </w:r>
          </w:p>
        </w:tc>
      </w:tr>
    </w:tbl>
    <w:p>
      <w:pPr>
        <w:spacing w:after="240"/>
      </w:pPr>
    </w:p>
    <w:p>
      <w:pPr>
        <w:pStyle w:val="Heading1"/>
        <w:spacing w:after="140" w:before="280"/>
      </w:pPr>
      <w:r>
        <w:t xml:space="preserve">5. Verification &amp; Quality Gates</w:t>
      </w:r>
    </w:p>
    <w:p>
      <w:pPr>
        <w:pStyle w:val="ListParagraph"/>
        <w:numPr>
          <w:ilvl w:val="0"/>
          <w:numId w:val="1"/>
        </w:numPr>
        <w:spacing w:after="80" w:line="260"/>
      </w:pPr>
      <w:r>
        <w:rPr>
          <w:rFonts w:ascii="Calibri" w:cs="Calibri" w:eastAsia="Calibri" w:hAnsi="Calibri"/>
          <w:b/>
          <w:bCs/>
          <w:color w:val="1E293B"/>
          <w:sz w:val="21"/>
          <w:szCs w:val="21"/>
        </w:rPr>
        <w:t xml:space="preserve">Unit Test Suite (npm test):</w:t>
      </w:r>
      <w:r>
        <w:rPr>
          <w:rFonts w:ascii="Calibri" w:cs="Calibri" w:eastAsia="Calibri" w:hAnsi="Calibri"/>
          <w:color w:val="1E293B"/>
          <w:sz w:val="21"/>
          <w:szCs w:val="21"/>
        </w:rPr>
        <w:t xml:space="preserve"> Vitest test suite executing in ~2s covering permissions, email templates, and Firebase admin helpers.</w:t>
      </w:r>
    </w:p>
    <w:p>
      <w:pPr>
        <w:pStyle w:val="ListParagraph"/>
        <w:numPr>
          <w:ilvl w:val="0"/>
          <w:numId w:val="1"/>
        </w:numPr>
        <w:spacing w:after="80" w:line="260"/>
      </w:pPr>
      <w:r>
        <w:rPr>
          <w:rFonts w:ascii="Calibri" w:cs="Calibri" w:eastAsia="Calibri" w:hAnsi="Calibri"/>
          <w:b/>
          <w:bCs/>
          <w:color w:val="1E293B"/>
          <w:sz w:val="21"/>
          <w:szCs w:val="21"/>
        </w:rPr>
        <w:t xml:space="preserve">Production Build (npm run build):</w:t>
      </w:r>
      <w:r>
        <w:rPr>
          <w:rFonts w:ascii="Calibri" w:cs="Calibri" w:eastAsia="Calibri" w:hAnsi="Calibri"/>
          <w:color w:val="1E293B"/>
          <w:sz w:val="21"/>
          <w:szCs w:val="21"/>
        </w:rPr>
        <w:t xml:space="preserve"> Production build testing via Vite to ensure zero bundling warnings, syntax errors, or broken imports.</w:t>
      </w:r>
    </w:p>
    <w:p>
      <w:pPr>
        <w:pStyle w:val="ListParagraph"/>
        <w:numPr>
          <w:ilvl w:val="0"/>
          <w:numId w:val="1"/>
        </w:numPr>
        <w:spacing w:after="80" w:line="260"/>
      </w:pPr>
      <w:r>
        <w:rPr>
          <w:rFonts w:ascii="Calibri" w:cs="Calibri" w:eastAsia="Calibri" w:hAnsi="Calibri"/>
          <w:b/>
          <w:bCs/>
          <w:color w:val="1E293B"/>
          <w:sz w:val="21"/>
          <w:szCs w:val="21"/>
        </w:rPr>
        <w:t xml:space="preserve">Lint Check (npm run lint):</w:t>
      </w:r>
      <w:r>
        <w:rPr>
          <w:rFonts w:ascii="Calibri" w:cs="Calibri" w:eastAsia="Calibri" w:hAnsi="Calibri"/>
          <w:color w:val="1E293B"/>
          <w:sz w:val="21"/>
          <w:szCs w:val="21"/>
        </w:rPr>
        <w:t xml:space="preserve"> Comprehensive ESLint static verification across all JS/JSX files to prevent lint regressions.</w:t>
      </w:r>
    </w:p>
    <w:p>
      <w:pPr>
        <w:pStyle w:val="ListParagraph"/>
        <w:numPr>
          <w:ilvl w:val="0"/>
          <w:numId w:val="1"/>
        </w:numPr>
        <w:spacing w:after="80" w:line="260"/>
      </w:pPr>
      <w:r>
        <w:rPr>
          <w:rFonts w:ascii="Calibri" w:cs="Calibri" w:eastAsia="Calibri" w:hAnsi="Calibri"/>
          <w:b/>
          <w:bCs/>
          <w:color w:val="1E293B"/>
          <w:sz w:val="21"/>
          <w:szCs w:val="21"/>
        </w:rPr>
        <w:t xml:space="preserve">Emulator Integration (npm run test:rules):</w:t>
      </w:r>
      <w:r>
        <w:rPr>
          <w:rFonts w:ascii="Calibri" w:cs="Calibri" w:eastAsia="Calibri" w:hAnsi="Calibri"/>
          <w:color w:val="1E293B"/>
          <w:sz w:val="21"/>
          <w:szCs w:val="21"/>
        </w:rPr>
        <w:t xml:space="preserve"> Rules unit testing via Firebase local emulator to confirm client-side permissions match firestore.rules.</w:t>
      </w:r>
    </w:p>
    <w:p>
      <w:pPr>
        <w:pStyle w:val="Heading1"/>
        <w:spacing w:after="140" w:before="280"/>
      </w:pPr>
      <w:r>
        <w:t xml:space="preserve">6. Next Steps &amp; Approval</w:t>
      </w:r>
    </w:p>
    <w:p>
      <w:pPr>
        <w:spacing w:after="120" w:line="276"/>
      </w:pPr>
      <w:r>
        <w:rPr>
          <w:rFonts w:ascii="Calibri" w:cs="Calibri" w:eastAsia="Calibri" w:hAnsi="Calibri"/>
          <w:b w:val="false"/>
          <w:bCs w:val="false"/>
          <w:color w:val="1E293B"/>
          <w:sz w:val="22"/>
          <w:szCs w:val="22"/>
        </w:rPr>
        <w:t xml:space="preserve">Upon user review and approval of this plan, the execution phase will immediately commence: inspecting every component file line-by-line, cataloging every UI/UX deviation and sync edge-case, and delivering the comprehensive findings in both the detailed Markdown document and the final executive DOCX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2026-09-09T01:57:03.123Z</dcterms:created>
  <dcterms:modified xsi:type="dcterms:W3CDTF">2026-09-09T01:57:03.124Z</dcterms:modified>
</cp:coreProperties>
</file>

<file path=docProps/custom.xml><?xml version="1.0" encoding="utf-8"?>
<Properties xmlns="http://schemas.openxmlformats.org/officeDocument/2006/custom-properties" xmlns:vt="http://schemas.openxmlformats.org/officeDocument/2006/docPropsVTypes"/>
</file>