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0A896"/>
          <w:sz w:val="18"/>
          <w:szCs w:val="18"/>
        </w:rPr>
        <w:t xml:space="preserve">PRINT TO FRAME ERP — STRATEGIC BENCHMARK &amp; GAP ANALYSIS REPORT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540"/>
          <w:sz w:val="32"/>
          <w:szCs w:val="32"/>
        </w:rPr>
        <w:t xml:space="preserve">Comprehensive ERP Market Comparison &amp; Enterprise Standardization Audit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006D77"/>
          <w:sz w:val="20"/>
          <w:szCs w:val="20"/>
        </w:rPr>
        <w:t xml:space="preserve">Benchmarking Against Odoo Enterprise, Katana Cloud Manufacturing, SAP Business One &amp; ERPNext for Custom Framing Operations</w:t>
      </w:r>
    </w:p>
    <w:p>
      <w:pPr>
        <w:spacing w:after="28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Document Ref: PTF-ERP-AUDIT-2026-09-01 | Timestamp: September 01, 2026, 10:45 AM</w:t>
      </w:r>
    </w:p>
    <w:p>
      <w:pPr>
        <w:pStyle w:val="Heading1"/>
        <w:spacing w:after="140" w:before="320"/>
      </w:pPr>
      <w:r>
        <w:t xml:space="preserve">1. Executive Summary &amp; Benchmark Overview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2B2D42"/>
          <w:sz w:val="22"/>
          <w:szCs w:val="22"/>
        </w:rPr>
        <w:t xml:space="preserve">This comprehensive research report evaluates the current architecture, workflows, and functional capabilities of the Print-To-Frame ERP system against market-leading Enterprise Resource Planning (ERP) platforms. Specifically, we benchmark against Odoo Manufacturing &amp; CRM, Katana Cloud Manufacturing (the gold standard for Make-To-Order fabrication), SAP Business One, and ERPNext.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1B5E20"/>
                <w:sz w:val="22"/>
                <w:szCs w:val="22"/>
              </w:rPr>
              <w:t xml:space="preserve">Key Finding &amp; Competitive Positioning</w:t>
            </w:r>
          </w:p>
          <w:p>
            <w:r>
              <w:rPr>
                <w:rFonts w:ascii="Segoe UI" w:cs="Segoe UI" w:eastAsia="Segoe UI" w:hAnsi="Segoe UI"/>
                <w:color w:val="2B2D42"/>
                <w:sz w:val="20"/>
                <w:szCs w:val="20"/>
              </w:rPr>
              <w:t xml:space="preserve">Print-To-Frame ERP possesses exceptional domain-tailored strengths in AI audio scope extraction, 75%/25% advance milestone invoicing, live SqFt partner commission calculations (LKR 53.50/SqFt), WhatsApp integration, and mobile touch responsiveness.
However, to transition from a high-efficiency CRM/Workflow Tool into a full-scale industrial Enterprise ERP, key standardizations are required in multi-level Bill of Materials (BOM) &amp; inventory depletion, double-entry general ledger accounting, automated purchase orders (Procurement), and quality control (QC) compliance logs.</w:t>
            </w:r>
          </w:p>
        </w:tc>
      </w:tr>
    </w:tbl>
    <w:p>
      <w:pPr>
        <w:pStyle w:val="Heading1"/>
        <w:spacing w:after="140" w:before="320"/>
      </w:pPr>
      <w:r>
        <w:t xml:space="preserve">2. Market ERP Comparative Benchmark Matrix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2B2D42"/>
          <w:sz w:val="22"/>
          <w:szCs w:val="22"/>
        </w:rPr>
        <w:t xml:space="preserve">The table below compares Print-To-Frame ERP across 7 core functional pillars against leading global systems: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0A2540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Domain</w:t>
            </w:r>
          </w:p>
        </w:tc>
        <w:tc>
          <w:tcPr>
            <w:tcW w:type="pct" w:w="18%"/>
            <w:shd w:fill="0A2540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Print-To-Frame</w:t>
            </w:r>
          </w:p>
        </w:tc>
        <w:tc>
          <w:tcPr>
            <w:tcW w:type="pct" w:w="15%"/>
            <w:shd w:fill="0A2540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Odoo ERP</w:t>
            </w:r>
          </w:p>
        </w:tc>
        <w:tc>
          <w:tcPr>
            <w:tcW w:type="pct" w:w="15%"/>
            <w:shd w:fill="0A2540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Katana MTO</w:t>
            </w:r>
          </w:p>
        </w:tc>
        <w:tc>
          <w:tcPr>
            <w:tcW w:type="pct" w:w="15%"/>
            <w:shd w:fill="0A2540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SAP B1</w:t>
            </w:r>
          </w:p>
        </w:tc>
        <w:tc>
          <w:tcPr>
            <w:tcW w:type="pct" w:w="17%"/>
            <w:shd w:fill="0A2540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&amp; Upgrade Priority</w:t>
            </w:r>
          </w:p>
        </w:tc>
      </w:tr>
      <w:tr>
        <w:tc>
          <w:tcPr>
            <w:tcW w:type="pct" w:w="20%"/>
            <w:shd w:fill="F8F9F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1. CRM &amp; Lead Quoting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07F5F"/>
                <w:sz w:val="19"/>
                <w:szCs w:val="19"/>
              </w:rPr>
              <w:t xml:space="preserve">✅ Advanced (AI Audio, Google Drive, WhatsApp)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Standard (Email/Pipeline)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Basic (E-Commerce Sync)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Standard (Opportunity Hub)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High: Add E-Sign / Customer Quote Acceptance Portal</w:t>
            </w:r>
          </w:p>
        </w:tc>
      </w:tr>
      <w:tr>
        <w:tc>
          <w:tcPr>
            <w:tcW w:type="pct" w:w="20%"/>
            <w:shd w:fill="F8F9F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2. Pricing &amp; Costing Engine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07F5F"/>
                <w:sz w:val="19"/>
                <w:szCs w:val="19"/>
              </w:rPr>
              <w:t xml:space="preserve">✅ High (SqFt Engine, Box Iron, QA, Margin)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Standard (Pricelists)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Advanced (Cost Calculation)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Advanced (Item Masters)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Medium: Add Dynamic Material Price Escalation rules</w:t>
            </w:r>
          </w:p>
        </w:tc>
      </w:tr>
      <w:tr>
        <w:tc>
          <w:tcPr>
            <w:tcW w:type="pct" w:w="20%"/>
            <w:shd w:fill="F8F9F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3. Fabrication &amp; Work Orders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D97706"/>
                <w:sz w:val="19"/>
                <w:szCs w:val="19"/>
              </w:rPr>
              <w:t xml:space="preserve">⚠️ Intermediate (Kanban Stages, Job Cards)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Advanced (Work Centers, Routing)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Advanced (Shop Floor App, Live BOM)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Enterprise (Production Orders)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High: Implement Multi-level BOM &amp; Scrap Calculation</w:t>
            </w:r>
          </w:p>
        </w:tc>
      </w:tr>
      <w:tr>
        <w:tc>
          <w:tcPr>
            <w:tcW w:type="pct" w:w="20%"/>
            <w:shd w:fill="F8F9F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4. Inventory &amp; Stock Control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DC2626"/>
                <w:sz w:val="19"/>
                <w:szCs w:val="19"/>
              </w:rPr>
              <w:t xml:space="preserve">❌ Missing / Ad-Hoc (No raw stock ledger)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Enterprise (Multi-Warehouse, Lots)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Advanced (Live Stock Tracking)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Enterprise (Bin Locations)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CRITICAL: Add Raw Materials Ledger &amp; Auto Depletion</w:t>
            </w:r>
          </w:p>
        </w:tc>
      </w:tr>
      <w:tr>
        <w:tc>
          <w:tcPr>
            <w:tcW w:type="pct" w:w="20%"/>
            <w:shd w:fill="F8F9F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5. Billing &amp; Accounting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D97706"/>
                <w:sz w:val="19"/>
                <w:szCs w:val="19"/>
              </w:rPr>
              <w:t xml:space="preserve">⚠️ Milestone (75/25 Advance, Receipts)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Enterprise (Full Double-Entry)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Integrates (Xero / QuickBooks)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Enterprise (Full General Ledger)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High: Add Sri Lankan Tax (VAT/SVAT/SSCL) &amp; GL Exports</w:t>
            </w:r>
          </w:p>
        </w:tc>
      </w:tr>
      <w:tr>
        <w:tc>
          <w:tcPr>
            <w:tcW w:type="pct" w:w="20%"/>
            <w:shd w:fill="F8F9F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6. Logistics &amp; Fleet Dispatch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07F5F"/>
                <w:sz w:val="19"/>
                <w:szCs w:val="19"/>
              </w:rPr>
              <w:t xml:space="preserve">✅ Advanced (Maps Geocoding, Waypoints)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Standard (Delivery Orders)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Basic (Third-party Shipping)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Standard (Logistics Module)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Low: Add Customer Electronic Proof of Delivery (ePOD)</w:t>
            </w:r>
          </w:p>
        </w:tc>
      </w:tr>
      <w:tr>
        <w:tc>
          <w:tcPr>
            <w:tcW w:type="pct" w:w="20%"/>
            <w:shd w:fill="F8F9F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7. Partner Referral Network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07F5F"/>
                <w:sz w:val="19"/>
                <w:szCs w:val="19"/>
              </w:rPr>
              <w:t xml:space="preserve">✅ Superior (QR Codes, 53.50/SqFt, Portal)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Basic (Affiliate Module)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None (Direct B2B only)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Complex (Commission Rules)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Medium: Add Automated SLIPS Bank Payout Export</w:t>
            </w:r>
          </w:p>
        </w:tc>
      </w:tr>
    </w:tbl>
    <w:p>
      <w:pPr>
        <w:pStyle w:val="Heading1"/>
        <w:spacing w:after="140" w:before="320"/>
      </w:pPr>
      <w:r>
        <w:t xml:space="preserve">3. Detailed Gap Analysis &amp; Missing Standardizations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2B2D42"/>
          <w:sz w:val="22"/>
          <w:szCs w:val="22"/>
        </w:rPr>
        <w:t xml:space="preserve">Through forensic evaluation of standard industrial manufacturing workflows, we have categorized the missing and partially implemented features into 5 critical operational domains:</w:t>
      </w:r>
    </w:p>
    <w:p>
      <w:pPr>
        <w:pStyle w:val="Heading2"/>
        <w:spacing w:after="140" w:before="320"/>
      </w:pPr>
      <w:r>
        <w:t xml:space="preserve">Domain A: Manufacturing, Bill of Materials (BOM) &amp; Waste Control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1. Dynamic Multi-Level Bill of Materials (BOM):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In Katana and Odoo, every custom frame is broken into discrete raw material components: Steel Box-Bar (linear feet), Corner Joiner Brackets (units), Primer &amp; Anti-Rust Coating (liters), Welding Consumables (units), Tension Springs/Clips (units). Currently, Print-To-Frame calculates financial pricing by SqFt but does not generate an automated physical cutting/hardware component list.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2. Scrap &amp; Cutting Stock Wastage Optimization (Linear Nesting):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Standard steel box-bars are sold in 20-foot (6.0m) lengths. When fabricating a 5ft x 3ft frame, cut combinations leave offcuts. Top manufacturing ERPs calculate linear nesting to minimize steel scrap and track offcut reuse in the factory.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3. Quality Assurance (QA) Checklist &amp; Tolerance Logs: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Currently QA is a stage badge. Industrial ERPs require a 5-point inspection checklist before passing to logistics: (a) Diagonal squareness tolerance (±1.5mm), (b) Weld seam grinding flushness, (c) Primer adhesion, (d) Tension mounting clip retention, (e) Visual defect photo sign-off.</w:t>
      </w:r>
    </w:p>
    <w:p>
      <w:pPr>
        <w:pStyle w:val="Heading2"/>
        <w:spacing w:after="140" w:before="320"/>
      </w:pPr>
      <w:r>
        <w:t xml:space="preserve">Domain B: Inventory, Warehouse &amp; Procurement (SCM)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1. Raw Materials Stock Ledger with Auto-Depletion: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When a Deal moves to "Fabricating", the system should automatically deduct the required linear feet of steel, primer, and hardware from raw material stock ledgers, preventing stockouts.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2. Minimum Reorder Points &amp; Low-Stock Alerts: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Automatic notifications when steel box iron inventory drops below safety thresholds (e.g. fewer than 50 bars remaining in factory storage).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3. Supplier / Vendor Purchase Order (PO) Management: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Generating formal POs to steel distributors and paint suppliers with 3-way matching (PO ↔ Goods Received Note ↔ Supplier Invoice).</w:t>
      </w:r>
    </w:p>
    <w:p>
      <w:pPr>
        <w:pStyle w:val="Heading2"/>
        <w:spacing w:after="140" w:before="320"/>
      </w:pPr>
      <w:r>
        <w:t xml:space="preserve">Domain C: Finance, Accounting &amp; Statutory Compliance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1. Sri Lankan Statutory Tax Compliance (VAT / SVAT / SSCL):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Formal ERPs automatically compute and format VAT (18%), SVAT (Simplified VAT for export/registered B2B), and SSCL (Social Security Contribution Levy at 2.5%) on tax invoices.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2. Accounts Receivable Aging &amp; Credit Control: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Automated aging reports (0-30 days, 31-60 days, 60+ days overdue) for corporate clients and gallery partners.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3. Accounting Integration / CSV Journal Export: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1-click export of sales, invoice payments, and COGS to standard accounting platforms (QuickBooks, Xero, Zoho Books, Sage).</w:t>
      </w:r>
    </w:p>
    <w:p>
      <w:pPr>
        <w:pStyle w:val="Heading2"/>
        <w:spacing w:after="140" w:before="320"/>
      </w:pPr>
      <w:r>
        <w:t xml:space="preserve">Domain D: Sales, Quotations &amp; Client Self-Service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1. Digital Customer Quote Acceptance &amp; E-Signature: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Sending a secure, interactive link to clients where they can review the itemized quote, view attached CAD proofs, approve online, and pay the 75% advance.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2. Quotation Expiration &amp; Automatic Follow-Up Crons: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Quotation validity periods (e.g. "Valid for 14 days due to raw steel price volatility") with automated email/WhatsApp reminders.</w:t>
      </w:r>
    </w:p>
    <w:p>
      <w:pPr>
        <w:pStyle w:val="Heading2"/>
        <w:spacing w:after="140" w:before="320"/>
      </w:pPr>
      <w:r>
        <w:t xml:space="preserve">Domain E: Enterprise Security, Auditability &amp; Governance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1. Immutable Audit Trail (Change Data Capture):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Logging exact historical state changes: "Who modified contract value from LKR 200,000 to LKR 180,000, at what timestamp, and from which IP".</w:t>
      </w:r>
    </w:p>
    <w:p>
      <w:pPr>
        <w:spacing w:after="9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2. Two-Factor Authentication (2FA / TOTP):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Mandatory 2FA for Admin, Finance, and Super Admin accounts accessing financial payout records and user access rights.</w:t>
      </w:r>
    </w:p>
    <w:p>
      <w:pPr>
        <w:pStyle w:val="Heading1"/>
        <w:spacing w:after="140" w:before="320"/>
      </w:pPr>
      <w:r>
        <w:t xml:space="preserve">4. Strategic Implementation Roadmap (Phased Plan)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2B2D42"/>
          <w:sz w:val="22"/>
          <w:szCs w:val="22"/>
        </w:rPr>
        <w:t xml:space="preserve">To evolve Print-To-Frame ERP systematically into an enterprise powerhouse, we recommend the following 3-phase execution roadmap: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0F2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369A1"/>
                <w:sz w:val="22"/>
                <w:szCs w:val="22"/>
              </w:rPr>
              <w:t xml:space="preserve">Phase 1: High ROI / Rapid Execution (Immediate)</w:t>
            </w:r>
          </w:p>
          <w:p>
            <w:r>
              <w:rPr>
                <w:rFonts w:ascii="Segoe UI" w:cs="Segoe UI" w:eastAsia="Segoe UI" w:hAnsi="Segoe UI"/>
                <w:color w:val="2B2D42"/>
                <w:sz w:val="20"/>
                <w:szCs w:val="20"/>
              </w:rPr>
              <w:t xml:space="preserve">1. Raw Materials Stock Ledger &amp; Low-Stock Alerts.
2. Digital Quote E-Acceptance Portal for Clients.
3. Sri Lankan Statutory Tax (VAT / SSCL) Toggle on Invoices.
4. QA 5-Point Inspection Checklist on Fabrication Handover.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22"/>
                <w:szCs w:val="22"/>
              </w:rPr>
              <w:t xml:space="preserve">Phase 2: Core Industrial Manufacturing &amp; BOM (Next Horizon)</w:t>
            </w:r>
          </w:p>
          <w:p>
            <w:r>
              <w:rPr>
                <w:rFonts w:ascii="Segoe UI" w:cs="Segoe UI" w:eastAsia="Segoe UI" w:hAnsi="Segoe UI"/>
                <w:color w:val="2B2D42"/>
                <w:sz w:val="20"/>
                <w:szCs w:val="20"/>
              </w:rPr>
              <w:t xml:space="preserve">1. Multi-Level BOM Generator (Steel bars, fasteners, primer, clips).
2. Linear Cutting Optimization &amp; Scrap Reduction calculator.
3. Supplier Management &amp; Purchase Order (PO) Generator.
4. Automated SLIPS Bank Transfer Payout File for Partner Commissions.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E8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6B21A8"/>
                <w:sz w:val="22"/>
                <w:szCs w:val="22"/>
              </w:rPr>
              <w:t xml:space="preserve">Phase 3: Advanced Governance &amp; Enterprise Integrations (Long Term)</w:t>
            </w:r>
          </w:p>
          <w:p>
            <w:r>
              <w:rPr>
                <w:rFonts w:ascii="Segoe UI" w:cs="Segoe UI" w:eastAsia="Segoe UI" w:hAnsi="Segoe UI"/>
                <w:color w:val="2B2D42"/>
                <w:sz w:val="20"/>
                <w:szCs w:val="20"/>
              </w:rPr>
              <w:t xml:space="preserve">1. Double-entry Accounting / QuickBooks / Xero Sync.
2. Electronic Proof of Delivery (ePOD) with On-Glass Signature.
3. Two-Factor Authentication (2FA) for Administrative roles.
4. Public REST API &amp; Webhooks for e-Commerce and framing gallery embeds.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2026-09-01T05:25:25.387Z</dcterms:created>
  <dcterms:modified xsi:type="dcterms:W3CDTF">2026-09-01T05:25:25.389Z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