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Segoe UI" w:cs="Segoe UI" w:eastAsia="Segoe UI" w:hAnsi="Segoe UI"/>
          <w:b/>
          <w:bCs/>
          <w:color w:val="00A896"/>
          <w:sz w:val="18"/>
          <w:szCs w:val="18"/>
        </w:rPr>
        <w:t xml:space="preserve">PRINT TO FRAME ERP — DESIGN SYSTEM &amp; ARCHITECTURAL AUDIT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color w:val="0A2540"/>
          <w:sz w:val="36"/>
          <w:szCs w:val="36"/>
        </w:rPr>
        <w:t xml:space="preserve">Dashboard UX Harmonization &amp; Layout Synchronization Report</w:t>
      </w:r>
    </w:p>
    <w:p>
      <w:pPr>
        <w:spacing w:after="28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Document Ref: PTF-DASHBOARD-SYNC-2026-09-01 | Timestamp: September 01, 2026, 07:16 AM</w:t>
      </w:r>
    </w:p>
    <w:p>
      <w:pPr>
        <w:pStyle w:val="Heading1"/>
        <w:spacing w:after="120" w:before="280"/>
      </w:pPr>
      <w:r>
        <w:t xml:space="preserve">1. Executive Summary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color w:val="000000"/>
          <w:sz w:val="22"/>
          <w:szCs w:val="22"/>
        </w:rPr>
        <w:t xml:space="preserve">Over the recent iterations, the core operational modules of the Print To Frame ERP system—namely Leads, Deals, Customers, Partners, and User Management—have been standardized onto a unified Design System featuring standardized &lt;PageHeader&gt; metric badges, unified &lt;FilterBar&gt; search controls, 2-panel master-detail rhythm, and cohesive glassmorphism card containers.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color w:val="000000"/>
          <w:sz w:val="22"/>
          <w:szCs w:val="22"/>
        </w:rPr>
        <w:t xml:space="preserve">However, the primary Dashboard module retained legacy layout patterns: an unstandardized custom header, separate domain switcher tabs that did not align with FilterBar tokens, and ad-hoc card container styling. This report details the full audit of design discrepancies and presents the structural synchronization roadmap.</w:t>
      </w:r>
    </w:p>
    <w:p>
      <w:pPr>
        <w:pStyle w:val="Heading1"/>
        <w:spacing w:after="120" w:before="280"/>
      </w:pPr>
      <w:r>
        <w:t xml:space="preserve">2. Discrepancy Matrix &amp; Current State Analysis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Header Divergence: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Standard modules use &lt;PageHeader&gt; with dynamic title, subtitle, 4 top-line KPI pills (cyan, emerald, purple, amber), and action buttons. The Dashboard was using a raw &lt;h1&gt; text row with ad-hoc date badge.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Domain Switcher &amp; Filter Tokens: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Standard modules utilize &lt;FilterBar&gt; with search input, active filter pill highlights, and record counters. The Dashboard had an isolated button group that did not share the same border, background, or active indicator styling.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Card Containers &amp; Glassmorphism: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Standard modules use rounded-2xl containers with border-outline-variant/60 and structured headers (bg-surface-container-low/80). Dashboard cards used mixed border radii (rounded-3xl vs rounded-xl) and varying background opacities.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Work Queues &amp; Action Rows: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Actionable queues (CRM Intake, Deals in Fabrication, Pending Logistics, Aging Invoices) lacked the standardized table and row hover effects seen in the Partner referral ledger and Customer detail pane.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DF6F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006D77"/>
                <w:sz w:val="22"/>
                <w:szCs w:val="22"/>
              </w:rPr>
              <w:t xml:space="preserve">Core Harmonization Objective</w:t>
            </w:r>
          </w:p>
          <w:p>
            <w:r>
              <w:rPr>
                <w:rFonts w:ascii="Segoe UI" w:cs="Segoe UI" w:eastAsia="Segoe UI" w:hAnsi="Segoe UI"/>
                <w:color w:val="2B2D42"/>
                <w:sz w:val="20"/>
                <w:szCs w:val="20"/>
              </w:rPr>
              <w:t xml:space="preserve">Restructure Dashboard.jsx to adopt &lt;PageHeader&gt; with executive KPI pills, &lt;FilterBar&gt; for domain switching (All Operations, CRM &amp; Sales, Production &amp; Logistics, Finance &amp; Accounts), and standard glassmorphic card containers.</w:t>
            </w:r>
          </w:p>
        </w:tc>
      </w:tr>
    </w:tbl>
    <w:p>
      <w:pPr>
        <w:pStyle w:val="Heading1"/>
        <w:spacing w:after="120" w:before="280"/>
      </w:pPr>
      <w:r>
        <w:t xml:space="preserve">3. Unified Dashboard Architecture Specification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color w:val="000000"/>
          <w:sz w:val="22"/>
          <w:szCs w:val="22"/>
        </w:rPr>
        <w:t xml:space="preserve">The redesigned Dashboard will adhere 100% to the ERP Design System: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Standardized PageHeader: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Title: "Dashboard" | Subtitle: Dynamic based on active operational domain | Metrics: Total Leads, Active Deals, Ongoing Fabrication, Pending Logistics, and Pending Revenue | Action: AI Strategic Advisory Generator button.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Harmonized FilterBar: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Search bar to instantly filter across actionable work queues | Domain Tabs: [All Operations] [CRM &amp; Sales] [Production &amp; Logistics] [Finance &amp; Billing].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Symmetrical 2-Column Responsive Grid: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Left Grid (50%): Pipeline Progression Visualizers (Lead Pipeline, Deal Pipeline, Fabrication Status) + AI Strategic Recommendation Card. Right Grid (50%): Priority Action Work Queues with instant 1-click status transitions and customer contact actions.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Receivables Aging &amp; Financial Exposure: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Standardized financial telemetry cards with color-coded overdue aging buckets (0–30d, 31–60d, 61–90d, 90d+ Overdue) matching the Invoice module design.</w:t>
      </w:r>
    </w:p>
    <w:p>
      <w:pPr>
        <w:pStyle w:val="Heading1"/>
        <w:spacing w:after="120" w:before="280"/>
      </w:pPr>
      <w:r>
        <w:t xml:space="preserve">4. Implementation &amp; Execution Steps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Step 1: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Refactor Dashboard.jsx header to use the shared &lt;PageHeader&gt; component with domain-aware KPI badges.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Step 2: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Integrate &lt;FilterBar&gt; for operational domain filtering and real-time search across pending work orders.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Step 3: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Harmonize all pipeline bars, AI advisor card, and priority queue containers to match the 2-panel master-detail styling tokens.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Step 4: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Verify with npm run build and deploy live to production.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2026-09-01T01:46:33.013Z</dcterms:created>
  <dcterms:modified xsi:type="dcterms:W3CDTF">2026-09-01T01:46:33.014Z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