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color w:val="008B8B"/>
          <w:sz w:val="34"/>
          <w:szCs w:val="34"/>
        </w:rPr>
        <w:t xml:space="preserve">PRINT TO FRAME ERP — ROLE-BASED DASHBOARD ARCHITECTURE</w:t>
      </w:r>
    </w:p>
    <w:p>
      <w:pPr>
        <w:spacing w:after="300"/>
        <w:jc w:val="center"/>
      </w:pPr>
      <w:r>
        <w:rPr>
          <w:rFonts w:ascii="Calibri" w:cs="Calibri" w:eastAsia="Calibri" w:hAnsi="Calibri"/>
          <w:color w:val="475569"/>
          <w:sz w:val="22"/>
          <w:szCs w:val="22"/>
        </w:rPr>
        <w:t xml:space="preserve">Functional View Modularization Across CRM &amp; Sales, Production, Finance, and Systems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CBD5E1" w:sz="1"/>
              <w:left w:val="single" w:color="CBD5E1" w:sz="1"/>
              <w:bottom w:val="single" w:color="CBD5E1" w:sz="1"/>
              <w:right w:val="single" w:color="CBD5E1" w:sz="1"/>
            </w:tcBorders>
            <w:shd w:fill="0F172A" w:color="auto"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Document Property</w:t>
            </w:r>
          </w:p>
        </w:tc>
        <w:tc>
          <w:tcPr>
            <w:tcW w:type="pct" w:w="70%"/>
            <w:tcBorders>
              <w:top w:val="single" w:color="CBD5E1" w:sz="1"/>
              <w:left w:val="single" w:color="CBD5E1" w:sz="1"/>
              <w:bottom w:val="single" w:color="CBD5E1" w:sz="1"/>
              <w:right w:val="single" w:color="CBD5E1" w:sz="1"/>
            </w:tcBorders>
            <w:shd w:fill="0F172A" w:color="auto"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Specification Value</w:t>
            </w:r>
          </w:p>
        </w:tc>
      </w:tr>
      <w:tr>
        <w:tc>
          <w:tcPr>
            <w:tcW w:type="pct" w:w="30%"/>
            <w:tcBorders>
              <w:top w:val="single" w:color="CBD5E1" w:sz="1"/>
              <w:left w:val="single" w:color="CBD5E1" w:sz="1"/>
              <w:bottom w:val="single" w:color="CBD5E1" w:sz="1"/>
              <w:right w:val="single" w:color="CBD5E1" w:sz="1"/>
            </w:tcBorders>
            <w:shd w:fill="F8FAFC" w:color="auto"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System</w:t>
            </w:r>
          </w:p>
        </w:tc>
        <w:tc>
          <w:tcPr>
            <w:tcW w:type="pct" w:w="70%"/>
            <w:tcBorders>
              <w:top w:val="single" w:color="CBD5E1" w:sz="1"/>
              <w:left w:val="single" w:color="CBD5E1" w:sz="1"/>
              <w:bottom w:val="single" w:color="CBD5E1" w:sz="1"/>
              <w:right w:val="single" w:color="CBD5E1" w:sz="1"/>
            </w:tcBorders>
            <w:shd w:fill="FFFFFF" w:color="auto"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Print To Frame ERP System (Steel Framing &amp; Fabrication Portal)</w:t>
            </w:r>
          </w:p>
        </w:tc>
      </w:tr>
      <w:tr>
        <w:tc>
          <w:tcPr>
            <w:tcW w:type="pct" w:w="30%"/>
            <w:tcBorders>
              <w:top w:val="single" w:color="CBD5E1" w:sz="1"/>
              <w:left w:val="single" w:color="CBD5E1" w:sz="1"/>
              <w:bottom w:val="single" w:color="CBD5E1" w:sz="1"/>
              <w:right w:val="single" w:color="CBD5E1" w:sz="1"/>
            </w:tcBorders>
            <w:shd w:fill="FFFFFF" w:color="auto"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Document Type</w:t>
            </w:r>
          </w:p>
        </w:tc>
        <w:tc>
          <w:tcPr>
            <w:tcW w:type="pct" w:w="70%"/>
            <w:tcBorders>
              <w:top w:val="single" w:color="CBD5E1" w:sz="1"/>
              <w:left w:val="single" w:color="CBD5E1" w:sz="1"/>
              <w:bottom w:val="single" w:color="CBD5E1" w:sz="1"/>
              <w:right w:val="single" w:color="CBD5E1" w:sz="1"/>
            </w:tcBorders>
            <w:shd w:fill="FFFFFF" w:color="auto"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Architectural Proposal &amp; Modular Dashboard Specification</w:t>
            </w:r>
          </w:p>
        </w:tc>
      </w:tr>
      <w:tr>
        <w:tc>
          <w:tcPr>
            <w:tcW w:type="pct" w:w="30%"/>
            <w:tcBorders>
              <w:top w:val="single" w:color="CBD5E1" w:sz="1"/>
              <w:left w:val="single" w:color="CBD5E1" w:sz="1"/>
              <w:bottom w:val="single" w:color="CBD5E1" w:sz="1"/>
              <w:right w:val="single" w:color="CBD5E1" w:sz="1"/>
            </w:tcBorders>
            <w:shd w:fill="F8FAFC" w:color="auto"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Date &amp; Time</w:t>
            </w:r>
          </w:p>
        </w:tc>
        <w:tc>
          <w:tcPr>
            <w:tcW w:type="pct" w:w="70%"/>
            <w:tcBorders>
              <w:top w:val="single" w:color="CBD5E1" w:sz="1"/>
              <w:left w:val="single" w:color="CBD5E1" w:sz="1"/>
              <w:bottom w:val="single" w:color="CBD5E1" w:sz="1"/>
              <w:right w:val="single" w:color="CBD5E1" w:sz="1"/>
            </w:tcBorders>
            <w:shd w:fill="FFFFFF" w:color="auto"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2026-09-01 01:40:00 +05:30</w:t>
            </w:r>
          </w:p>
        </w:tc>
      </w:tr>
      <w:tr>
        <w:tc>
          <w:tcPr>
            <w:tcW w:type="pct" w:w="30%"/>
            <w:tcBorders>
              <w:top w:val="single" w:color="CBD5E1" w:sz="1"/>
              <w:left w:val="single" w:color="CBD5E1" w:sz="1"/>
              <w:bottom w:val="single" w:color="CBD5E1" w:sz="1"/>
              <w:right w:val="single" w:color="CBD5E1" w:sz="1"/>
            </w:tcBorders>
            <w:shd w:fill="FFFFFF" w:color="auto"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Access Categories</w:t>
            </w:r>
          </w:p>
        </w:tc>
        <w:tc>
          <w:tcPr>
            <w:tcW w:type="pct" w:w="70%"/>
            <w:tcBorders>
              <w:top w:val="single" w:color="CBD5E1" w:sz="1"/>
              <w:left w:val="single" w:color="CBD5E1" w:sz="1"/>
              <w:bottom w:val="single" w:color="CBD5E1" w:sz="1"/>
              <w:right w:val="single" w:color="CBD5E1" w:sz="1"/>
            </w:tcBorders>
            <w:shd w:fill="FFFFFF" w:color="auto"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1. CRM &amp; Sales | 2. Production | 3. Finance | 4. Systems &amp; Executive</w:t>
            </w:r>
          </w:p>
        </w:tc>
      </w:tr>
    </w:tbl>
    <w:p>
      <w:pPr>
        <w:spacing w:after="100" w:before="240"/>
      </w:pPr>
    </w:p>
    <w:p>
      <w:pPr>
        <w:pStyle w:val="Heading1"/>
        <w:spacing w:after="120" w:before="240"/>
      </w:pPr>
      <w:r>
        <w:rPr>
          <w:rFonts w:ascii="Calibri" w:cs="Calibri" w:eastAsia="Calibri" w:hAnsi="Calibri"/>
          <w:b/>
          <w:bCs/>
          <w:color w:val="008B8B"/>
          <w:sz w:val="26"/>
          <w:szCs w:val="26"/>
        </w:rPr>
        <w:t xml:space="preserve">1. Problem Statement &amp; Functional Philosophy</w:t>
      </w:r>
    </w:p>
    <w:tbl>
      <w:tblPr>
        <w:tblW w:type="pct" w:w="100%"/>
        <w:tblBorders>
          <w:top w:val="none"/>
          <w:left w:val="single" w:color="2563EB" w:sz="24"/>
          <w:bottom w:val="none"/>
          <w:right w:val="none"/>
          <w:insideH w:val="single" w:color="auto" w:sz="4"/>
          <w:insideV w:val="single" w:color="auto" w:sz="4"/>
        </w:tblBorders>
      </w:tblPr>
      <w:tblGrid>
        <w:gridCol w:w="100"/>
      </w:tblGrid>
      <w:tr>
        <w:tc>
          <w:tcPr>
            <w:shd w:fill="F1F5F9" w:color="auto" w:val="clear"/>
            <w:tcMar>
              <w:top w:type="dxa" w:w="140"/>
              <w:left w:type="dxa" w:w="180"/>
              <w:bottom w:type="dxa" w:w="140"/>
              <w:right w:type="dxa" w:w="180"/>
            </w:tcMar>
          </w:tcPr>
          <w:p>
            <w:r>
              <w:rPr>
                <w:rFonts w:ascii="Calibri" w:cs="Calibri" w:eastAsia="Calibri" w:hAnsi="Calibri"/>
                <w:b/>
                <w:bCs/>
                <w:color w:val="2563EB"/>
                <w:sz w:val="21"/>
                <w:szCs w:val="21"/>
              </w:rPr>
              <w:t xml:space="preserve">The 'Role Clarity' UX Principle in Industrial ERPs</w:t>
            </w:r>
          </w:p>
          <w:p>
            <w:pPr>
              <w:spacing/>
            </w:pPr>
            <w:r>
              <w:rPr>
                <w:rFonts w:ascii="Calibri" w:cs="Calibri" w:eastAsia="Calibri" w:hAnsi="Calibri"/>
                <w:color w:val="0F172A"/>
                <w:sz w:val="18"/>
                <w:szCs w:val="18"/>
              </w:rPr>
              <w:t xml:space="preserve">Currently, every logged-in user (from sales executives to workshop technicians and finance officers) is presented with the complete, monolithic dashboard containing all 18+ widgets, charts, and lists. A workshop technician does not need to see receivables aging or quotation intake; similarly, a sales representative does not need to monitor cutting schedules or vehicle gate passes. Categorizing dashboard items into targeted functional perspectives drastically reduces clutter, prevents data fatigue, and speeds up daily task execution.</w:t>
            </w:r>
          </w:p>
        </w:tc>
      </w:tr>
    </w:tbl>
    <w:p>
      <w:pPr>
        <w:spacing w:after="100" w:before="240"/>
      </w:pPr>
    </w:p>
    <w:p>
      <w:pPr>
        <w:pStyle w:val="Heading1"/>
        <w:spacing w:after="120" w:before="240"/>
      </w:pPr>
      <w:r>
        <w:rPr>
          <w:rFonts w:ascii="Calibri" w:cs="Calibri" w:eastAsia="Calibri" w:hAnsi="Calibri"/>
          <w:b/>
          <w:bCs/>
          <w:color w:val="008B8B"/>
          <w:sz w:val="26"/>
          <w:szCs w:val="26"/>
        </w:rPr>
        <w:t xml:space="preserve">2. The Four Functional Dashboard Categories</w:t>
      </w:r>
    </w:p>
    <w:p>
      <w:pPr>
        <w:pStyle w:val="Heading2"/>
        <w:spacing w:after="80" w:before="160"/>
      </w:pPr>
      <w:r>
        <w:rPr>
          <w:rFonts w:ascii="Calibri" w:cs="Calibri" w:eastAsia="Calibri" w:hAnsi="Calibri"/>
          <w:b/>
          <w:bCs/>
          <w:color w:val="2563EB"/>
          <w:sz w:val="22"/>
          <w:szCs w:val="22"/>
        </w:rPr>
        <w:t xml:space="preserve">A. Category 1: CRM &amp; Sales</w:t>
      </w:r>
    </w:p>
    <w:p>
      <w:r>
        <w:rPr>
          <w:b/>
          <w:bCs/>
        </w:rPr>
        <w:t xml:space="preserve">Target Roles: </w:t>
      </w:r>
      <w:r>
        <w:t xml:space="preserve">Sales Representatives, Customer Support, Business Clients.
</w:t>
      </w:r>
      <w:r>
        <w:rPr>
          <w:b/>
          <w:bCs/>
        </w:rPr>
        <w:t xml:space="preserve">Core Focus: </w:t>
      </w:r>
      <w:r>
        <w:t xml:space="preserve">Inquiry velocity, deal conversions, quotation follow-ups, client registry.
</w:t>
      </w:r>
      <w:r>
        <w:rPr>
          <w:b/>
          <w:bCs/>
        </w:rPr>
        <w:t xml:space="preserve">Included Dashboard Items:</w:t>
      </w:r>
    </w:p>
    <w:p>
      <w:pPr>
        <w:pStyle w:val="ListParagraph"/>
        <w:numPr>
          <w:ilvl w:val="0"/>
          <w:numId w:val="1"/>
        </w:numPr>
      </w:pPr>
      <w:r>
        <w:t xml:space="preserve">Open Leads Metric Card &amp; In-Pipeline Deals Metric Card</w:t>
      </w:r>
    </w:p>
    <w:p>
      <w:pPr>
        <w:pStyle w:val="ListParagraph"/>
        <w:numPr>
          <w:ilvl w:val="0"/>
          <w:numId w:val="1"/>
        </w:numPr>
      </w:pPr>
      <w:r>
        <w:t xml:space="preserve">Leads Pipeline &amp; Deals Pipeline Visual Progress Bars</w:t>
      </w:r>
    </w:p>
    <w:p>
      <w:pPr>
        <w:pStyle w:val="ListParagraph"/>
        <w:numPr>
          <w:ilvl w:val="0"/>
          <w:numId w:val="1"/>
        </w:numPr>
      </w:pPr>
      <w:r>
        <w:t xml:space="preserve">Stale Leads Alert Box (flagging prospects idle for ≥ 5 days)</w:t>
      </w:r>
    </w:p>
    <w:p>
      <w:pPr>
        <w:pStyle w:val="ListParagraph"/>
        <w:numPr>
          <w:ilvl w:val="0"/>
          <w:numId w:val="1"/>
        </w:numPr>
      </w:pPr>
      <w:r>
        <w:t xml:space="preserve">Leads Needing Action List &amp; Active Deals Tracker</w:t>
      </w:r>
    </w:p>
    <w:p>
      <w:pPr>
        <w:pStyle w:val="ListParagraph"/>
        <w:numPr>
          <w:ilvl w:val="0"/>
          <w:numId w:val="1"/>
        </w:numPr>
      </w:pPr>
      <w:r>
        <w:t xml:space="preserve">Quick Actions: 'New Lead', 'Register Customer', 'Cost Calculator'</w:t>
      </w:r>
    </w:p>
    <w:p>
      <w:pPr>
        <w:pStyle w:val="Heading2"/>
        <w:spacing w:after="80" w:before="160"/>
      </w:pPr>
      <w:r>
        <w:rPr>
          <w:rFonts w:ascii="Calibri" w:cs="Calibri" w:eastAsia="Calibri" w:hAnsi="Calibri"/>
          <w:b/>
          <w:bCs/>
          <w:color w:val="2563EB"/>
          <w:sz w:val="22"/>
          <w:szCs w:val="22"/>
        </w:rPr>
        <w:t xml:space="preserve">B. Category 2: Production &amp; Operations</w:t>
      </w:r>
    </w:p>
    <w:p>
      <w:r>
        <w:rPr>
          <w:b/>
          <w:bCs/>
        </w:rPr>
        <w:t xml:space="preserve">Target Roles: </w:t>
      </w:r>
      <w:r>
        <w:t xml:space="preserve">Fabrication Masters, Workshop Technicians, Logistics &amp; Dispatchers, Framing Partners.
</w:t>
      </w:r>
      <w:r>
        <w:rPr>
          <w:b/>
          <w:bCs/>
        </w:rPr>
        <w:t xml:space="preserve">Core Focus: </w:t>
      </w:r>
      <w:r>
        <w:t xml:space="preserve">Factory floor queue, structural cutting, canvas stretching, vehicle dispatch &amp; delivery.
</w:t>
      </w:r>
      <w:r>
        <w:rPr>
          <w:b/>
          <w:bCs/>
        </w:rPr>
        <w:t xml:space="preserve">Included Dashboard Items:</w:t>
      </w:r>
    </w:p>
    <w:p>
      <w:pPr>
        <w:pStyle w:val="ListParagraph"/>
        <w:numPr>
          <w:ilvl w:val="0"/>
          <w:numId w:val="1"/>
        </w:numPr>
      </w:pPr>
      <w:r>
        <w:t xml:space="preserve">Fabrication Jobs Ongoing Metric Card &amp; Pending Logistics Metric Card</w:t>
      </w:r>
    </w:p>
    <w:p>
      <w:pPr>
        <w:pStyle w:val="ListParagraph"/>
        <w:numPr>
          <w:ilvl w:val="0"/>
          <w:numId w:val="1"/>
        </w:numPr>
      </w:pPr>
      <w:r>
        <w:t xml:space="preserve">Fabrication Works Stage Progress Bar (Pending → Inspection → Completed)</w:t>
      </w:r>
    </w:p>
    <w:p>
      <w:pPr>
        <w:pStyle w:val="ListParagraph"/>
        <w:numPr>
          <w:ilvl w:val="0"/>
          <w:numId w:val="1"/>
        </w:numPr>
      </w:pPr>
      <w:r>
        <w:t xml:space="preserve">Fabrication Floor Queue List (CAD drawings, materials, specifications)</w:t>
      </w:r>
    </w:p>
    <w:p>
      <w:pPr>
        <w:pStyle w:val="ListParagraph"/>
        <w:numPr>
          <w:ilvl w:val="0"/>
          <w:numId w:val="1"/>
        </w:numPr>
      </w:pPr>
      <w:r>
        <w:t xml:space="preserve">Logistics Queue (Material pickups, customer deliveries, vehicle allocations)</w:t>
      </w:r>
    </w:p>
    <w:p>
      <w:pPr>
        <w:pStyle w:val="ListParagraph"/>
        <w:numPr>
          <w:ilvl w:val="0"/>
          <w:numId w:val="1"/>
        </w:numPr>
      </w:pPr>
      <w:r>
        <w:t xml:space="preserve">Quick Actions: 'New Fabrication Job', 'New Logistics Dispatch', 'Cost Calculator'</w:t>
      </w:r>
    </w:p>
    <w:p>
      <w:pPr>
        <w:pStyle w:val="Heading2"/>
        <w:spacing w:after="80" w:before="160"/>
      </w:pPr>
      <w:r>
        <w:rPr>
          <w:rFonts w:ascii="Calibri" w:cs="Calibri" w:eastAsia="Calibri" w:hAnsi="Calibri"/>
          <w:b/>
          <w:bCs/>
          <w:color w:val="2563EB"/>
          <w:sz w:val="22"/>
          <w:szCs w:val="22"/>
        </w:rPr>
        <w:t xml:space="preserve">C. Category 3: Finance &amp; Billing</w:t>
      </w:r>
    </w:p>
    <w:p>
      <w:r>
        <w:rPr>
          <w:b/>
          <w:bCs/>
        </w:rPr>
        <w:t xml:space="preserve">Target Roles: </w:t>
      </w:r>
      <w:r>
        <w:t xml:space="preserve">Accounts Officers, Finance Managers, Billing Clerks.
</w:t>
      </w:r>
      <w:r>
        <w:rPr>
          <w:b/>
          <w:bCs/>
        </w:rPr>
        <w:t xml:space="preserve">Core Focus: </w:t>
      </w:r>
      <w:r>
        <w:t xml:space="preserve">75% advance receipts, 25% settlement collections, aging exposure, revenue realization.
</w:t>
      </w:r>
      <w:r>
        <w:rPr>
          <w:b/>
          <w:bCs/>
        </w:rPr>
        <w:t xml:space="preserve">Included Dashboard Items:</w:t>
      </w:r>
    </w:p>
    <w:p>
      <w:pPr>
        <w:pStyle w:val="ListParagraph"/>
        <w:numPr>
          <w:ilvl w:val="0"/>
          <w:numId w:val="1"/>
        </w:numPr>
      </w:pPr>
      <w:r>
        <w:t xml:space="preserve">Pending Revenue &amp; Completed Revenue Hero Metric Cards</w:t>
      </w:r>
    </w:p>
    <w:p>
      <w:pPr>
        <w:pStyle w:val="ListParagraph"/>
        <w:numPr>
          <w:ilvl w:val="0"/>
          <w:numId w:val="1"/>
        </w:numPr>
      </w:pPr>
      <w:r>
        <w:t xml:space="preserve">Receivables Aging Breakdown (0-30d, 31-60d, 61-90d, 90d+ Overdue Exposure)</w:t>
      </w:r>
    </w:p>
    <w:p>
      <w:pPr>
        <w:pStyle w:val="ListParagraph"/>
        <w:numPr>
          <w:ilvl w:val="0"/>
          <w:numId w:val="1"/>
        </w:numPr>
      </w:pPr>
      <w:r>
        <w:t xml:space="preserve">Monthly Sales Revenue vs Production Volume Trend Graph</w:t>
      </w:r>
    </w:p>
    <w:p>
      <w:pPr>
        <w:pStyle w:val="ListParagraph"/>
        <w:numPr>
          <w:ilvl w:val="0"/>
          <w:numId w:val="1"/>
        </w:numPr>
      </w:pPr>
      <w:r>
        <w:t xml:space="preserve">Unsettled Invoices Quick List &amp; Direct Invoices Navigation</w:t>
      </w:r>
    </w:p>
    <w:p>
      <w:pPr>
        <w:pStyle w:val="ListParagraph"/>
        <w:numPr>
          <w:ilvl w:val="0"/>
          <w:numId w:val="1"/>
        </w:numPr>
      </w:pPr>
      <w:r>
        <w:t xml:space="preserve">Quick Actions: 'Export CSV', 'Invoices Ledger', 'Cost Calculator'</w:t>
      </w:r>
    </w:p>
    <w:p>
      <w:pPr>
        <w:pStyle w:val="Heading2"/>
        <w:spacing w:after="80" w:before="160"/>
      </w:pPr>
      <w:r>
        <w:rPr>
          <w:rFonts w:ascii="Calibri" w:cs="Calibri" w:eastAsia="Calibri" w:hAnsi="Calibri"/>
          <w:b/>
          <w:bCs/>
          <w:color w:val="2563EB"/>
          <w:sz w:val="22"/>
          <w:szCs w:val="22"/>
        </w:rPr>
        <w:t xml:space="preserve">D. Category 4: Systems &amp; Executive (Full Multi-View)</w:t>
      </w:r>
    </w:p>
    <w:p>
      <w:r>
        <w:rPr>
          <w:b/>
          <w:bCs/>
        </w:rPr>
        <w:t xml:space="preserve">Target Roles: </w:t>
      </w:r>
      <w:r>
        <w:t xml:space="preserve">Super Administrators, Operations Directors, General Managers.
</w:t>
      </w:r>
      <w:r>
        <w:rPr>
          <w:b/>
          <w:bCs/>
        </w:rPr>
        <w:t xml:space="preserve">Core Focus: </w:t>
      </w:r>
      <w:r>
        <w:t xml:space="preserve">Complete bird's-eye enterprise overview, AI strategic insights, data storage, user security.
</w:t>
      </w:r>
      <w:r>
        <w:rPr>
          <w:b/>
          <w:bCs/>
        </w:rPr>
        <w:t xml:space="preserve">Included Dashboard Items:</w:t>
      </w:r>
    </w:p>
    <w:p>
      <w:pPr>
        <w:pStyle w:val="ListParagraph"/>
        <w:numPr>
          <w:ilvl w:val="0"/>
          <w:numId w:val="1"/>
        </w:numPr>
      </w:pPr>
      <w:r>
        <w:t xml:space="preserve">Interactive Category Pill Selector (Toggle between All, CRM, Production, Finance)</w:t>
      </w:r>
    </w:p>
    <w:p>
      <w:pPr>
        <w:pStyle w:val="ListParagraph"/>
        <w:numPr>
          <w:ilvl w:val="0"/>
          <w:numId w:val="1"/>
        </w:numPr>
      </w:pPr>
      <w:r>
        <w:t xml:space="preserve">Gemini AI Strategic Business Insights &amp; Data Analysis</w:t>
      </w:r>
    </w:p>
    <w:p>
      <w:pPr>
        <w:pStyle w:val="ListParagraph"/>
        <w:numPr>
          <w:ilvl w:val="0"/>
          <w:numId w:val="1"/>
        </w:numPr>
      </w:pPr>
      <w:r>
        <w:t xml:space="preserve">Enterprise Totals Summary (Total Clients, Partners, Work Orders, System Health)</w:t>
      </w:r>
    </w:p>
    <w:p>
      <w:pPr>
        <w:pStyle w:val="ListParagraph"/>
        <w:numPr>
          <w:ilvl w:val="0"/>
          <w:numId w:val="1"/>
        </w:numPr>
      </w:pPr>
      <w:r>
        <w:t xml:space="preserve">Full access to all metric cards, pipelines, alerts, and operational lists.</w:t>
      </w:r>
    </w:p>
    <w:p>
      <w:pPr>
        <w:spacing w:after="100" w:before="240"/>
      </w:pPr>
    </w:p>
    <w:p>
      <w:pPr>
        <w:pStyle w:val="Heading1"/>
        <w:spacing w:after="120" w:before="240"/>
      </w:pPr>
      <w:r>
        <w:rPr>
          <w:rFonts w:ascii="Calibri" w:cs="Calibri" w:eastAsia="Calibri" w:hAnsi="Calibri"/>
          <w:b/>
          <w:bCs/>
          <w:color w:val="008B8B"/>
          <w:sz w:val="26"/>
          <w:szCs w:val="26"/>
        </w:rPr>
        <w:t xml:space="preserve">3. Technical Architecture &amp; Implementation Steps</w:t>
      </w:r>
    </w:p>
    <w:p>
      <w:pPr>
        <w:pStyle w:val="ListParagraph"/>
        <w:numPr>
          <w:ilvl w:val="0"/>
          <w:numId w:val="1"/>
        </w:numPr>
      </w:pPr>
      <w:r>
        <w:rPr>
          <w:b/>
          <w:bCs/>
        </w:rPr>
        <w:t xml:space="preserve">Step 1: Role Detection &amp; Automatic Category Assignment: </w:t>
      </w:r>
      <w:r>
        <w:t xml:space="preserve">When currentUser loads Dashboard.jsx, detect user role (e.g. Sales → CRM, Operations → Production, Accounts → Finance, Admin → All) and set default view.</w:t>
      </w:r>
    </w:p>
    <w:p>
      <w:pPr>
        <w:pStyle w:val="ListParagraph"/>
        <w:numPr>
          <w:ilvl w:val="0"/>
          <w:numId w:val="1"/>
        </w:numPr>
      </w:pPr>
      <w:r>
        <w:rPr>
          <w:b/>
          <w:bCs/>
        </w:rPr>
        <w:t xml:space="preserve">Step 2: Interactive Category Switcher Toolbar: </w:t>
      </w:r>
      <w:r>
        <w:t xml:space="preserve">Add a top sub-navigation bar (All Operations, CRM &amp; Sales, Production, Finance) allowing managers/admins to filter the dashboard with one click.</w:t>
      </w:r>
    </w:p>
    <w:p>
      <w:pPr>
        <w:pStyle w:val="ListParagraph"/>
        <w:numPr>
          <w:ilvl w:val="0"/>
          <w:numId w:val="1"/>
        </w:numPr>
      </w:pPr>
      <w:r>
        <w:rPr>
          <w:b/>
          <w:bCs/>
        </w:rPr>
        <w:t xml:space="preserve">Step 3: Componentize Dashboard Sections: </w:t>
      </w:r>
      <w:r>
        <w:t xml:space="preserve">Wrap metric cards, progress bars, queues, and quick actions in clean category-aware conditional renders.</w:t>
      </w:r>
    </w:p>
    <w:p>
      <w:pPr>
        <w:pStyle w:val="ListParagraph"/>
        <w:numPr>
          <w:ilvl w:val="0"/>
          <w:numId w:val="1"/>
        </w:numPr>
      </w:pPr>
      <w:r>
        <w:rPr>
          <w:b/>
          <w:bCs/>
        </w:rPr>
        <w:t xml:space="preserve">Step 4: Build Verification &amp; Deployment: </w:t>
      </w:r>
      <w:r>
        <w:t xml:space="preserve">Verify 0 build errors with npm run build, commit to staging, test in preview, and promote to main.</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2026-08-31T20:10:11.309Z</dcterms:created>
  <dcterms:modified xsi:type="dcterms:W3CDTF">2026-08-31T20:10:11.311Z</dcterms:modified>
</cp:coreProperties>
</file>

<file path=docProps/custom.xml><?xml version="1.0" encoding="utf-8"?>
<Properties xmlns="http://schemas.openxmlformats.org/officeDocument/2006/custom-properties" xmlns:vt="http://schemas.openxmlformats.org/officeDocument/2006/docPropsVTypes"/>
</file>