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08B8B"/>
          <w:sz w:val="32"/>
          <w:szCs w:val="32"/>
        </w:rPr>
        <w:t xml:space="preserve">PRINT TO FRAME ERP — PARTNER REGISTRATION, DYNAMIC QR REFERRAL &amp; COMMISSION WORKFLOW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Comprehensive System Proposal: Multi-Channel Vetting, Dynamic QR Client Intake, 5-Minute Callback SLA, and Automated Monthly Commission Reconciliation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 Item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Details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Target Portal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Print To Frame ERP Core &amp; Public Client Intake Engine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Proposal Title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Partner Onboarding, Dynamic QR Referral Tracking &amp; Automated Commission Engine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Date &amp; Timestamp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2026-09-01 02:50:00 +05:30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Core Value Proposition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Seamless partner acquisition, fraud-proof referral attribution via QR, 5-min lead response SLA, and automated monthly bank payout ledgers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1. Executive Summary &amp; End-to-End Workflow Architecture</w:t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The Complete Lifecycle from Registration to Commission Payout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The proposed workflow establishes a closed-loop ecosystem for Print To Frame's external partners (artisan framers, print agencies, interior designers, and freelance art consultants):
1. Multi-Channel Onboarding: Partners apply via public website form or receive an invite link from Admin.
2. Document &amp; Detail Submission: Submit Business Reg (BR), NIC, Bank details, and sample work images directly into Firebase Storage without backend server bloat.
3. Admin Vetting Queue: Dedicated ERP review drawer with 1-click Approval, Additional Info Request, or Rejection.
4. Automated Provisioning &amp; QR Code: On approval, the system provisions login credentials, creates a unique referral code (e.g., PTF-REF-108), generates a dedicated URL, and renders a vector QR code badge.
5. QR Scan &amp; Client Intake: Clients scan the partner's QR code, landing on a streamlined form with the partner's ID invisibly embedded. Submissions instantly create an Intake Lead in the ERP with a 5-minute callback countdown SLA.
6. Automated Commission &amp; Monthly Settlement: System automatically tracks deal conversion, calculates agreed commissions (e.g. 5%–10% of contract value), and compiles monthly bank settlement statements.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2. Detailed 5-Stage System Architecture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Stage 1: Partner Onboarding &amp; Document Intake</w:t>
      </w:r>
    </w:p>
    <w:p>
      <w:r>
        <w:rPr>
          <w:b/>
          <w:bCs/>
        </w:rPr>
        <w:t xml:space="preserve">• Channel A (Inbound Public Form): </w:t>
      </w:r>
      <w:r>
        <w:t xml:space="preserve">A dedicated public registration page (`/partner/register`) where prospective framing studios, print shops, and artists apply.
</w:t>
      </w:r>
      <w:r>
        <w:rPr>
          <w:b/>
          <w:bCs/>
        </w:rPr>
        <w:t xml:space="preserve">• Channel B (Outbound Admin Invite): </w:t>
      </w:r>
      <w:r>
        <w:t xml:space="preserve">Admin/Sales generates a single-use onboarding link with preset commission rates (e.g., 7.5%) and partner type pre-configured.
</w:t>
      </w:r>
      <w:r>
        <w:rPr>
          <w:b/>
          <w:bCs/>
        </w:rPr>
        <w:t xml:space="preserve">• Zero Backend Storage Overhead: </w:t>
      </w:r>
      <w:r>
        <w:t xml:space="preserve">Documents (BR Certificate, NIC, Sample Works) are uploaded directly to Firebase Storage (`partners/documents/{partnerId}/`) from the browser using client-side pre-signed uploads with strict size limits (max 5MB per file, image compression) and tokenized download URLs stored in Firestore.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Stage 2: ERP Vetting Queue &amp; Automated Provisioning</w:t>
      </w:r>
    </w:p>
    <w:p>
      <w:r>
        <w:rPr>
          <w:b/>
          <w:bCs/>
        </w:rPr>
        <w:t xml:space="preserve">• Partner Vetting Drawer: </w:t>
      </w:r>
      <w:r>
        <w:t xml:space="preserve">Inside the Partner Network module, applications appear with status `Pending Review`. Admins can inspect submitted documents, bank details, and assign commission rates (e.g., 5.0%).
</w:t>
      </w:r>
      <w:r>
        <w:rPr>
          <w:b/>
          <w:bCs/>
        </w:rPr>
        <w:t xml:space="preserve">• Automated Approval Action: </w:t>
      </w:r>
      <w:r>
        <w:t xml:space="preserve">Upon clicking 'Approve Partner':
</w:t>
      </w:r>
      <w:r>
        <w:t xml:space="preserve">  a. Generates unique Partner Code (e.g., `PTF-REF-104`).
</w:t>
      </w:r>
      <w:r>
        <w:t xml:space="preserve">  b. Creates Firebase Auth user account and dispatches an automated password-setup email.
</w:t>
      </w:r>
      <w:r>
        <w:t xml:space="preserve">  c. Generates a dynamic vector QR code linked to `https://portal.print2frame.xyz/referral?ref=PTF-REF-104`.
</w:t>
      </w:r>
      <w:r>
        <w:t xml:space="preserve">  d. Partner receives a downloadable 'Partner Marketing Kit' (printable counter card with their QR code, digital flyer, and portal login link).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Stage 3: Dynamic QR Code &amp; Client Intake Landing Page</w:t>
      </w:r>
    </w:p>
    <w:p>
      <w:r>
        <w:rPr>
          <w:b/>
          <w:bCs/>
        </w:rPr>
        <w:t xml:space="preserve">• Client Experience upon Scanning: </w:t>
      </w:r>
      <w:r>
        <w:t xml:space="preserve">Client points their smartphone camera at the partner's counter QR code. The landing page opens instantly with Print To Frame branding + 'Recommended by [Partner Studio Name]'.
</w:t>
      </w:r>
      <w:r>
        <w:rPr>
          <w:b/>
          <w:bCs/>
        </w:rPr>
        <w:t xml:space="preserve">• Client Form Fields: </w:t>
      </w:r>
      <w:r>
        <w:t xml:space="preserve">Client Full Name, Phone Number (+94 auto-formatting), Email (optional), Framing Scope / Description (e.g. 24x36 Canvas Gallery Wrap), and optional Photo/Artwork upload.
</w:t>
      </w:r>
      <w:r>
        <w:rPr>
          <w:b/>
          <w:bCs/>
        </w:rPr>
        <w:t xml:space="preserve">• Hidden Attribution Payload: </w:t>
      </w:r>
      <w:r>
        <w:t xml:space="preserve">The form invisibly packages `partnerId`, `partnerName`, `referralCode`, `commissionRate`, and referrer timestamp into the Firestore `leads` record.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Stage 4: Real-time ERP Trigger &amp; 5-Minute Callback SLA</w:t>
      </w:r>
    </w:p>
    <w:p>
      <w:r>
        <w:rPr>
          <w:b/>
          <w:bCs/>
        </w:rPr>
        <w:t xml:space="preserve">• Instant In-App Notification &amp; Soundless Toast: </w:t>
      </w:r>
      <w:r>
        <w:t xml:space="preserve">Sales &amp; Support team receives an immediate high-priority alert: 'New Partner Referral from ArtCraft Studio — Customer: Kasun Perera (+94 77 123 4567)'.
</w:t>
      </w:r>
      <w:r>
        <w:rPr>
          <w:b/>
          <w:bCs/>
        </w:rPr>
        <w:t xml:space="preserve">• 5-Minute SLA Countdown Timer: </w:t>
      </w:r>
      <w:r>
        <w:t xml:space="preserve">The lead appears at the top of Leads Intake with a live pulsating timer badge (`5:00 → 4:59...`). If not contacted within 5 minutes, it flags in amber/red to ensure rapid client conversion.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Stage 5: Automated Commission Engine &amp; Monthly Payouts</w:t>
      </w:r>
    </w:p>
    <w:p>
      <w:r>
        <w:rPr>
          <w:b/>
          <w:bCs/>
        </w:rPr>
        <w:t xml:space="preserve">• Lifecycle Linked Commission Calculation: </w:t>
      </w:r>
      <w:r>
        <w:t xml:space="preserve">When the lead converts into a Deal and Quotation is accepted (e.g., LKR 200,000 net payable):
</w:t>
      </w:r>
      <w:r>
        <w:t xml:space="preserve">  - Commission = Quoted Amount × Partner Commission Rate (e.g., LKR 200,000 × 5% = LKR 10,000).
</w:t>
      </w:r>
      <w:r>
        <w:t xml:space="preserve">  - When 75% Advance is paid: Commission moves to `Accrued`.
</w:t>
      </w:r>
      <w:r>
        <w:t xml:space="preserve">  - When 100% Deal is completed: Commission moves to `Eligible for Payout`.
</w:t>
      </w:r>
      <w:r>
        <w:rPr>
          <w:b/>
          <w:bCs/>
        </w:rPr>
        <w:t xml:space="preserve">• Monthly Partner Payout Reconciliation: </w:t>
      </w:r>
      <w:r>
        <w:t xml:space="preserve">A dedicated 'Partner Settlements' tab in ERP aggregates all eligible commissions at month-end, generates bank transfer disbursement files (CSV), produces individual Partner Payout Statements (.pdf/.docx), and marks records as `Paid` with bank reference codes.</w:t>
      </w:r>
    </w:p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3. Database Schema &amp; Data Integrity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Firestore Collection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Schema Fields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 &amp; Lifecycle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partners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partnerId, name, type, contactPerson, phone, email, brNumber, bankDetails: { bank, branch, accNo, accName }, commissionRate: 0.05, status: "Active", referralCode: "PTF-REF-104", qrCodeUrl, totalReferred, totalCommissionEarned, pendingCommission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Stores approved partners, credential references, and cumulative financial ledger.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partner_applications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applicationId, businessName, applicantName, phone, email, specialty, documents: { brCertUrl, nicCopyUrl, portfolioUrls: [] }, status: "Pending" | "UnderReview" | "NeedsInfo" | "Approved" | "Rejected", adminNotes, submittedAt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Staging queue for onboarding applications awaiting admin verification.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leads (Enhanced)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...leadFields, source: "Partner Referral", partnerId: "PTF-REF-104", partnerName: "ArtCraft Studio", commissionRate: 0.05, callbackSlaDeadline: timestamp, callbackCompletedAt: timestamp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Links incoming customer inquiries directly to the originating partner.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partner_payouts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payoutId: "PO-2026-09-001", partnerId, month: "2026-09", totalAmount: 45000, referralCount: 4, dealIds: ["DL-081", "DL-084"], status: "Draft" | "Approved" | "Paid", bankTransferRef: "TXN-982341", paidAt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Monthly settlement batch record for accounting audit and partner receipts.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4. UI Specifications &amp; Screen Layouts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/ View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Composition &amp; Key Controls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A. Client QR Referral Page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End Clients / Customers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Ultra-clean mobile-first form. Features Print To Frame co-branded badge ("Referred by [Partner]"), Name, Phone with +94 mask, Scope selector, photo upload, and instant 5-minute callback promise.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B. Partner Vetting Drawer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Admin / Operations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Side drawer inside Partner Network showing applicant details, document preview thumbnails (BR, NIC), commission rate slider (1%–15%), and 1-click Approve / Request Info / Reject buttons.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C. Partner Marketing Card &amp; QR Modal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Partner &amp; Admin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High-resolution QR code generator with 1-click Copy Link, Download SVG/PNG for printing counter display cards, and QR test scanner.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D. Monthly Settlement Ledger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Accounts &amp; Finance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Reconciliation table grouping all eligible commissions per partner. Shows bank details, total owed, 1-click "Approve Payout", CSV export for online banking, and PDF statement generation.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5. Recommended Step-by-Step Implementation Roadmap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1: Public Registration &amp; Partner Application Form: </w:t>
      </w:r>
      <w:r>
        <w:t xml:space="preserve">Build public `/partner/register` intake form with direct Firebase Storage document uploads (BR, NIC, Bank info) and validation.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2: Admin Vetting Drawer &amp; Automated Provisioning: </w:t>
      </w:r>
      <w:r>
        <w:t xml:space="preserve">Build the Partner Applications review queue inside ERP with 1-click approval, referral code generator, and automatic Firebase Auth provisioning.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3: Dynamic QR Code Generator &amp; Client Referral Landing: </w:t>
      </w:r>
      <w:r>
        <w:t xml:space="preserve">Upgrade `ReferralForm.jsx` with mobile-first styling, auto-populated partner badge, image uploads, and 5-minute callback trigger.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4: Commission Calculation Engine &amp; Monthly Payouts Ledger: </w:t>
      </w:r>
      <w:r>
        <w:t xml:space="preserve">Implement automated commission ledger linked to Quotations/Invoices and the Monthly Partner Settlement generator.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2026-08-31T21:19:19.572Z</dcterms:created>
  <dcterms:modified xsi:type="dcterms:W3CDTF">2026-08-31T21:19:19.574Z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